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EDITAL DE ELIMINAÇÃO DE DOCUMENTOS DETRAN-SP N° 000, DE {{ data_edital }} - {{ regiao }} REGIÃO ADMINISTRATIVA</w:t>
      </w:r>
    </w:p>
    <w:p>
      <w:pPr>
        <w:jc w:val="both"/>
      </w:pPr>
    </w:p>
    <w:p>
      <w:pPr>
        <w:jc w:val="both"/>
      </w:pPr>
      <w:r>
        <w:t>A Coordenadora da Comissão de Avaliação de Documentos e Acesso, constituída pela Portaria DETRAN-SP n° 5865, publicada no Diário Oficial do Estado de São Paulo de 20/09/2024, em conformidade com os prazos definidos na Tabela de Temporalidade de Documentos aprovada pela Portaria DETRAN-SP n° 878, de 25/02/2025, faz saber a quem possa interessar que, a partir do 30° dia subsequente à data de publicação deste Edital, o Departamento Estadual de Trânsito de São Paulo - DETRAN-SP, eliminará os documentos abaixo relacionados, do município {{ municipio }}. Os interessados poderão requerer às suas expensas, no prazo citado, o desentranhamento dos documentos ou cópias de peças do processo, mediante petição, desde que tenha respectiva qualificação e demonstração de legitimidade do pedido, dirigida à Comissão de Avaliação de Documentos e Acesso.</w:t>
      </w:r>
    </w:p>
    <w:p>
      <w:pPr>
        <w:jc w:val="both"/>
      </w:pPr>
    </w:p>
    <w:p>
      <w:pPr>
        <w:jc w:val="both"/>
      </w:pPr>
      <w:r>
        <w:t>{% for item in itens %}</w:t>
      </w:r>
    </w:p>
    <w:p>
      <w:pPr>
        <w:jc w:val="both"/>
      </w:pPr>
      <w:r>
        <w:t>Função: {{ item.funcao }}</w:t>
      </w:r>
    </w:p>
    <w:p>
      <w:pPr>
        <w:jc w:val="both"/>
      </w:pPr>
      <w:r>
        <w:t>Subfunção: {{ item.subfuncao }}</w:t>
      </w:r>
    </w:p>
    <w:p>
      <w:pPr>
        <w:jc w:val="both"/>
      </w:pPr>
      <w:r>
        <w:t>Atividade: {{ item.atividade }}</w:t>
      </w:r>
    </w:p>
    <w:p>
      <w:pPr>
        <w:jc w:val="both"/>
      </w:pPr>
      <w:r>
        <w:t>Série documental:{{ item.serie_documental }} - {{ item.descricao_documental }}</w:t>
      </w:r>
    </w:p>
    <w:p>
      <w:pPr>
        <w:jc w:val="both"/>
      </w:pPr>
      <w:r>
        <w:t>Data limite:  {{ item.data_limite }}</w:t>
      </w:r>
    </w:p>
    <w:p>
      <w:pPr>
        <w:jc w:val="both"/>
      </w:pPr>
      <w:r>
        <w:t>Quantidade: {{ item.qtde_caixas }} {{ item.caixas_extenso }}</w:t>
      </w:r>
    </w:p>
    <w:p>
      <w:pPr>
        <w:jc w:val="both"/>
      </w:pPr>
      <w:r>
        <w:t>Observações complementares: {{ item.observacoes_complementares }}</w:t>
      </w:r>
    </w:p>
    <w:p>
      <w:pPr>
        <w:jc w:val="both"/>
      </w:pPr>
    </w:p>
    <w:p>
      <w:pPr>
        <w:jc w:val="both"/>
      </w:pPr>
      <w:r>
        <w:t>{% endfor %}</w:t>
      </w:r>
    </w:p>
    <w:p>
      <w:pPr>
        <w:jc w:val="both"/>
      </w:pPr>
      <w:r>
        <w:t>Total de Caixas: {{ total_caixas }} {{ total_caixas_extenso }}</w:t>
      </w:r>
    </w:p>
    <w:p>
      <w:pPr>
        <w:jc w:val="both"/>
      </w:pPr>
      <w:r>
        <w:t>Total de Metros Lineares: {{ total_metros_lineares }}</w:t>
      </w:r>
    </w:p>
    <w:p>
      <w:pPr>
        <w:jc w:val="both"/>
      </w:pPr>
    </w:p>
    <w:p>
      <w:pPr>
        <w:jc w:val="both"/>
      </w:pPr>
      <w:r>
        <w:t>{{ nome_membro }}</w:t>
      </w:r>
    </w:p>
    <w:p>
      <w:pPr>
        <w:jc w:val="both"/>
      </w:pPr>
      <w:r>
        <w:t>{{ cargo_membro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