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bbg-app-한국불교바둑협회-웹사이트"/>
    <w:p>
      <w:pPr>
        <w:pStyle w:val="Heading1"/>
      </w:pPr>
      <w:r>
        <w:t xml:space="preserve">kbbg-app — 한국불교바둑협회 웹사이트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(Vercel 대시보드에서 확인 후 업데이트)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(데이터베이스, 인증)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t xml:space="preserve">(기타 Supabase 관련 키)</w:t>
      </w:r>
    </w:p>
    <w:bookmarkEnd w:id="23"/>
    <w:bookmarkStart w:id="24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진행중</w:t>
      </w:r>
      <w:r>
        <w:t xml:space="preserve"> </w:t>
      </w:r>
      <w:r>
        <w:t xml:space="preserve">— 다국어(i18n) 시스템 구현 완료, 운영 중</w:t>
      </w:r>
    </w:p>
    <w:bookmarkEnd w:id="24"/>
    <w:bookmarkStart w:id="25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6"/>
        </w:numPr>
        <w:pStyle w:val="Compact"/>
      </w:pPr>
      <w:r>
        <w:t xml:space="preserve">2026-04-17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2026-04-19T02:06:17Z</dcterms:created>
  <dcterms:modified xsi:type="dcterms:W3CDTF">2026-04-19T02:06:17Z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