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keepNext/>
        <w:spacing w:before="0" w:after="120"/>
      </w:pPr>
      <w:r>
        <w:rPr>
          <w:rFonts w:ascii="Times New Roman" w:hAnsi="Times New Roman" w:cs="Times New Roman"/>
          <w:b/>
          <w:sz w:val="24"/>
          <w:szCs w:val="24"/>
        </w:rPr>
        <w:t xml:space="preserve">Table 1</w:t>
      </w:r>
    </w:p>
    <w:p>
      <w:pPr>
        <w:keepNext/>
        <w:spacing w:before="0" w:after="120"/>
      </w:pPr>
      <w:r>
        <w:rPr>
          <w:rFonts w:ascii="Times New Roman" w:hAnsi="Times New Roman" w:cs="Times New Roman"/>
          <w:i/>
          <w:sz w:val="24"/>
          <w:szCs w:val="24"/>
        </w:rPr>
        <w:t xml:space="preserve">Item-Level Missing Data and Reliability by Study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4320"/>
        <w:gridCol w:w="1872"/>
        <w:gridCol w:w="1872"/>
        <w:gridCol w:w="1872"/>
      </w:tblGrid>
      <w:tr>
        <w:trPr>
          <w:trHeight w:val="230" w:hRule="atLeast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Scale score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Items missing (%)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Scale scores incomplete (%)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ω</w:t>
            </w:r>
          </w:p>
        </w:tc>
      </w:tr>
      <w:tr>
        <w:trPr>
          <w:trHeight w:val="230" w:hRule="atLeast"/>
        </w:trPr>
        <w:tc>
          <w:tcPr>
            <w:gridSpan w:val="4"/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Study 1 (130 dyads; 10.0% of item values missing)</w:t>
            </w:r>
          </w:p>
        </w:tc>
      </w:tr>
      <w:tr>
        <w:trPr>
          <w:trHeight w:val="230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Predictor (X), Partner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.82</w:t>
            </w:r>
          </w:p>
        </w:tc>
      </w:tr>
      <w:tr>
        <w:trPr>
          <w:trHeight w:val="230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Predictor (X), Partner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.82</w:t>
            </w:r>
          </w:p>
        </w:tc>
      </w:tr>
      <w:tr>
        <w:trPr>
          <w:trHeight w:val="230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Mediator (M), Partner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.85</w:t>
            </w:r>
          </w:p>
        </w:tc>
      </w:tr>
      <w:tr>
        <w:trPr>
          <w:trHeight w:val="230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Mediator (M), Partner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.87</w:t>
            </w:r>
          </w:p>
        </w:tc>
      </w:tr>
      <w:tr>
        <w:trPr>
          <w:trHeight w:val="230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Outcome (Y), Partner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.83</w:t>
            </w:r>
          </w:p>
        </w:tc>
      </w:tr>
      <w:tr>
        <w:trPr>
          <w:trHeight w:val="230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Outcome (Y), Partner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.84</w:t>
            </w:r>
          </w:p>
        </w:tc>
      </w:tr>
      <w:tr>
        <w:trPr>
          <w:trHeight w:val="230" w:hRule="atLeast"/>
        </w:trPr>
        <w:tc>
          <w:tcPr>
            <w:gridSpan w:val="4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Study 2 (174 dyads; 9.8% of item values missing)</w:t>
            </w:r>
          </w:p>
        </w:tc>
      </w:tr>
      <w:tr>
        <w:trPr>
          <w:trHeight w:val="230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Predictor (X), Partner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.59</w:t>
            </w:r>
          </w:p>
        </w:tc>
      </w:tr>
      <w:tr>
        <w:trPr>
          <w:trHeight w:val="230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Predictor (X), Partner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.65</w:t>
            </w:r>
          </w:p>
        </w:tc>
      </w:tr>
      <w:tr>
        <w:trPr>
          <w:trHeight w:val="230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Mediator (M), Partner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.65</w:t>
            </w:r>
          </w:p>
        </w:tc>
      </w:tr>
      <w:tr>
        <w:trPr>
          <w:trHeight w:val="230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Mediator (M), Partner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.66</w:t>
            </w:r>
          </w:p>
        </w:tc>
      </w:tr>
      <w:tr>
        <w:trPr>
          <w:trHeight w:val="230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Outcome (Y), Partner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.59</w:t>
            </w:r>
          </w:p>
        </w:tc>
      </w:tr>
      <w:tr>
        <w:trPr>
          <w:trHeight w:val="230" w:hRule="atLeast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Outcome (Y), Partner 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29.3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.66</w:t>
            </w:r>
          </w:p>
        </w:tc>
      </w:tr>
      <w:tr>
        <w:trPr>
          <w:trHeight w:val="230" w:hRule="atLeast"/>
        </w:trPr>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Scale scores incomplete = at least one of the four items missing. ω = McDonald's omega total (one-factor CFA), averaged over the completed datasets for multiple imputation; used for the correction for unreliability. Item-level missing values were multiply imputed with predictive mean matching (mice; m = 20; predictors: the other items of the scale, the five other scale scores and the auxiliaries aux_p1, aux_p2, aux_dyad); the APIMeM was fitted to every completed dataset and the m analyses were pooled within each study with Rubin's rules.</w:t>
            </w:r>
          </w:p>
        </w:tc>
      </w:tr>
    </w:tbl>
    <w:p>
      <w:pPr>
        <w:keepNext/>
        <w:pageBreakBefore/>
        <w:spacing w:before="0" w:after="120"/>
      </w:pPr>
      <w:r>
        <w:rPr>
          <w:rFonts w:ascii="Times New Roman" w:hAnsi="Times New Roman" w:cs="Times New Roman"/>
          <w:b/>
          <w:sz w:val="24"/>
          <w:szCs w:val="24"/>
        </w:rPr>
        <w:t xml:space="preserve">Table 2</w:t>
      </w:r>
    </w:p>
    <w:p>
      <w:pPr>
        <w:keepNext/>
        <w:spacing w:before="0" w:after="120"/>
      </w:pPr>
      <w:r>
        <w:rPr>
          <w:rFonts w:ascii="Times New Roman" w:hAnsi="Times New Roman" w:cs="Times New Roman"/>
          <w:i/>
          <w:sz w:val="24"/>
          <w:szCs w:val="24"/>
        </w:rPr>
        <w:t xml:space="preserve">Pooled Direct Effects of the APIMeM With Item-Level Missing Data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1728"/>
        <w:gridCol w:w="950"/>
        <w:gridCol w:w="950"/>
        <w:gridCol w:w="1512"/>
        <w:gridCol w:w="950"/>
        <w:gridCol w:w="950"/>
        <w:gridCol w:w="950"/>
        <w:gridCol w:w="950"/>
        <w:gridCol w:w="1512"/>
        <w:gridCol w:w="950"/>
        <w:gridCol w:w="950"/>
      </w:tblGrid>
      <w:tr>
        <w:trPr>
          <w:trHeight w:val="230" w:hRule="atLeast"/>
          <w:tblHeader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</w:p>
        </w:tc>
        <w:tc>
          <w:tcPr>
            <w:gridSpan w:val="5"/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Uncorrected</w:t>
            </w:r>
          </w:p>
        </w:tc>
        <w:tc>
          <w:tcPr>
            <w:gridSpan w:val="5"/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Corrected for unreliability</w:t>
            </w:r>
          </w:p>
        </w:tc>
      </w:tr>
      <w:tr>
        <w:trPr>
          <w:trHeight w:val="230" w:hRule="atLeast"/>
          <w:tblHeader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Effect</w:t>
            </w:r>
          </w:p>
        </w:tc>
        <w:tc>
          <w:tcPr>
            <w:tcBorders>
              <w:bottom w:val="single" w:sz="8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β</w:t>
            </w:r>
          </w:p>
        </w:tc>
        <w:tc>
          <w:tcPr>
            <w:tcBorders>
              <w:bottom w:val="single" w:sz="8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single" w:sz="8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</w:t>
            </w:r>
          </w:p>
        </w:tc>
        <w:tc>
          <w:tcPr>
            <w:tcBorders>
              <w:bottom w:val="single" w:sz="8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τ²</w:t>
            </w:r>
          </w:p>
        </w:tc>
        <w:tc>
          <w:tcPr>
            <w:tcBorders>
              <w:bottom w:val="single" w:sz="8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β</w:t>
            </w:r>
          </w:p>
        </w:tc>
        <w:tc>
          <w:tcPr>
            <w:tcBorders>
              <w:bottom w:val="single" w:sz="8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single" w:sz="8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</w:t>
            </w:r>
          </w:p>
        </w:tc>
        <w:tc>
          <w:tcPr>
            <w:tcBorders>
              <w:bottom w:val="single" w:sz="8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τ²</w:t>
            </w:r>
          </w:p>
        </w:tc>
      </w:tr>
      <w:tr>
        <w:trPr>
          <w:trHeight w:val="230" w:hRule="atLeast"/>
        </w:trPr>
        <w:tc>
          <w:tcPr>
            <w:gridSpan w:val="11"/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 path (X → M)</w:t>
            </w:r>
          </w:p>
        </w:tc>
      </w:tr>
      <w:tr>
        <w:trPr>
          <w:trHeight w:val="230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Actor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[0.09, 0.42]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[0.21, 0.48]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 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0.004</w:t>
            </w:r>
          </w:p>
        </w:tc>
      </w:tr>
      <w:tr>
        <w:trPr>
          <w:trHeight w:val="230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Partner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[0.07, 0.22]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 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[0.08, 0.29]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 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</w:tr>
      <w:tr>
        <w:trPr>
          <w:trHeight w:val="230" w:hRule="atLeast"/>
        </w:trPr>
        <w:tc>
          <w:tcPr>
            <w:gridSpan w:val="11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 path (M → Y)</w:t>
            </w:r>
          </w:p>
        </w:tc>
      </w:tr>
      <w:tr>
        <w:trPr>
          <w:trHeight w:val="230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Actor 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[0.20, 0.36]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 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[0.27, 0.51]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 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</w:tr>
      <w:tr>
        <w:trPr>
          <w:trHeight w:val="230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Partner 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[0.01, 0.17]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[−0.04, 0.21]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</w:tr>
      <w:tr>
        <w:trPr>
          <w:trHeight w:val="230" w:hRule="atLeast"/>
        </w:trPr>
        <w:tc>
          <w:tcPr>
            <w:gridSpan w:val="11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c′ path (X → Y, direct)</w:t>
            </w:r>
          </w:p>
        </w:tc>
      </w:tr>
      <w:tr>
        <w:trPr>
          <w:trHeight w:val="230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Actor c′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[0.00, 0.16]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[−0.04, 0.20]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</w:tr>
      <w:tr>
        <w:trPr>
          <w:trHeight w:val="230" w:hRule="atLeast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Partner c′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[−0.07, 0.10]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.693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[−0.13, 0.14]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.946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0.002</w:t>
            </w:r>
          </w:p>
        </w:tc>
      </w:tr>
      <w:tr>
        <w:trPr>
          <w:trHeight w:val="230" w:hRule="atLeast"/>
        </w:trPr>
        <w:tc>
          <w:tcPr>
            <w:gridSpan w:val="11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Pooled across 2 studies (130 and 174 dyads). β = pooled standardized APIMeM path: per study, the Partner 1 and Partner 2 estimates of each effect were combined (GLS, using their sampling covariance matrix from lavaan), and the study composites were pooled with a random-effects model (rma(); REML; Wald z). Item-level missing values were multiply imputed with predictive mean matching (mice; m = 20; predictors: the other items of the scale, the five other scale scores and the auxiliaries aux_p1, aux_p2, aux_dyad); the APIMeM was fitted to every completed dataset and the m analyses were pooled within each study with Rubin's rules. With two studies τ² is very imprecise; results of the common-effect and Knapp–Hartung versions are in the .xlsx file.</w:t>
            </w:r>
          </w:p>
        </w:tc>
      </w:tr>
    </w:tbl>
    <w:p>
      <w:pPr>
        <w:keepNext/>
        <w:pageBreakBefore/>
        <w:spacing w:before="0" w:after="120"/>
      </w:pPr>
      <w:r>
        <w:rPr>
          <w:rFonts w:ascii="Times New Roman" w:hAnsi="Times New Roman" w:cs="Times New Roman"/>
          <w:b/>
          <w:sz w:val="24"/>
          <w:szCs w:val="24"/>
        </w:rPr>
        <w:t xml:space="preserve">Table 3</w:t>
      </w:r>
    </w:p>
    <w:p>
      <w:pPr>
        <w:keepNext/>
        <w:spacing w:before="0" w:after="120"/>
      </w:pPr>
      <w:r>
        <w:rPr>
          <w:rFonts w:ascii="Times New Roman" w:hAnsi="Times New Roman" w:cs="Times New Roman"/>
          <w:i/>
          <w:sz w:val="24"/>
          <w:szCs w:val="24"/>
        </w:rPr>
        <w:t xml:space="preserve">Pooled Indirect and Total Effects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4539"/>
        <w:gridCol w:w="1202"/>
        <w:gridCol w:w="1736"/>
        <w:gridCol w:w="1202"/>
        <w:gridCol w:w="1202"/>
        <w:gridCol w:w="1736"/>
        <w:gridCol w:w="1202"/>
      </w:tblGrid>
      <w:tr>
        <w:trPr>
          <w:trHeight w:val="230" w:hRule="atLeast"/>
          <w:tblHeader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</w:p>
        </w:tc>
        <w:tc>
          <w:tcPr>
            <w:gridSpan w:val="3"/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Uncorrected</w:t>
            </w:r>
          </w:p>
        </w:tc>
        <w:tc>
          <w:tcPr>
            <w:gridSpan w:val="3"/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Corrected for unreliability</w:t>
            </w:r>
          </w:p>
        </w:tc>
      </w:tr>
      <w:tr>
        <w:trPr>
          <w:trHeight w:val="230" w:hRule="atLeast"/>
          <w:tblHeader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Effect</w:t>
            </w:r>
          </w:p>
        </w:tc>
        <w:tc>
          <w:tcPr>
            <w:tcBorders>
              <w:bottom w:val="single" w:sz="8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8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95% MC CI</w:t>
            </w:r>
          </w:p>
        </w:tc>
        <w:tc>
          <w:tcPr>
            <w:tcBorders>
              <w:bottom w:val="single" w:sz="8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Joint sig.</w:t>
            </w:r>
          </w:p>
        </w:tc>
        <w:tc>
          <w:tcPr>
            <w:tcBorders>
              <w:bottom w:val="single" w:sz="8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8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95% MC CI</w:t>
            </w:r>
          </w:p>
        </w:tc>
        <w:tc>
          <w:tcPr>
            <w:tcBorders>
              <w:bottom w:val="single" w:sz="8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Joint sig.</w:t>
            </w:r>
          </w:p>
        </w:tc>
      </w:tr>
      <w:tr>
        <w:trPr>
          <w:trHeight w:val="230" w:hRule="atLeast"/>
        </w:trPr>
        <w:tc>
          <w:tcPr>
            <w:gridSpan w:val="7"/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Specific indirect effects</w:t>
            </w:r>
          </w:p>
        </w:tc>
      </w:tr>
      <w:tr>
        <w:trPr>
          <w:trHeight w:val="230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Actor–actor (own X → own M → own 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[0.025, 0.127]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[0.072, 0.208]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</w:tr>
      <w:tr>
        <w:trPr>
          <w:trHeight w:val="230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Partner–partner (own X → partner's M → own 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[0.001, 0.029]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[−0.008, 0.044]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</w:tr>
      <w:tr>
        <w:trPr>
          <w:trHeight w:val="230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Actor–partner (own X → own M → partner's 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[0.001, 0.053]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[−0.014, 0.079]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</w:tr>
      <w:tr>
        <w:trPr>
          <w:trHeight w:val="230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Partner–actor (own X → partner's M → partner's 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[0.019, 0.069]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[0.028, 0.123]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</w:tr>
      <w:tr>
        <w:trPr>
          <w:trHeight w:val="230" w:hRule="atLeast"/>
        </w:trPr>
        <w:tc>
          <w:tcPr>
            <w:gridSpan w:val="7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 indirect effects</w:t>
            </w:r>
          </w:p>
        </w:tc>
      </w:tr>
      <w:tr>
        <w:trPr>
          <w:trHeight w:val="230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Actor (own X → own 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[0.036, 0.142]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[0.083, 0.226]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</w:tr>
      <w:tr>
        <w:trPr>
          <w:trHeight w:val="230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Partner (own X → partner's 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[0.031, 0.104]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[0.039, 0.168]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</w:tr>
      <w:tr>
        <w:trPr>
          <w:trHeight w:val="230" w:hRule="atLeast"/>
        </w:trPr>
        <w:tc>
          <w:tcPr>
            <w:gridSpan w:val="7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 effects</w:t>
            </w:r>
          </w:p>
        </w:tc>
      </w:tr>
      <w:tr>
        <w:trPr>
          <w:trHeight w:val="230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Actor (direct + indirect)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[0.076, 0.256]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[0.114, 0.348]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</w:tr>
      <w:tr>
        <w:trPr>
          <w:trHeight w:val="230" w:hRule="atLeast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Partner (direct + indirect)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[−0.002, 0.164]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[−0.020, 0.230]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</w:tr>
      <w:tr>
        <w:trPr>
          <w:trHeight w:val="230" w:hRule="atLeast"/>
        </w:trPr>
        <w:tc>
          <w:tcPr>
            <w:gridSpan w:val="7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Pooled across 2 studies (130 and 174 dyads). Products and sums of the pooled random-effects paths (Ledermann et al., 2011). MC CI = Monte Carlo CI (100,000 draws from the pooled paths and their plug-in covariance matrix). Joint sig. = both component paths significant (p &lt; .05).</w:t>
            </w:r>
          </w:p>
        </w:tc>
      </w:tr>
    </w:tbl>
    <w:p>
      <w:pPr>
        <w:keepNext/>
        <w:pageBreakBefore/>
        <w:spacing w:before="0" w:after="120"/>
      </w:pPr>
      <w:r>
        <w:rPr>
          <w:rFonts w:ascii="Times New Roman" w:hAnsi="Times New Roman" w:cs="Times New Roman"/>
          <w:b/>
          <w:sz w:val="24"/>
          <w:szCs w:val="24"/>
        </w:rPr>
        <w:t xml:space="preserve">Table 4</w:t>
      </w:r>
    </w:p>
    <w:p>
      <w:pPr>
        <w:keepNext/>
        <w:spacing w:before="0" w:after="120"/>
      </w:pPr>
      <w:r>
        <w:rPr>
          <w:rFonts w:ascii="Times New Roman" w:hAnsi="Times New Roman" w:cs="Times New Roman"/>
          <w:i/>
          <w:sz w:val="24"/>
          <w:szCs w:val="24"/>
        </w:rPr>
        <w:t xml:space="preserve">Study-Level Standardized APIMeM Paths With Item-Level Missing Data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880"/>
        <w:gridCol w:w="1152"/>
        <w:gridCol w:w="1152"/>
        <w:gridCol w:w="1152"/>
        <w:gridCol w:w="1152"/>
        <w:gridCol w:w="1152"/>
        <w:gridCol w:w="1152"/>
      </w:tblGrid>
      <w:tr>
        <w:trPr>
          <w:trHeight w:val="230" w:hRule="atLeast"/>
          <w:tblHeader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3"/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Uncorrected</w:t>
            </w:r>
          </w:p>
        </w:tc>
        <w:tc>
          <w:tcPr>
            <w:gridSpan w:val="3"/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Corrected for unreliability</w:t>
            </w:r>
          </w:p>
        </w:tc>
      </w:tr>
      <w:tr>
        <w:trPr>
          <w:trHeight w:val="230" w:hRule="atLeast"/>
          <w:tblHeader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</w:t>
            </w:r>
          </w:p>
        </w:tc>
        <w:tc>
          <w:tcPr>
            <w:tcBorders>
              <w:bottom w:val="single" w:sz="8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β</w:t>
            </w:r>
          </w:p>
        </w:tc>
        <w:tc>
          <w:tcPr>
            <w:tcBorders>
              <w:bottom w:val="single" w:sz="8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</w:t>
            </w:r>
          </w:p>
        </w:tc>
        <w:tc>
          <w:tcPr>
            <w:tcBorders>
              <w:bottom w:val="single" w:sz="8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FMI</w:t>
            </w:r>
          </w:p>
        </w:tc>
        <w:tc>
          <w:tcPr>
            <w:tcBorders>
              <w:bottom w:val="single" w:sz="8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β</w:t>
            </w:r>
          </w:p>
        </w:tc>
        <w:tc>
          <w:tcPr>
            <w:tcBorders>
              <w:bottom w:val="single" w:sz="8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</w:t>
            </w:r>
          </w:p>
        </w:tc>
        <w:tc>
          <w:tcPr>
            <w:tcBorders>
              <w:bottom w:val="single" w:sz="8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FMI</w:t>
            </w:r>
          </w:p>
        </w:tc>
      </w:tr>
      <w:tr>
        <w:trPr>
          <w:trHeight w:val="230" w:hRule="atLeast"/>
        </w:trPr>
        <w:tc>
          <w:tcPr>
            <w:gridSpan w:val="7"/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Study 1 (130 dyads)</w:t>
            </w:r>
          </w:p>
        </w:tc>
      </w:tr>
      <w:tr>
        <w:trPr>
          <w:trHeight w:val="230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Actor: X1 → 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.08</w:t>
            </w:r>
          </w:p>
        </w:tc>
      </w:tr>
      <w:tr>
        <w:trPr>
          <w:trHeight w:val="230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Actor: X2 → M2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.06</w:t>
            </w:r>
          </w:p>
        </w:tc>
      </w:tr>
      <w:tr>
        <w:trPr>
          <w:trHeight w:val="230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Partner: X1 → M2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.06</w:t>
            </w:r>
          </w:p>
        </w:tc>
      </w:tr>
      <w:tr>
        <w:trPr>
          <w:trHeight w:val="230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Partner: X2 → 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.08</w:t>
            </w:r>
          </w:p>
        </w:tc>
      </w:tr>
      <w:tr>
        <w:trPr>
          <w:trHeight w:val="230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Actor: M1 → Y1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.13</w:t>
            </w:r>
          </w:p>
        </w:tc>
      </w:tr>
      <w:tr>
        <w:trPr>
          <w:trHeight w:val="230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Actor: M2 → Y2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.08</w:t>
            </w:r>
          </w:p>
        </w:tc>
      </w:tr>
      <w:tr>
        <w:trPr>
          <w:trHeight w:val="230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Partner: M1 → Y2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.14</w:t>
            </w:r>
          </w:p>
        </w:tc>
      </w:tr>
      <w:tr>
        <w:trPr>
          <w:trHeight w:val="230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Partner: M2 → Y1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.06</w:t>
            </w:r>
          </w:p>
        </w:tc>
      </w:tr>
      <w:tr>
        <w:trPr>
          <w:trHeight w:val="230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Actor: X1 → Y1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.12</w:t>
            </w:r>
          </w:p>
        </w:tc>
      </w:tr>
      <w:tr>
        <w:trPr>
          <w:trHeight w:val="230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Actor: X2 → Y2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.07</w:t>
            </w:r>
          </w:p>
        </w:tc>
      </w:tr>
      <w:tr>
        <w:trPr>
          <w:trHeight w:val="230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Partner: X1 → Y2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.10</w:t>
            </w:r>
          </w:p>
        </w:tc>
      </w:tr>
      <w:tr>
        <w:trPr>
          <w:trHeight w:val="230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Partner: X2 → Y1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.08</w:t>
            </w:r>
          </w:p>
        </w:tc>
      </w:tr>
      <w:tr>
        <w:trPr>
          <w:trHeight w:val="230" w:hRule="atLeast"/>
        </w:trPr>
        <w:tc>
          <w:tcPr>
            <w:gridSpan w:val="7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Study 2 (174 dyads)</w:t>
            </w:r>
          </w:p>
        </w:tc>
      </w:tr>
      <w:tr>
        <w:trPr>
          <w:trHeight w:val="230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Actor: X1 → 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.10</w:t>
            </w:r>
          </w:p>
        </w:tc>
      </w:tr>
      <w:tr>
        <w:trPr>
          <w:trHeight w:val="230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Actor: X2 → M2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.08</w:t>
            </w:r>
          </w:p>
        </w:tc>
      </w:tr>
      <w:tr>
        <w:trPr>
          <w:trHeight w:val="230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Partner: X1 → M2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.08</w:t>
            </w:r>
          </w:p>
        </w:tc>
      </w:tr>
      <w:tr>
        <w:trPr>
          <w:trHeight w:val="230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Partner: X2 → 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.10</w:t>
            </w:r>
          </w:p>
        </w:tc>
      </w:tr>
      <w:tr>
        <w:trPr>
          <w:trHeight w:val="230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Actor: M1 → Y1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.08</w:t>
            </w:r>
          </w:p>
        </w:tc>
      </w:tr>
      <w:tr>
        <w:trPr>
          <w:trHeight w:val="230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Actor: M2 → Y2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.13</w:t>
            </w:r>
          </w:p>
        </w:tc>
      </w:tr>
      <w:tr>
        <w:trPr>
          <w:trHeight w:val="230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Partner: M1 → Y2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.13</w:t>
            </w:r>
          </w:p>
        </w:tc>
      </w:tr>
      <w:tr>
        <w:trPr>
          <w:trHeight w:val="230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Partner: M2 → Y1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.09</w:t>
            </w:r>
          </w:p>
        </w:tc>
      </w:tr>
      <w:tr>
        <w:trPr>
          <w:trHeight w:val="230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Actor: X1 → Y1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.09</w:t>
            </w:r>
          </w:p>
        </w:tc>
      </w:tr>
      <w:tr>
        <w:trPr>
          <w:trHeight w:val="230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Actor: X2 → Y2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.09</w:t>
            </w:r>
          </w:p>
        </w:tc>
      </w:tr>
      <w:tr>
        <w:trPr>
          <w:trHeight w:val="230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Partner: X1 → Y2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.12</w:t>
            </w:r>
          </w:p>
        </w:tc>
      </w:tr>
      <w:tr>
        <w:trPr>
          <w:trHeight w:val="230" w:hRule="atLeast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Partner: X2 → Y1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.11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5" w:before="15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.10</w:t>
            </w:r>
          </w:p>
        </w:tc>
      </w:tr>
      <w:tr>
        <w:trPr>
          <w:trHeight w:val="230" w:hRule="atLeast"/>
        </w:trPr>
        <w:tc>
          <w:tcPr>
            <w:gridSpan w:val="7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Standardized APIMeM paths of each study after the missing-data handling. SE = normal-theory (ML) standard error including the between-imputation variance; FMI = fraction of missing information (Barnard–Rubin; multiple imputation only). The full 12 × 12 covariance matrices enter the meta-analysis.</w:t>
            </w:r>
          </w:p>
        </w:tc>
      </w:tr>
    </w:tbl>
    <w:p>
      <w:pPr>
        <w:keepNext/>
        <w:pageBreakBefore/>
        <w:spacing w:before="0" w:after="120"/>
      </w:pPr>
      <w:r>
        <w:rPr>
          <w:rFonts w:ascii="Times New Roman" w:hAnsi="Times New Roman" w:cs="Times New Roman"/>
          <w:b/>
          <w:sz w:val="24"/>
          <w:szCs w:val="24"/>
        </w:rPr>
        <w:t xml:space="preserve">Table 5</w:t>
      </w:r>
    </w:p>
    <w:p>
      <w:pPr>
        <w:keepNext/>
        <w:spacing w:before="0" w:after="120"/>
      </w:pPr>
      <w:r>
        <w:rPr>
          <w:rFonts w:ascii="Times New Roman" w:hAnsi="Times New Roman" w:cs="Times New Roman"/>
          <w:i/>
          <w:sz w:val="24"/>
          <w:szCs w:val="24"/>
        </w:rPr>
        <w:t xml:space="preserve">Sensitivity of the Pooled Direct Effects to Departures From MAR (Delta Adjustment)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1872"/>
        <w:gridCol w:w="1224"/>
        <w:gridCol w:w="1224"/>
        <w:gridCol w:w="1224"/>
        <w:gridCol w:w="1224"/>
        <w:gridCol w:w="1224"/>
        <w:gridCol w:w="1224"/>
        <w:gridCol w:w="1224"/>
      </w:tblGrid>
      <w:tr>
        <w:trPr>
          <w:trHeight w:val="230" w:hRule="atLeast"/>
          <w:tblHeader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</w:p>
        </w:tc>
        <w:tc>
          <w:tcPr>
            <w:gridSpan w:val="7"/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δ (item-SD units; positive = hypothesized MNAR direction)</w:t>
            </w:r>
          </w:p>
        </w:tc>
      </w:tr>
      <w:tr>
        <w:trPr>
          <w:trHeight w:val="230" w:hRule="atLeast"/>
          <w:tblHeader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Effect</w:t>
            </w:r>
          </w:p>
        </w:tc>
        <w:tc>
          <w:tcPr>
            <w:tcBorders>
              <w:bottom w:val="single" w:sz="8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−0.50</w:t>
            </w:r>
          </w:p>
        </w:tc>
        <w:tc>
          <w:tcPr>
            <w:tcBorders>
              <w:bottom w:val="single" w:sz="8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−0.25</w:t>
            </w:r>
          </w:p>
        </w:tc>
        <w:tc>
          <w:tcPr>
            <w:tcBorders>
              <w:bottom w:val="single" w:sz="8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8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</w:t>
            </w:r>
          </w:p>
        </w:tc>
        <w:tc>
          <w:tcPr>
            <w:tcBorders>
              <w:bottom w:val="single" w:sz="8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0.50</w:t>
            </w:r>
          </w:p>
        </w:tc>
        <w:tc>
          <w:tcPr>
            <w:tcBorders>
              <w:bottom w:val="single" w:sz="8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0.75</w:t>
            </w:r>
          </w:p>
        </w:tc>
        <w:tc>
          <w:tcPr>
            <w:tcBorders>
              <w:bottom w:val="single" w:sz="8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</w:t>
            </w:r>
          </w:p>
        </w:tc>
      </w:tr>
      <w:tr>
        <w:trPr>
          <w:trHeight w:val="230" w:hRule="atLeast"/>
        </w:trPr>
        <w:tc>
          <w:tcPr>
            <w:gridSpan w:val="8"/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Uncorrected</w:t>
            </w:r>
          </w:p>
        </w:tc>
      </w:tr>
      <w:tr>
        <w:trPr>
          <w:trHeight w:val="230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Actor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0.26*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0.22*</w:t>
            </w:r>
          </w:p>
        </w:tc>
      </w:tr>
      <w:tr>
        <w:trPr>
          <w:trHeight w:val="230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Partner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0.13*</w:t>
            </w:r>
          </w:p>
        </w:tc>
      </w:tr>
      <w:tr>
        <w:trPr>
          <w:trHeight w:val="230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Actor 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0.29*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0.26*</w:t>
            </w:r>
          </w:p>
        </w:tc>
      </w:tr>
      <w:tr>
        <w:trPr>
          <w:trHeight w:val="230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Partner 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0.10*</w:t>
            </w:r>
          </w:p>
        </w:tc>
      </w:tr>
      <w:tr>
        <w:trPr>
          <w:trHeight w:val="230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Actor c′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</w:t>
            </w:r>
          </w:p>
        </w:tc>
      </w:tr>
      <w:tr>
        <w:trPr>
          <w:trHeight w:val="230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Partner c′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</w:tr>
      <w:tr>
        <w:trPr>
          <w:trHeight w:val="230" w:hRule="atLeast"/>
        </w:trPr>
        <w:tc>
          <w:tcPr>
            <w:gridSpan w:val="8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Corrected for unreliability</w:t>
            </w:r>
          </w:p>
        </w:tc>
      </w:tr>
      <w:tr>
        <w:trPr>
          <w:trHeight w:val="230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Actor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0.37*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0.36*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0.34*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0.33*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0.32*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0.30*</w:t>
            </w:r>
          </w:p>
        </w:tc>
      </w:tr>
      <w:tr>
        <w:trPr>
          <w:trHeight w:val="230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Partner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0.16*</w:t>
            </w:r>
          </w:p>
        </w:tc>
      </w:tr>
      <w:tr>
        <w:trPr>
          <w:trHeight w:val="230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Actor 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0.39*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0.40*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0.39*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0.38*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0.38*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0.38*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0.36*</w:t>
            </w:r>
          </w:p>
        </w:tc>
      </w:tr>
      <w:tr>
        <w:trPr>
          <w:trHeight w:val="230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Partner 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</w:t>
            </w:r>
          </w:p>
        </w:tc>
      </w:tr>
      <w:tr>
        <w:trPr>
          <w:trHeight w:val="230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Actor c′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</w:t>
            </w:r>
          </w:p>
        </w:tc>
      </w:tr>
      <w:tr>
        <w:trPr>
          <w:trHeight w:val="230" w:hRule="atLeast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Partner c′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−0.01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−0.02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−0.02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−0.03</w:t>
            </w:r>
          </w:p>
        </w:tc>
      </w:tr>
      <w:tr>
        <w:trPr>
          <w:trHeight w:val="230" w:hRule="atLeast"/>
        </w:trPr>
        <w:tc>
          <w:tcPr>
            <w:gridSpan w:val="8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Delta-adjusted mice-PMM: imputed item values shifted by δ SDs of the observed item values in the hypothesized MNAR direction (X +1, M +1, Y -1); δ = 0 is MAR. Pooled with rma() random effects; * p &lt; .05. A conclusion is robust if it holds over the range of δ considered plausible.</w:t>
            </w:r>
          </w:p>
        </w:tc>
      </w:tr>
    </w:tbl>
    <w:p>
      <w:pPr>
        <w:keepNext/>
        <w:pageBreakBefore/>
        <w:spacing w:before="0" w:after="120"/>
      </w:pPr>
      <w:r>
        <w:rPr>
          <w:rFonts w:ascii="Times New Roman" w:hAnsi="Times New Roman" w:cs="Times New Roman"/>
          <w:b/>
          <w:sz w:val="24"/>
          <w:szCs w:val="24"/>
        </w:rPr>
        <w:t xml:space="preserve">Table 6</w:t>
      </w:r>
    </w:p>
    <w:p>
      <w:pPr>
        <w:keepNext/>
        <w:spacing w:before="0" w:after="120"/>
      </w:pPr>
      <w:r>
        <w:rPr>
          <w:rFonts w:ascii="Times New Roman" w:hAnsi="Times New Roman" w:cs="Times New Roman"/>
          <w:i/>
          <w:sz w:val="24"/>
          <w:szCs w:val="24"/>
        </w:rPr>
        <w:t xml:space="preserve">Minimum Detectable Pooled Direct Effects With the Missing Data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880"/>
        <w:gridCol w:w="1584"/>
        <w:gridCol w:w="1584"/>
        <w:gridCol w:w="1584"/>
        <w:gridCol w:w="1584"/>
      </w:tblGrid>
      <w:tr>
        <w:trPr>
          <w:trHeight w:val="230" w:hRule="atLeast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Effect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I² = 0%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I² = 25%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I² = 50%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I² = 75%</w:t>
            </w:r>
          </w:p>
        </w:tc>
      </w:tr>
      <w:tr>
        <w:trPr>
          <w:trHeight w:val="230" w:hRule="atLeast"/>
        </w:trPr>
        <w:tc>
          <w:tcPr>
            <w:gridSpan w:val="5"/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Uncorrected</w:t>
            </w:r>
          </w:p>
        </w:tc>
      </w:tr>
      <w:tr>
        <w:trPr>
          <w:trHeight w:val="230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Actor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</w:t>
            </w:r>
          </w:p>
        </w:tc>
      </w:tr>
      <w:tr>
        <w:trPr>
          <w:trHeight w:val="230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Partner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</w:t>
            </w:r>
          </w:p>
        </w:tc>
      </w:tr>
      <w:tr>
        <w:trPr>
          <w:trHeight w:val="230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Actor 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</w:t>
            </w:r>
          </w:p>
        </w:tc>
      </w:tr>
      <w:tr>
        <w:trPr>
          <w:trHeight w:val="230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Partner 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</w:t>
            </w:r>
          </w:p>
        </w:tc>
      </w:tr>
      <w:tr>
        <w:trPr>
          <w:trHeight w:val="230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Actor c′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</w:t>
            </w:r>
          </w:p>
        </w:tc>
      </w:tr>
      <w:tr>
        <w:trPr>
          <w:trHeight w:val="230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Partner c′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</w:t>
            </w:r>
          </w:p>
        </w:tc>
      </w:tr>
      <w:tr>
        <w:trPr>
          <w:trHeight w:val="230" w:hRule="atLeast"/>
        </w:trPr>
        <w:tc>
          <w:tcPr>
            <w:gridSpan w:val="5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Corrected for unreliability</w:t>
            </w:r>
          </w:p>
        </w:tc>
      </w:tr>
      <w:tr>
        <w:trPr>
          <w:trHeight w:val="230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Actor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0.30</w:t>
            </w:r>
          </w:p>
        </w:tc>
      </w:tr>
      <w:tr>
        <w:trPr>
          <w:trHeight w:val="230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Partner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</w:t>
            </w:r>
          </w:p>
        </w:tc>
      </w:tr>
      <w:tr>
        <w:trPr>
          <w:trHeight w:val="230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Actor 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0.37</w:t>
            </w:r>
          </w:p>
        </w:tc>
      </w:tr>
      <w:tr>
        <w:trPr>
          <w:trHeight w:val="230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Partner 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0.39</w:t>
            </w:r>
          </w:p>
        </w:tc>
      </w:tr>
      <w:tr>
        <w:trPr>
          <w:trHeight w:val="230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Actor c′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0.38</w:t>
            </w:r>
          </w:p>
        </w:tc>
      </w:tr>
      <w:tr>
        <w:trPr>
          <w:trHeight w:val="230" w:hRule="atLeast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28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Partner c′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0.34</w:t>
            </w:r>
          </w:p>
        </w:tc>
      </w:tr>
      <w:tr>
        <w:trPr>
          <w:trHeight w:val="230" w:hRule="atLeast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Minimum detectable pooled standardized effect (80% power, two-sided α = .05; rma() random effects, REML, z test; 1000 replications) given the study-level sampling covariance matrices after the missing-data handling (mice-PMM (item level, m = 20, Rubin's rules)), from apim_meta_sensitivity.R with the settings of the original sensitivity analysis. Compare with Table 1 of the sensitivity report.</w:t>
            </w:r>
          </w:p>
        </w:tc>
      </w:tr>
    </w:tbl>
    <w:sectPr>
      <w:pgMar w:header="708" w:bottom="1440" w:top="1440" w:right="1440" w:left="1440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2026-10-14T14:35:32Z</dcterms:modified>
  <cp:category/>
</cp:coreProperties>
</file>