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keepNext/>
        <w:spacing w:before="0" w:after="120"/>
      </w:pPr>
      <w:r>
        <w:rPr>
          <w:rFonts w:ascii="Times New Roman" w:hAnsi="Times New Roman" w:cs="Times New Roman"/>
          <w:b/>
          <w:sz w:val="24"/>
          <w:szCs w:val="24"/>
        </w:rPr>
        <w:t xml:space="preserve">Table 1</w:t>
      </w:r>
    </w:p>
    <w:p>
      <w:pPr>
        <w:keepNext/>
        <w:spacing w:before="0" w:after="120"/>
      </w:pPr>
      <w:r>
        <w:rPr>
          <w:rFonts w:ascii="Times New Roman" w:hAnsi="Times New Roman" w:cs="Times New Roman"/>
          <w:i/>
          <w:sz w:val="24"/>
          <w:szCs w:val="24"/>
        </w:rPr>
        <w:t xml:space="preserve">Minimum Detectable Pooled Direct Effects</w:t>
      </w:r>
    </w:p>
    <w:tbl xmlns:a="http://schemas.openxmlformats.org/drawingml/2006/main" xmlns:pic="http://schemas.openxmlformats.org/drawingml/2006/picture">
      <w:tblPr>
        <w:tblLayout w:type="fixed"/>
        <w:jc w:val="start"/>
        <w:tblLook w:firstRow="1" w:lastRow="0" w:firstColumn="0" w:lastColumn="0" w:noHBand="0" w:noVBand="1"/>
      </w:tblPr>
      <w:tblGrid>
        <w:gridCol w:w="2592"/>
        <w:gridCol w:w="850"/>
        <w:gridCol w:w="850"/>
        <w:gridCol w:w="850"/>
        <w:gridCol w:w="850"/>
        <w:gridCol w:w="850"/>
        <w:gridCol w:w="850"/>
        <w:gridCol w:w="850"/>
        <w:gridCol w:w="850"/>
        <w:gridCol w:w="850"/>
        <w:gridCol w:w="850"/>
        <w:gridCol w:w="850"/>
        <w:gridCol w:w="850"/>
      </w:tblGrid>
      <w:tr>
        <w:trPr>
          <w:trHeight w:val="360" w:hRule="auto"/>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 </w:t>
            </w:r>
          </w:p>
        </w:tc>
        <w:tc>
          <w:tcPr>
            <w:gridSpan w:val="6"/>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Uncorrected</w:t>
            </w:r>
          </w:p>
        </w:tc>
        <w:tc>
          <w:tcPr>
            <w:gridSpan w:val="6"/>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Corrected for unreliability</w:t>
            </w:r>
          </w:p>
        </w:tc>
      </w:tr>
      <w:tr>
        <w:trPr>
          <w:trHeight w:val="36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Method / heterogeneity</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a</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a</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b</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b</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Actor c′</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Partner c′</w:t>
            </w:r>
          </w:p>
        </w:tc>
      </w:tr>
      <w:tr>
        <w:trPr>
          <w:trHeight w:val="360" w:hRule="auto"/>
        </w:trPr>
        <w:tc>
          <w:tcPr>
            <w:gridSpan w:val="13"/>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 CE (z)</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360" w:hRule="auto"/>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 RE (z)</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w:t>
            </w:r>
          </w:p>
        </w:tc>
      </w:tr>
      <w:tr>
        <w:trPr>
          <w:trHeight w:val="360" w:hRule="auto"/>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 RE (KH)</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 RE (KH ad hoc)</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rma.mv(): multilevel (z)</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0.33</w:t>
            </w:r>
          </w:p>
        </w:tc>
      </w:tr>
      <w:tr>
        <w:trPr>
          <w:trHeight w:val="360" w:hRule="auto"/>
        </w:trPr>
        <w:tc>
          <w:tcPr>
            <w:gridSpan w:val="13"/>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rma.mv(): multilevel (CR2)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0.88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I² = 75%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false"/>
                <w:b w:val="false"/>
                <w:u w:val="none"/>
                <w:strike w:val="false"/>
                <w:sz w:val="18"/>
                <w:szCs w:val="18"/>
                <w:color w:val="000000"/>
              </w:rPr>
              <w:t xml:space="preserve">&gt; 1.00</w:t>
            </w:r>
          </w:p>
        </w:tc>
      </w:tr>
      <w:tr>
        <w:trPr>
          <w:trHeight w:val="360" w:hRule="auto"/>
        </w:trPr>
        <w:tc>
          <w:tcPr>
            <w:gridSpan w:val="13"/>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18"/>
                <w:szCs w:val="18"/>
                <w:color w:val="000000"/>
              </w:rPr>
            </w:pPr>
            <w:r>
              <w:rPr>
                <w:rFonts w:ascii="Times New Roman" w:hAnsi="Times New Roman" w:eastAsia="Times New Roman" w:cs="Times New Roman"/>
                <w:i w:val="true"/>
                <w:b w:val="false"/>
                <w:u w:val="none"/>
                <w:strike w:val="false"/>
                <w:sz w:val="18"/>
                <w:szCs w:val="18"/>
                <w:color w:val="000000"/>
              </w:rPr>
              <w:t xml:space="preserve">Note. </w:t>
            </w:r>
            <w:r>
              <w:rPr>
                <w:rFonts w:ascii="Times New Roman" w:hAnsi="Times New Roman" w:eastAsia="Times New Roman" w:cs="Times New Roman"/>
                <w:i w:val="false"/>
                <w:b w:val="false"/>
                <w:u w:val="none"/>
                <w:strike w:val="false"/>
                <w:sz w:val="18"/>
                <w:szCs w:val="18"/>
                <w:color w:val="000000"/>
              </w:rPr>
              <w:t xml:space="preserve">k = 2 (130 and 174 dyads). Entries are the smallest true pooled standardized effect detected with 80% power (two-sided α = 0.05), 1000 replications; "&gt; 1.00" = not reached in the evaluated range. Uncorrected and corrected effects are on their own scales, so their entries are not directly comparable. CE = common effect; RE = random effects (REML); KH = Knapp–Hartung; CR2 = cluster-robust with Satterthwaite df. Heterogeneity refers to the study-level effects (τ² = I²/(1 − I²) × typical sampling variance).</w:t>
            </w:r>
          </w:p>
        </w:tc>
      </w:tr>
    </w:tbl>
    <w:p>
      <w:pPr>
        <w:keepNext/>
        <w:pageBreakBefore/>
        <w:spacing w:before="0" w:after="120"/>
      </w:pPr>
      <w:r>
        <w:rPr>
          <w:rFonts w:ascii="Times New Roman" w:hAnsi="Times New Roman" w:cs="Times New Roman"/>
          <w:b/>
          <w:sz w:val="24"/>
          <w:szCs w:val="24"/>
        </w:rPr>
        <w:t xml:space="preserve">Table 2</w:t>
      </w:r>
    </w:p>
    <w:p>
      <w:pPr>
        <w:keepNext/>
        <w:spacing w:before="0" w:after="120"/>
      </w:pPr>
      <w:r>
        <w:rPr>
          <w:rFonts w:ascii="Times New Roman" w:hAnsi="Times New Roman" w:cs="Times New Roman"/>
          <w:i/>
          <w:sz w:val="24"/>
          <w:szCs w:val="24"/>
        </w:rPr>
        <w:t xml:space="preserve">Observed Pooled Estimates and Critical Values for Significance</w:t>
      </w:r>
    </w:p>
    <w:tbl xmlns:a="http://schemas.openxmlformats.org/drawingml/2006/main" xmlns:pic="http://schemas.openxmlformats.org/drawingml/2006/picture">
      <w:tblPr>
        <w:tblLayout w:type="fixed"/>
        <w:jc w:val="start"/>
        <w:tblLook w:firstRow="1" w:lastRow="0" w:firstColumn="0" w:lastColumn="0" w:noHBand="0" w:noVBand="1"/>
      </w:tblPr>
      <w:tblGrid>
        <w:gridCol w:w="2160"/>
        <w:gridCol w:w="1512"/>
        <w:gridCol w:w="1512"/>
        <w:gridCol w:w="1512"/>
        <w:gridCol w:w="1512"/>
        <w:gridCol w:w="1512"/>
        <w:gridCol w:w="1512"/>
        <w:gridCol w:w="1512"/>
      </w:tblGrid>
      <w:tr>
        <w:trPr>
          <w:trHeight w:val="360" w:hRule="auto"/>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6"/>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Critical |β| for p &lt; .05</w:t>
            </w:r>
          </w:p>
        </w:tc>
      </w:tr>
      <w:tr>
        <w:trPr>
          <w:trHeight w:val="36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Effect</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β</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r>
      <w:tr>
        <w:trPr>
          <w:trHeight w:val="360" w:hRule="auto"/>
        </w:trPr>
        <w:tc>
          <w:tcPr>
            <w:gridSpan w:val="8"/>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Uncorrected</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0.55</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r>
      <w:tr>
        <w:trPr>
          <w:trHeight w:val="360" w:hRule="auto"/>
        </w:trPr>
        <w:tc>
          <w:tcPr>
            <w:gridSpan w:val="8"/>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Corrected for unreliability</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a</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b</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Actor 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Partner c′</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0.57</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0.58</w:t>
            </w:r>
          </w:p>
        </w:tc>
      </w:tr>
      <w:tr>
        <w:trPr>
          <w:trHeight w:val="360" w:hRule="auto"/>
        </w:trPr>
        <w:tc>
          <w:tcPr>
            <w:gridSpan w:val="8"/>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β = observed pooled estimate (multilevel model; the point estimate is nearly identical across methods, see the CSV). Remaining columns give the smallest absolute pooled estimate that would have been significant under each method with these data (critical value × SE). * the observed β exceeds that value, i.e. the effect is significant under that method.</w:t>
            </w:r>
          </w:p>
        </w:tc>
      </w:tr>
    </w:tbl>
    <w:p>
      <w:pPr>
        <w:keepNext/>
        <w:pageBreakBefore/>
        <w:spacing w:before="0" w:after="120"/>
      </w:pPr>
      <w:r>
        <w:rPr>
          <w:rFonts w:ascii="Times New Roman" w:hAnsi="Times New Roman" w:cs="Times New Roman"/>
          <w:b/>
          <w:sz w:val="24"/>
          <w:szCs w:val="24"/>
        </w:rPr>
        <w:t xml:space="preserve">Table 3</w:t>
      </w:r>
    </w:p>
    <w:p>
      <w:pPr>
        <w:keepNext/>
        <w:spacing w:before="0" w:after="120"/>
      </w:pPr>
      <w:r>
        <w:rPr>
          <w:rFonts w:ascii="Times New Roman" w:hAnsi="Times New Roman" w:cs="Times New Roman"/>
          <w:i/>
          <w:sz w:val="24"/>
          <w:szCs w:val="24"/>
        </w:rPr>
        <w:t xml:space="preserve">Minimum Detectable Pooled Indirect Effects</w:t>
      </w:r>
    </w:p>
    <w:tbl xmlns:a="http://schemas.openxmlformats.org/drawingml/2006/main" xmlns:pic="http://schemas.openxmlformats.org/drawingml/2006/picture">
      <w:tblPr>
        <w:tblLayout w:type="fixed"/>
        <w:jc w:val="start"/>
        <w:tblLook w:firstRow="1" w:lastRow="0" w:firstColumn="0" w:lastColumn="0" w:noHBand="0" w:noVBand="1"/>
      </w:tblPr>
      <w:tblGrid>
        <w:gridCol w:w="3456"/>
        <w:gridCol w:w="1123"/>
        <w:gridCol w:w="1123"/>
        <w:gridCol w:w="1123"/>
        <w:gridCol w:w="1123"/>
        <w:gridCol w:w="1123"/>
        <w:gridCol w:w="1123"/>
        <w:gridCol w:w="1123"/>
        <w:gridCol w:w="1123"/>
      </w:tblGrid>
      <w:tr>
        <w:trPr>
          <w:trHeight w:val="360" w:hRule="auto"/>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Uncorrected</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Corrected for unreliability</w:t>
            </w:r>
          </w:p>
        </w:tc>
      </w:tr>
      <w:tr>
        <w:trPr>
          <w:trHeight w:val="36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Indirect effect / 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75%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75%</w:t>
            </w:r>
          </w:p>
        </w:tc>
      </w:tr>
      <w:tr>
        <w:trPr>
          <w:trHeight w:val="360" w:hRule="auto"/>
        </w:trPr>
        <w:tc>
          <w:tcPr>
            <w:gridSpan w:val="9"/>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Actor–actor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gridSpan w:val="9"/>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Partner–partner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0.171</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0.144</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gridSpan w:val="9"/>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Actor–partner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0.067</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gridSpan w:val="9"/>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tru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Partner–actor</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0.078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0.057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0.086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0.169</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0.017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0.022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0.034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0.044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0.068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0.140</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5" w:before="15" w:line="240"/>
              <w:ind w:left="28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15" w:before="15"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w:t>
            </w:r>
          </w:p>
        </w:tc>
      </w:tr>
      <w:tr>
        <w:trPr>
          <w:trHeight w:val="360" w:hRule="auto"/>
        </w:trPr>
        <w:tc>
          <w:tcPr>
            <w:gridSpan w:val="9"/>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Smallest true indirect effect (product ab of pooled paths) over the evaluated grid (a, b ≤ 0.70) that is detected with 80% power by the joint significance test. — = not reached. The full (a, b) combinations are shown in Figures 6 and 7.</w:t>
            </w:r>
          </w:p>
        </w:tc>
      </w:tr>
    </w:tbl>
    <w:p>
      <w:pPr>
        <w:keepNext/>
        <w:pageBreakBefore/>
        <w:spacing w:before="0" w:after="120"/>
      </w:pPr>
      <w:r>
        <w:rPr>
          <w:rFonts w:ascii="Times New Roman" w:hAnsi="Times New Roman" w:cs="Times New Roman"/>
          <w:b/>
          <w:sz w:val="24"/>
          <w:szCs w:val="24"/>
        </w:rPr>
        <w:t xml:space="preserve">Table 4</w:t>
      </w:r>
    </w:p>
    <w:p>
      <w:pPr>
        <w:keepNext/>
        <w:spacing w:before="0" w:after="120"/>
      </w:pPr>
      <w:r>
        <w:rPr>
          <w:rFonts w:ascii="Times New Roman" w:hAnsi="Times New Roman" w:cs="Times New Roman"/>
          <w:i/>
          <w:sz w:val="24"/>
          <w:szCs w:val="24"/>
        </w:rPr>
        <w:t xml:space="preserve">Empirical Type I Error Rates</w:t>
      </w:r>
    </w:p>
    <w:tbl xmlns:a="http://schemas.openxmlformats.org/drawingml/2006/main" xmlns:pic="http://schemas.openxmlformats.org/drawingml/2006/picture">
      <w:tblPr>
        <w:tblLayout w:type="fixed"/>
        <w:jc w:val="start"/>
        <w:tblLook w:firstRow="1" w:lastRow="0" w:firstColumn="0" w:lastColumn="0" w:noHBand="0" w:noVBand="1"/>
      </w:tblPr>
      <w:tblGrid>
        <w:gridCol w:w="3456"/>
        <w:gridCol w:w="1123"/>
        <w:gridCol w:w="1123"/>
        <w:gridCol w:w="1123"/>
        <w:gridCol w:w="1123"/>
        <w:gridCol w:w="1123"/>
        <w:gridCol w:w="1123"/>
        <w:gridCol w:w="1123"/>
        <w:gridCol w:w="1123"/>
      </w:tblGrid>
      <w:tr>
        <w:trPr>
          <w:trHeight w:val="360" w:hRule="auto"/>
          <w:tblHeader/>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 </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Uncorrected</w:t>
            </w:r>
          </w:p>
        </w:tc>
        <w:tc>
          <w:tcPr>
            <w:gridSpan w:val="4"/>
            <w:tcBorders>
              <w:bottom w:val="single" w:sz="6"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Corrected for unreliability</w:t>
            </w:r>
          </w:p>
        </w:tc>
      </w:tr>
      <w:tr>
        <w:trPr>
          <w:trHeight w:val="360" w:hRule="auto"/>
          <w:tblHeader/>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Method</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75%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25%</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50%</w:t>
            </w:r>
          </w:p>
        </w:tc>
        <w:tc>
          <w:tcPr>
            <w:tcBorders>
              <w:bottom w:val="single" w:sz="8" w:space="0" w:color="000000"/>
              <w:top w:val="single" w:sz="6"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I² = 75%</w:t>
            </w:r>
          </w:p>
        </w:tc>
      </w:tr>
      <w:tr>
        <w:trPr>
          <w:trHeight w:val="360" w:hRule="auto"/>
        </w:trPr>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CE (z)</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.088</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.167</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.335</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.093</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.180</w:t>
            </w:r>
          </w:p>
        </w:tc>
        <w:tc>
          <w:tcPr>
            <w:tcBorders>
              <w:bottom w:val="none" w:sz="0" w:space="0" w:color="000000"/>
              <w:top w:val="single" w:sz="8"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.348</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.188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.190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.052</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 RE (KH ad hoc)</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.000</w:t>
            </w:r>
          </w:p>
        </w:tc>
      </w:tr>
      <w:tr>
        <w:trPr>
          <w:trHeight w:val="360" w:hRule="auto"/>
        </w:trPr>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(z)</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.054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.079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.061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.085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.104</w:t>
            </w:r>
          </w:p>
        </w:tc>
      </w:tr>
      <w:tr>
        <w:trPr>
          <w:trHeight w:val="360" w:hRule="auto"/>
        </w:trPr>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rma.mv(): multilevel (CR2)</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.031</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.035</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.043</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.026</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.038</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.039</w:t>
            </w:r>
          </w:p>
        </w:tc>
        <w:tc>
          <w:tcPr>
            <w:tcBorders>
              <w:bottom w:val="single" w:sz="8"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pStyle w:val="Normal"/>
              <w:jc w:val="center"/>
              <w:pBdr>
                <w:bottom w:val="none" w:sz="0" w:space="0" w:color="000000"/>
                <w:top w:val="none" w:sz="0" w:space="0" w:color="000000"/>
                <w:left w:val="none" w:sz="0" w:space="0" w:color="000000"/>
                <w:right w:val="none" w:sz="0" w:space="0" w:color="000000"/>
              </w:pBdr>
              <w:spacing w:after="30" w:before="3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false"/>
                <w:b w:val="false"/>
                <w:u w:val="none"/>
                <w:strike w:val="false"/>
                <w:sz w:val="20"/>
                <w:szCs w:val="20"/>
                <w:color w:val="000000"/>
              </w:rPr>
              <w:t xml:space="preserve">.045</w:t>
            </w:r>
          </w:p>
        </w:tc>
      </w:tr>
      <w:tr>
        <w:trPr>
          <w:trHeight w:val="360" w:hRule="auto"/>
        </w:trPr>
        <w:tc>
          <w:tcPr>
            <w:gridSpan w:val="9"/>
            <w:tcBorders>
              <w:bottom w:val="none" w:sz="0" w:space="0" w:color="FFFFFF"/>
              <w:top w:val="single" w:sz="8" w:space="0" w:color="000000"/>
              <w:left w:val="none" w:sz="0" w:space="0" w:color="FFFFFF"/>
              <w:right w:val="none" w:sz="0" w:space="0" w:color="FFFFFF"/>
            </w:tcBorders>
            <w:shd w:val="clear" w:color="auto" w:fill="FFFFFF"/>
            <w:tcMar>
              <w:top w:w="0" w:type="dxa"/>
              <w:bottom w:w="0" w:type="dxa"/>
              <w:left w:w="0" w:type="dxa"/>
              <w:right w:w="0" w:type="dxa"/>
            </w:tcMar>
            <w:vAlign w:val="center"/>
          </w:tcPr>
          <w:p>
            <w:pPr>
              <w:pStyle w:val="Normal"/>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Times New Roman" w:hAnsi="Times New Roman" w:eastAsia="Times New Roman" w:cs="Times New Roman"/>
                <w:i w:val="false"/>
                <w:b w:val="false"/>
                <w:u w:val="none"/>
                <w:strike w:val="false"/>
                <w:sz w:val="20"/>
                <w:szCs w:val="20"/>
                <w:color w:val="000000"/>
              </w:rPr>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Proportion of replications with p &lt; 0.05 when the true pooled effect is zero, averaged over the six direct effects. CR2 Satterthwaite df (median across conditions) = 1.01.</w:t>
            </w:r>
          </w:p>
        </w:tc>
      </w:tr>
    </w:tbl>
    <w:p>
      <w:pPr>
        <w:keepNext/>
        <w:pageBreakBefore/>
        <w:spacing w:before="0" w:after="120"/>
      </w:pPr>
      <w:r>
        <w:rPr>
          <w:rFonts w:ascii="Times New Roman" w:hAnsi="Times New Roman" w:cs="Times New Roman"/>
          <w:b/>
          <w:sz w:val="24"/>
          <w:szCs w:val="24"/>
        </w:rPr>
        <w:t xml:space="preserve">Figure 1</w:t>
      </w:r>
    </w:p>
    <w:p>
      <w:pPr>
        <w:keepNext/>
        <w:spacing w:before="0" w:after="120"/>
      </w:pPr>
      <w:r>
        <w:rPr>
          <w:rFonts w:ascii="Times New Roman" w:hAnsi="Times New Roman" w:cs="Times New Roman"/>
          <w:i/>
          <w:sz w:val="24"/>
          <w:szCs w:val="24"/>
        </w:rPr>
        <w:t xml:space="preserve">Power to Detect the Pooled Direct Effects: Uncorrected Paths</w:t>
      </w:r>
    </w:p>
    <w:p>
      <w:pPr>
        <w:pStyle w:val="Normal"/>
      </w:pPr>
      <w:r>
        <w:rPr/>
        <w:drawing>
          <wp:inline distT="0" distB="0" distL="0" distR="0">
            <wp:extent cx="5184648" cy="5760720"/>
            <wp:docPr id="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a:picLocks noChangeAspect="1" noChangeArrowheads="1"/>
                    </pic:cNvPicPr>
                  </pic:nvPicPr>
                  <pic:blipFill>
                    <a:blip r:embed="rId7"/>
                    <a:stretch>
                      <a:fillRect/>
                    </a:stretch>
                  </pic:blipFill>
                  <pic:spPr bwMode="auto">
                    <a:xfrm>
                      <a:off x="0" y="0"/>
                      <a:ext cx="5184648" cy="576072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Dashed line = 80% power; dotted line = α = .05; dot-dashed line = observed pooled estimate (multilevel model). Power under the random-effects data-generating model; 1000 replications per condition.</w:t>
      </w:r>
    </w:p>
    <w:p>
      <w:pPr>
        <w:keepNext/>
        <w:pageBreakBefore/>
        <w:spacing w:before="0" w:after="120"/>
      </w:pPr>
      <w:r>
        <w:rPr>
          <w:rFonts w:ascii="Times New Roman" w:hAnsi="Times New Roman" w:cs="Times New Roman"/>
          <w:b/>
          <w:sz w:val="24"/>
          <w:szCs w:val="24"/>
        </w:rPr>
        <w:t xml:space="preserve">Figure 2</w:t>
      </w:r>
    </w:p>
    <w:p>
      <w:pPr>
        <w:keepNext/>
        <w:spacing w:before="0" w:after="120"/>
      </w:pPr>
      <w:r>
        <w:rPr>
          <w:rFonts w:ascii="Times New Roman" w:hAnsi="Times New Roman" w:cs="Times New Roman"/>
          <w:i/>
          <w:sz w:val="24"/>
          <w:szCs w:val="24"/>
        </w:rPr>
        <w:t xml:space="preserve">Power to Detect the Pooled Direct Effects: Corrected for unreliability Paths</w:t>
      </w:r>
    </w:p>
    <w:p>
      <w:pPr>
        <w:pStyle w:val="Normal"/>
      </w:pPr>
      <w:r>
        <w:rPr/>
        <w:drawing>
          <wp:inline distT="0" distB="0" distL="0" distR="0">
            <wp:extent cx="5184648" cy="5760720"/>
            <wp:docPr id="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noChangeArrowheads="1"/>
                    </pic:cNvPicPr>
                  </pic:nvPicPr>
                  <pic:blipFill>
                    <a:blip r:embed="rId8"/>
                    <a:stretch>
                      <a:fillRect/>
                    </a:stretch>
                  </pic:blipFill>
                  <pic:spPr bwMode="auto">
                    <a:xfrm>
                      <a:off x="0" y="0"/>
                      <a:ext cx="5184648" cy="576072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Dashed line = 80% power; dotted line = α = .05; dot-dashed line = observed pooled estimate (multilevel model). Power under the random-effects data-generating model; 1000 replications per condition.</w:t>
      </w:r>
    </w:p>
    <w:p>
      <w:pPr>
        <w:keepNext/>
        <w:pageBreakBefore/>
        <w:spacing w:before="0" w:after="120"/>
      </w:pPr>
      <w:r>
        <w:rPr>
          <w:rFonts w:ascii="Times New Roman" w:hAnsi="Times New Roman" w:cs="Times New Roman"/>
          <w:b/>
          <w:sz w:val="24"/>
          <w:szCs w:val="24"/>
        </w:rPr>
        <w:t xml:space="preserve">Figure 3</w:t>
      </w:r>
    </w:p>
    <w:p>
      <w:pPr>
        <w:keepNext/>
        <w:spacing w:before="0" w:after="120"/>
      </w:pPr>
      <w:r>
        <w:rPr>
          <w:rFonts w:ascii="Times New Roman" w:hAnsi="Times New Roman" w:cs="Times New Roman"/>
          <w:i/>
          <w:sz w:val="24"/>
          <w:szCs w:val="24"/>
        </w:rPr>
        <w:t xml:space="preserve">Minimum Detectable Pooled Direct Effects by Heterogeneity and Method</w:t>
      </w:r>
    </w:p>
    <w:p>
      <w:pPr>
        <w:pStyle w:val="Normal"/>
      </w:pPr>
      <w:r>
        <w:rPr/>
        <w:drawing>
          <wp:inline distT="0" distB="0" distL="0" distR="0">
            <wp:extent cx="8138160" cy="4808913"/>
            <wp:docPr id="5"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noChangeArrowheads="1"/>
                    </pic:cNvPicPr>
                  </pic:nvPicPr>
                  <pic:blipFill>
                    <a:blip r:embed="rId9"/>
                    <a:stretch>
                      <a:fillRect/>
                    </a:stretch>
                  </pic:blipFill>
                  <pic:spPr bwMode="auto">
                    <a:xfrm>
                      <a:off x="0" y="0"/>
                      <a:ext cx="8138160" cy="4808913"/>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MDE = smallest true pooled effect with 80% power. Open triangles: not reached within the evaluated range (≤ 1.00). Dot-dashed line = observed pooled estimate.</w:t>
      </w:r>
    </w:p>
    <w:p>
      <w:pPr>
        <w:keepNext/>
        <w:pageBreakBefore/>
        <w:spacing w:before="0" w:after="120"/>
      </w:pPr>
      <w:r>
        <w:rPr>
          <w:rFonts w:ascii="Times New Roman" w:hAnsi="Times New Roman" w:cs="Times New Roman"/>
          <w:b/>
          <w:sz w:val="24"/>
          <w:szCs w:val="24"/>
        </w:rPr>
        <w:t xml:space="preserve">Figure 4</w:t>
      </w:r>
    </w:p>
    <w:p>
      <w:pPr>
        <w:keepNext/>
        <w:spacing w:before="0" w:after="120"/>
      </w:pPr>
      <w:r>
        <w:rPr>
          <w:rFonts w:ascii="Times New Roman" w:hAnsi="Times New Roman" w:cs="Times New Roman"/>
          <w:i/>
          <w:sz w:val="24"/>
          <w:szCs w:val="24"/>
        </w:rPr>
        <w:t xml:space="preserve">Smallest Pooled Estimate That Would Be Statistically Significant</w:t>
      </w:r>
    </w:p>
    <w:p>
      <w:pPr>
        <w:pStyle w:val="Normal"/>
      </w:pPr>
      <w:r>
        <w:rPr/>
        <w:drawing>
          <wp:inline distT="0" distB="0" distL="0" distR="0">
            <wp:extent cx="8138160" cy="4808913"/>
            <wp:docPr id="7"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a:picLocks noChangeAspect="1" noChangeArrowheads="1"/>
                    </pic:cNvPicPr>
                  </pic:nvPicPr>
                  <pic:blipFill>
                    <a:blip r:embed="rId10"/>
                    <a:stretch>
                      <a:fillRect/>
                    </a:stretch>
                  </pic:blipFill>
                  <pic:spPr bwMode="auto">
                    <a:xfrm>
                      <a:off x="0" y="0"/>
                      <a:ext cx="8138160" cy="4808913"/>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Points = median and bars = 10th–90th percentile of crit × SE across replications (upper bars truncated at the axis). For z tests with fixed V and τ² = 0 the value is constant; for random-effects, KH and CR2 it depends on the observed dispersion.</w:t>
      </w:r>
    </w:p>
    <w:p>
      <w:pPr>
        <w:keepNext/>
        <w:pageBreakBefore/>
        <w:spacing w:before="0" w:after="120"/>
      </w:pPr>
      <w:r>
        <w:rPr>
          <w:rFonts w:ascii="Times New Roman" w:hAnsi="Times New Roman" w:cs="Times New Roman"/>
          <w:b/>
          <w:sz w:val="24"/>
          <w:szCs w:val="24"/>
        </w:rPr>
        <w:t xml:space="preserve">Figure 5</w:t>
      </w:r>
    </w:p>
    <w:p>
      <w:pPr>
        <w:keepNext/>
        <w:spacing w:before="0" w:after="120"/>
      </w:pPr>
      <w:r>
        <w:rPr>
          <w:rFonts w:ascii="Times New Roman" w:hAnsi="Times New Roman" w:cs="Times New Roman"/>
          <w:i/>
          <w:sz w:val="24"/>
          <w:szCs w:val="24"/>
        </w:rPr>
        <w:t xml:space="preserve">Empirical Type I Error Rate of the Test of the Pooled Mean Effect</w:t>
      </w:r>
    </w:p>
    <w:p>
      <w:pPr>
        <w:pStyle w:val="Normal"/>
      </w:pPr>
      <w:r>
        <w:rPr/>
        <w:drawing>
          <wp:inline distT="0" distB="0" distL="0" distR="0">
            <wp:extent cx="8138160" cy="4340352"/>
            <wp:docPr id="9"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a:picLocks noChangeAspect="1" noChangeArrowheads="1"/>
                    </pic:cNvPicPr>
                  </pic:nvPicPr>
                  <pic:blipFill>
                    <a:blip r:embed="rId11"/>
                    <a:stretch>
                      <a:fillRect/>
                    </a:stretch>
                  </pic:blipFill>
                  <pic:spPr bwMode="auto">
                    <a:xfrm>
                      <a:off x="0" y="0"/>
                      <a:ext cx="8138160" cy="4340352"/>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Mean (range) across the six direct effects. Under heterogeneity, the common-effect test answers a conditional question (the weighted average of these studies), so rejection rates above .05 reflect a different inferential target rather than a coding error.</w:t>
      </w:r>
    </w:p>
    <w:p>
      <w:pPr>
        <w:keepNext/>
        <w:pageBreakBefore/>
        <w:spacing w:before="0" w:after="120"/>
      </w:pPr>
      <w:r>
        <w:rPr>
          <w:rFonts w:ascii="Times New Roman" w:hAnsi="Times New Roman" w:cs="Times New Roman"/>
          <w:b/>
          <w:sz w:val="24"/>
          <w:szCs w:val="24"/>
        </w:rPr>
        <w:t xml:space="preserve">Figure 6</w:t>
      </w:r>
    </w:p>
    <w:p>
      <w:pPr>
        <w:keepNext/>
        <w:spacing w:before="0" w:after="120"/>
      </w:pPr>
      <w:r>
        <w:rPr>
          <w:rFonts w:ascii="Times New Roman" w:hAnsi="Times New Roman" w:cs="Times New Roman"/>
          <w:i/>
          <w:sz w:val="24"/>
          <w:szCs w:val="24"/>
        </w:rPr>
        <w:t xml:space="preserve">Combinations of Pooled a and b Paths Giving 80% Power for the Indirect Effect: Uncorrected</w:t>
      </w:r>
    </w:p>
    <w:p>
      <w:pPr>
        <w:pStyle w:val="Normal"/>
      </w:pPr>
      <w:r>
        <w:rPr/>
        <w:drawing>
          <wp:inline distT="0" distB="0" distL="0" distR="0">
            <wp:extent cx="5184648" cy="5760720"/>
            <wp:docPr id="11"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a:picLocks noChangeAspect="1" noChangeArrowheads="1"/>
                    </pic:cNvPicPr>
                  </pic:nvPicPr>
                  <pic:blipFill>
                    <a:blip r:embed="rId12"/>
                    <a:stretch>
                      <a:fillRect/>
                    </a:stretch>
                  </pic:blipFill>
                  <pic:spPr bwMode="auto">
                    <a:xfrm>
                      <a:off x="0" y="0"/>
                      <a:ext cx="5184648" cy="576072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Lines = 80% power contours of the joint significance test (combinations above and to the right are detectable). Grey curves = constant indirect effect ab. × = observed pooled (a, b). Methods without a contour never reach 80% power in the plotted range.</w:t>
      </w:r>
    </w:p>
    <w:p>
      <w:pPr>
        <w:keepNext/>
        <w:pageBreakBefore/>
        <w:spacing w:before="0" w:after="120"/>
      </w:pPr>
      <w:r>
        <w:rPr>
          <w:rFonts w:ascii="Times New Roman" w:hAnsi="Times New Roman" w:cs="Times New Roman"/>
          <w:b/>
          <w:sz w:val="24"/>
          <w:szCs w:val="24"/>
        </w:rPr>
        <w:t xml:space="preserve">Figure 7</w:t>
      </w:r>
    </w:p>
    <w:p>
      <w:pPr>
        <w:keepNext/>
        <w:spacing w:before="0" w:after="120"/>
      </w:pPr>
      <w:r>
        <w:rPr>
          <w:rFonts w:ascii="Times New Roman" w:hAnsi="Times New Roman" w:cs="Times New Roman"/>
          <w:i/>
          <w:sz w:val="24"/>
          <w:szCs w:val="24"/>
        </w:rPr>
        <w:t xml:space="preserve">Combinations of Pooled a and b Paths Giving 80% Power for the Indirect Effect: Corrected for unreliability</w:t>
      </w:r>
    </w:p>
    <w:p>
      <w:pPr>
        <w:pStyle w:val="Normal"/>
      </w:pPr>
      <w:r>
        <w:rPr/>
        <w:drawing>
          <wp:inline distT="0" distB="0" distL="0" distR="0">
            <wp:extent cx="5184648" cy="5760720"/>
            <wp:docPr id="13" name=""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noChangeArrowheads="1"/>
                    </pic:cNvPicPr>
                  </pic:nvPicPr>
                  <pic:blipFill>
                    <a:blip r:embed="rId13"/>
                    <a:stretch>
                      <a:fillRect/>
                    </a:stretch>
                  </pic:blipFill>
                  <pic:spPr bwMode="auto">
                    <a:xfrm>
                      <a:off x="0" y="0"/>
                      <a:ext cx="5184648" cy="5760720"/>
                    </a:xfrm>
                    <a:prstGeom prst="rect">
                      <a:avLst/>
                    </a:prstGeom>
                    <a:noFill/>
                  </pic:spPr>
                </pic:pic>
              </a:graphicData>
            </a:graphic>
          </wp:inline>
        </w:drawing>
      </w:r>
    </w:p>
    <w:p>
      <w:pPr>
        <w:jc w:val="left"/>
        <w:pBdr>
          <w:bottom w:val="none" w:sz="0" w:space="0" w:color="000000"/>
          <w:top w:val="none" w:sz="0" w:space="0" w:color="000000"/>
          <w:left w:val="none" w:sz="0" w:space="0" w:color="000000"/>
          <w:right w:val="none" w:sz="0" w:space="0" w:color="000000"/>
        </w:pBdr>
        <w:spacing w:after="0" w:before="0" w:line="240"/>
        <w:ind w:left="0" w:right="0" w:firstLine="0" w:firstLineChars="0"/>
      </w:pPr>
      <w:r>
        <w:rPr>
          <w:rFonts w:ascii="Times New Roman" w:hAnsi="Times New Roman" w:eastAsia="Times New Roman" w:cs="Times New Roman"/>
          <w:i w:val="true"/>
          <w:b w:val="false"/>
          <w:u w:val="none"/>
          <w:strike w:val="false"/>
          <w:sz w:val="20"/>
          <w:szCs w:val="20"/>
          <w:color w:val="000000"/>
        </w:rPr>
        <w:t xml:space="preserve">Note. </w:t>
      </w:r>
      <w:r>
        <w:rPr>
          <w:rFonts w:ascii="Times New Roman" w:hAnsi="Times New Roman" w:eastAsia="Times New Roman" w:cs="Times New Roman"/>
          <w:i w:val="false"/>
          <w:b w:val="false"/>
          <w:u w:val="none"/>
          <w:strike w:val="false"/>
          <w:sz w:val="20"/>
          <w:szCs w:val="20"/>
          <w:color w:val="000000"/>
        </w:rPr>
        <w:t xml:space="preserve">k = 2. Lines = 80% power contours of the joint significance test (combinations above and to the right are detectable). Grey curves = constant indirect effect ab. × = observed pooled (a, b). Methods without a contour never reach 80% power in the plotted range.</w:t>
      </w:r>
    </w:p>
    <w:sectPr>
      <w:pgMar w:header="708" w:bottom="1440" w:top="1440" w:right="1440" w:left="1440" w:footer="708" w:gutter="0"/>
      <w:pgSz w:h="11906" w:w="16838" w:orient="landscape"/>
      <w:type w:val="continuous"/>
      <w:cols/>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 Id="rId7" Type="http://schemas.openxmlformats.org/officeDocument/2006/relationships/image" Target="media/43be06b360cd26512bcda70430ee3e7867f8a4cc.png"/>
<Relationship Id="rId8" Type="http://schemas.openxmlformats.org/officeDocument/2006/relationships/image" Target="media/e6f162f16b0232667b1acf881a3bef7808df0e37.png"/>
<Relationship Id="rId9" Type="http://schemas.openxmlformats.org/officeDocument/2006/relationships/image" Target="media/ff218c4eaba08a7d7fb268242316d373bb03ffe4.png"/>
<Relationship Id="rId10" Type="http://schemas.openxmlformats.org/officeDocument/2006/relationships/image" Target="media/55d224814b10e7d5b8e19c207b2b439a50f4f7e9.png"/>
<Relationship Id="rId11" Type="http://schemas.openxmlformats.org/officeDocument/2006/relationships/image" Target="media/d17a4bbb93a6430c6677192d3dda1768d7d280b5.png"/>
<Relationship Id="rId12" Type="http://schemas.openxmlformats.org/officeDocument/2006/relationships/image" Target="media/98503bcaa67a85b20a3c7af738ebaf21bad0df2f.png"/>
<Relationship Id="rId13" Type="http://schemas.openxmlformats.org/officeDocument/2006/relationships/image" Target="media/766e98d07efceec59eab3682cf54088acd0d527f.png"/>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jbuczny</cp:lastModifiedBy>
  <cp:revision>9</cp:revision>
  <dcterms:created xsi:type="dcterms:W3CDTF">2017-02-28T11:18:00Z</dcterms:created>
  <dcterms:modified xsi:type="dcterms:W3CDTF">2026-10-15T18:40:59Z</dcterms:modified>
  <cp:category/>
</cp:coreProperties>
</file>