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X7dd21271383cca0ae0cb253a164925eeff97804"/>
    <w:p>
      <w:pPr>
        <w:pStyle w:val="Heading1"/>
      </w:pPr>
      <w:r>
        <w:t xml:space="preserve">RENTipid Unified Multi-Login Authentication Module</w:t>
      </w:r>
    </w:p>
    <w:p>
      <w:r>
        <w:br w:type="page"/>
      </w:r>
    </w:p>
    <w:bookmarkStart w:id="10" w:name="X8f50144a19e8068046cd5aefa49d7a336fe286d"/>
    <w:p>
      <w:pPr>
        <w:pStyle w:val="Heading2"/>
      </w:pPr>
      <w:r>
        <w:t xml:space="preserve">Business Prospect and Executive Guide v1.1.0</w:t>
      </w:r>
    </w:p>
    <w:p>
      <w:pPr>
        <w:pStyle w:val="FirstParagraph"/>
      </w:pPr>
      <w:r>
        <w:rPr>
          <w:b/>
          <w:bCs/>
        </w:rPr>
        <w:t xml:space="preserve">Document status:</w:t>
      </w:r>
      <w:r>
        <w:t xml:space="preserve"> </w:t>
      </w:r>
      <w:r>
        <w:t xml:space="preserve">CLOSED / VERSION FROZEN</w:t>
      </w:r>
      <w:r>
        <w:br/>
      </w:r>
      <w:r>
        <w:rPr>
          <w:b/>
          <w:bCs/>
        </w:rPr>
        <w:t xml:space="preserve">Audience:</w:t>
      </w:r>
      <w:r>
        <w:t xml:space="preserve"> </w:t>
      </w:r>
      <w:r>
        <w:t xml:space="preserve">property and equipment businesses, vehicle-rental operators, enterprise partners, investors, LGUs, payment and insurance partners, technology partners and prospective marketplace providers</w:t>
      </w:r>
      <w:r>
        <w:br/>
      </w:r>
      <w:r>
        <w:rPr>
          <w:b/>
          <w:bCs/>
        </w:rPr>
        <w:t xml:space="preserve">Production site:</w:t>
      </w:r>
      <w:r>
        <w:t xml:space="preserve"> </w:t>
      </w:r>
      <w:hyperlink r:id="rId9">
        <w:r>
          <w:rPr>
            <w:rStyle w:val="Hyperlink"/>
          </w:rPr>
          <w:t xml:space="preserve">https://www.rentipid.com.ph</w:t>
        </w:r>
      </w:hyperlink>
    </w:p>
    <w:p>
      <w:r>
        <w:br w:type="page"/>
      </w:r>
    </w:p>
    <w:bookmarkEnd w:id="10"/>
    <w:bookmarkStart w:id="11" w:name="table-of-contents"/>
    <w:p>
      <w:pPr>
        <w:pStyle w:val="Heading2"/>
      </w:pPr>
      <w:r>
        <w:t xml:space="preserve">Table of Contents</w:t>
      </w:r>
    </w:p>
    <w:p>
      <w:pPr>
        <w:pStyle w:val="Compact"/>
        <w:numPr>
          <w:ilvl w:val="0"/>
          <w:numId w:val="1001"/>
        </w:numPr>
      </w:pPr>
      <w:hyperlink w:anchor="X543717d43dc32799f2b69c095bcabd5d470e089">
        <w:r>
          <w:rPr>
            <w:rStyle w:val="Hyperlink"/>
          </w:rPr>
          <w:t xml:space="preserve">Executive overview</w:t>
        </w:r>
      </w:hyperlink>
    </w:p>
    <w:p>
      <w:pPr>
        <w:pStyle w:val="Compact"/>
        <w:numPr>
          <w:ilvl w:val="0"/>
          <w:numId w:val="1001"/>
        </w:numPr>
      </w:pPr>
      <w:hyperlink w:anchor="X90434b8419a385cc8fe9e52bc596bb46e3562d3">
        <w:r>
          <w:rPr>
            <w:rStyle w:val="Hyperlink"/>
          </w:rPr>
          <w:t xml:space="preserve">The customer problem</w:t>
        </w:r>
      </w:hyperlink>
    </w:p>
    <w:p>
      <w:pPr>
        <w:pStyle w:val="Compact"/>
        <w:numPr>
          <w:ilvl w:val="0"/>
          <w:numId w:val="1001"/>
        </w:numPr>
      </w:pPr>
      <w:hyperlink w:anchor="X4787e4928abdaabf3f2c31a4bd57734e640cd51">
        <w:r>
          <w:rPr>
            <w:rStyle w:val="Hyperlink"/>
          </w:rPr>
          <w:t xml:space="preserve">The RENTipid solution</w:t>
        </w:r>
      </w:hyperlink>
    </w:p>
    <w:p>
      <w:pPr>
        <w:pStyle w:val="Compact"/>
        <w:numPr>
          <w:ilvl w:val="0"/>
          <w:numId w:val="1001"/>
        </w:numPr>
      </w:pPr>
      <w:hyperlink w:anchor="X30c13c0de985bc2cb81629871d3af8e9b7dc3e2">
        <w:r>
          <w:rPr>
            <w:rStyle w:val="Hyperlink"/>
          </w:rPr>
          <w:t xml:space="preserve">Supported login options</w:t>
        </w:r>
      </w:hyperlink>
    </w:p>
    <w:p>
      <w:pPr>
        <w:pStyle w:val="Compact"/>
        <w:numPr>
          <w:ilvl w:val="0"/>
          <w:numId w:val="1001"/>
        </w:numPr>
      </w:pPr>
      <w:hyperlink w:anchor="Xa25f66153e6157da2c28049cb16db06b4fd19e9">
        <w:r>
          <w:rPr>
            <w:rStyle w:val="Hyperlink"/>
          </w:rPr>
          <w:t xml:space="preserve">One account, multiple login methods</w:t>
        </w:r>
      </w:hyperlink>
    </w:p>
    <w:p>
      <w:pPr>
        <w:pStyle w:val="Compact"/>
        <w:numPr>
          <w:ilvl w:val="0"/>
          <w:numId w:val="1001"/>
        </w:numPr>
      </w:pPr>
      <w:hyperlink w:anchor="Xe91c8175ba6fb997da216a4e06ccad4a97dd5aa">
        <w:r>
          <w:rPr>
            <w:rStyle w:val="Hyperlink"/>
          </w:rPr>
          <w:t xml:space="preserve">Customer journey</w:t>
        </w:r>
      </w:hyperlink>
    </w:p>
    <w:p>
      <w:pPr>
        <w:pStyle w:val="Compact"/>
        <w:numPr>
          <w:ilvl w:val="0"/>
          <w:numId w:val="1001"/>
        </w:numPr>
      </w:pPr>
      <w:hyperlink w:anchor="X3b86055759e807158abb688e92d66f6507704eb">
        <w:r>
          <w:rPr>
            <w:rStyle w:val="Hyperlink"/>
          </w:rPr>
          <w:t xml:space="preserve">Business advantages</w:t>
        </w:r>
      </w:hyperlink>
    </w:p>
    <w:p>
      <w:pPr>
        <w:pStyle w:val="Compact"/>
        <w:numPr>
          <w:ilvl w:val="0"/>
          <w:numId w:val="1001"/>
        </w:numPr>
      </w:pPr>
      <w:hyperlink w:anchor="Xe0f552e64cd90204951a66de90712b12dbb716a">
        <w:r>
          <w:rPr>
            <w:rStyle w:val="Hyperlink"/>
          </w:rPr>
          <w:t xml:space="preserve">Security and privacy model</w:t>
        </w:r>
      </w:hyperlink>
    </w:p>
    <w:p>
      <w:pPr>
        <w:pStyle w:val="Compact"/>
        <w:numPr>
          <w:ilvl w:val="0"/>
          <w:numId w:val="1001"/>
        </w:numPr>
      </w:pPr>
      <w:hyperlink w:anchor="X62991c5c78e7c3acfedb5ab4edf505d01d3a5f1">
        <w:r>
          <w:rPr>
            <w:rStyle w:val="Hyperlink"/>
          </w:rPr>
          <w:t xml:space="preserve">Account continuity and reliability</w:t>
        </w:r>
      </w:hyperlink>
    </w:p>
    <w:p>
      <w:pPr>
        <w:pStyle w:val="Compact"/>
        <w:numPr>
          <w:ilvl w:val="0"/>
          <w:numId w:val="1001"/>
        </w:numPr>
      </w:pPr>
      <w:hyperlink w:anchor="X06d5ab00b602ea8518152108fa1777e0cc26d25">
        <w:r>
          <w:rPr>
            <w:rStyle w:val="Hyperlink"/>
          </w:rPr>
          <w:t xml:space="preserve">Marketplace integration</w:t>
        </w:r>
      </w:hyperlink>
    </w:p>
    <w:p>
      <w:pPr>
        <w:pStyle w:val="Compact"/>
        <w:numPr>
          <w:ilvl w:val="0"/>
          <w:numId w:val="1001"/>
        </w:numPr>
      </w:pPr>
      <w:hyperlink w:anchor="Xc8a99a3de8b1ead1d882f3556bfbec4c1e04614">
        <w:r>
          <w:rPr>
            <w:rStyle w:val="Hyperlink"/>
          </w:rPr>
          <w:t xml:space="preserve">Enterprise readiness and scalability</w:t>
        </w:r>
      </w:hyperlink>
    </w:p>
    <w:p>
      <w:pPr>
        <w:pStyle w:val="Compact"/>
        <w:numPr>
          <w:ilvl w:val="0"/>
          <w:numId w:val="1001"/>
        </w:numPr>
      </w:pPr>
      <w:hyperlink w:anchor="Xdfe33d4a20ddb18a97659a98d59670e1ca1fd11">
        <w:r>
          <w:rPr>
            <w:rStyle w:val="Hyperlink"/>
          </w:rPr>
          <w:t xml:space="preserve">Operations and governance</w:t>
        </w:r>
      </w:hyperlink>
    </w:p>
    <w:p>
      <w:pPr>
        <w:pStyle w:val="Compact"/>
        <w:numPr>
          <w:ilvl w:val="0"/>
          <w:numId w:val="1001"/>
        </w:numPr>
      </w:pPr>
      <w:hyperlink w:anchor="X89fde919e52c538a9df3a6be568408f672309fd">
        <w:r>
          <w:rPr>
            <w:rStyle w:val="Hyperlink"/>
          </w:rPr>
          <w:t xml:space="preserve">Business use cases</w:t>
        </w:r>
      </w:hyperlink>
    </w:p>
    <w:p>
      <w:pPr>
        <w:pStyle w:val="Compact"/>
        <w:numPr>
          <w:ilvl w:val="0"/>
          <w:numId w:val="1001"/>
        </w:numPr>
      </w:pPr>
      <w:hyperlink w:anchor="X2bf21677749f489dd07c296003100113681e79b">
        <w:r>
          <w:rPr>
            <w:rStyle w:val="Hyperlink"/>
          </w:rPr>
          <w:t xml:space="preserve">Frequently asked questions</w:t>
        </w:r>
      </w:hyperlink>
    </w:p>
    <w:p>
      <w:pPr>
        <w:pStyle w:val="Compact"/>
        <w:numPr>
          <w:ilvl w:val="0"/>
          <w:numId w:val="1001"/>
        </w:numPr>
      </w:pPr>
      <w:hyperlink w:anchor="Xe8f5f77163462736a1d3b6076aa55471db9ed9b">
        <w:r>
          <w:rPr>
            <w:rStyle w:val="Hyperlink"/>
          </w:rPr>
          <w:t xml:space="preserve">Contact and next steps</w:t>
        </w:r>
      </w:hyperlink>
    </w:p>
    <w:p>
      <w:r>
        <w:br w:type="page"/>
      </w:r>
    </w:p>
    <w:bookmarkEnd w:id="11"/>
    <w:bookmarkStart w:id="12" w:name="executive-overview"/>
    <w:p>
      <w:pPr>
        <w:pStyle w:val="Heading2"/>
      </w:pPr>
      <w:r>
        <w:t xml:space="preserve">1. Executive overview</w:t>
      </w:r>
    </w:p>
    <w:p>
      <w:pPr>
        <w:pStyle w:val="FirstParagraph"/>
      </w:pPr>
      <w:r>
        <w:t xml:space="preserve">RENTipid Unified Multi-Login gives customers five familiar ways to access one marketplace account: email/password, WhatsApp OTP, Google, Facebook and Apple. The business principle is simple: customers may change devices or prefer different identity providers, but their RENTipid account and marketplace history should remain continuous.</w:t>
      </w:r>
    </w:p>
    <w:p>
      <w:pPr>
        <w:pStyle w:val="BodyText"/>
      </w:pPr>
      <w:r>
        <w:t xml:space="preserve">The module is not an automatic account-merging feature. It uses verified provider identities and an explicit connection process. A matching email is a signal, not proof. This protects customers against a third party attaching an external identity merely because it presents the same email address.</w:t>
      </w:r>
    </w:p>
    <w:p>
      <w:pPr>
        <w:pStyle w:val="BodyText"/>
      </w:pPr>
      <w:r>
        <w:t xml:space="preserve">The v1.1.0 release is implemented, accepted, closed and frozen. The authoritative frozen tag is</w:t>
      </w:r>
      <w:r>
        <w:t xml:space="preserve"> </w:t>
      </w:r>
      <w:r>
        <w:rPr>
          <w:rStyle w:val="VerbatimChar"/>
        </w:rPr>
        <w:t xml:space="preserve">rentipid-unified-auth-v1.1.0-frozen</w:t>
      </w:r>
      <w:r>
        <w:t xml:space="preserve">; the accepted Production deployment is</w:t>
      </w:r>
      <w:r>
        <w:t xml:space="preserve"> </w:t>
      </w:r>
      <w:r>
        <w:rPr>
          <w:rStyle w:val="VerbatimChar"/>
        </w:rPr>
        <w:t xml:space="preserve">dpl_G2mNn7DAEJh4FMerSBcVhfnauZse</w:t>
      </w:r>
      <w:r>
        <w:t xml:space="preserve"> </w:t>
      </w:r>
      <w:r>
        <w:t xml:space="preserve">running source</w:t>
      </w:r>
      <w:r>
        <w:t xml:space="preserve"> </w:t>
      </w:r>
      <w:r>
        <w:rPr>
          <w:rStyle w:val="VerbatimChar"/>
        </w:rPr>
        <w:t xml:space="preserve">c0254631ea55030fd8e6c21ee73bc7a4563173ff</w:t>
      </w:r>
      <w:r>
        <w:t xml:space="preserve">.</w:t>
      </w:r>
    </w:p>
    <w:p>
      <w:r>
        <w:br w:type="page"/>
      </w:r>
    </w:p>
    <w:bookmarkEnd w:id="12"/>
    <w:bookmarkStart w:id="13" w:name="the-customer-problem"/>
    <w:p>
      <w:pPr>
        <w:pStyle w:val="Heading2"/>
      </w:pPr>
      <w:r>
        <w:t xml:space="preserve">2. The customer problem</w:t>
      </w:r>
    </w:p>
    <w:p>
      <w:pPr>
        <w:pStyle w:val="FirstParagraph"/>
      </w:pPr>
      <w:r>
        <w:t xml:space="preserve">Rental marketplaces serve customers and providers with different habits and levels of technical comfort. Some users prefer Google or Apple. Others rely on Facebook, WhatsApp or a traditional password. A single forced method can create unnecessary registration and recovery friction.</w:t>
      </w:r>
    </w:p>
    <w:p>
      <w:pPr>
        <w:pStyle w:val="BodyText"/>
      </w:pPr>
      <w:r>
        <w:t xml:space="preserve">Multiple methods can introduce a different problem if implemented poorly: duplicate customer profiles, split booking history, conflicting KYC status, scattered provider listings and unclear payment ownership. Email-only auto-merging can also create an account-takeover path.</w:t>
      </w:r>
    </w:p>
    <w:p>
      <w:pPr>
        <w:pStyle w:val="BodyText"/>
      </w:pPr>
      <w:r>
        <w:t xml:space="preserve">RENTipid addresses both sides of the problem: broad method choice at the edge and one controlled internal identity at the center.</w:t>
      </w:r>
    </w:p>
    <w:p>
      <w:r>
        <w:br w:type="page"/>
      </w:r>
    </w:p>
    <w:bookmarkEnd w:id="13"/>
    <w:bookmarkStart w:id="14" w:name="the-rentipid-solution"/>
    <w:p>
      <w:pPr>
        <w:pStyle w:val="Heading2"/>
      </w:pPr>
      <w:r>
        <w:t xml:space="preserve">3. The RENTipid solution</w:t>
      </w:r>
    </w:p>
    <w:p>
      <w:pPr>
        <w:pStyle w:val="FirstParagraph"/>
      </w:pPr>
      <w:r>
        <w:t xml:space="preserve">The architecture separates</w:t>
      </w:r>
      <w:r>
        <w:t xml:space="preserve"> </w:t>
      </w:r>
      <w:r>
        <w:rPr>
          <w:b/>
          <w:bCs/>
        </w:rPr>
        <w:t xml:space="preserve">who the customer is inside RENTipid</w:t>
      </w:r>
      <w:r>
        <w:t xml:space="preserve"> </w:t>
      </w:r>
      <w:r>
        <w:t xml:space="preserve">from</w:t>
      </w:r>
      <w:r>
        <w:t xml:space="preserve"> </w:t>
      </w:r>
      <w:r>
        <w:rPr>
          <w:b/>
          <w:bCs/>
        </w:rPr>
        <w:t xml:space="preserve">how the customer proves access today</w:t>
      </w:r>
      <w:r>
        <w:t xml:space="preserve">.</w:t>
      </w:r>
    </w:p>
    <w:p>
      <w:pPr>
        <w:pStyle w:val="SourceCode"/>
      </w:pPr>
      <w:r>
        <w:rPr>
          <w:rStyle w:val="VerbatimChar"/>
        </w:rPr>
        <w:t xml:space="preserve">Permanent RENTipid user</w:t>
      </w:r>
      <w:r>
        <w:br/>
      </w:r>
      <w:r>
        <w:rPr>
          <w:rStyle w:val="VerbatimChar"/>
        </w:rPr>
        <w:t xml:space="preserve">  + Google identity</w:t>
      </w:r>
      <w:r>
        <w:br/>
      </w:r>
      <w:r>
        <w:rPr>
          <w:rStyle w:val="VerbatimChar"/>
        </w:rPr>
        <w:t xml:space="preserve">  + Apple identity</w:t>
      </w:r>
      <w:r>
        <w:br/>
      </w:r>
      <w:r>
        <w:rPr>
          <w:rStyle w:val="VerbatimChar"/>
        </w:rPr>
        <w:t xml:space="preserve">  + Facebook identity</w:t>
      </w:r>
      <w:r>
        <w:br/>
      </w:r>
      <w:r>
        <w:rPr>
          <w:rStyle w:val="VerbatimChar"/>
        </w:rPr>
        <w:t xml:space="preserve">  + Email credential</w:t>
      </w:r>
      <w:r>
        <w:br/>
      </w:r>
      <w:r>
        <w:rPr>
          <w:rStyle w:val="VerbatimChar"/>
        </w:rPr>
        <w:t xml:space="preserve">  + WhatsApp phone identity</w:t>
      </w:r>
    </w:p>
    <w:p>
      <w:pPr>
        <w:pStyle w:val="FirstParagraph"/>
      </w:pPr>
      <w:r>
        <w:t xml:space="preserve">The permanent user owns roles, permissions, KYC and verification status, personal and business profiles, listings, bookings, payments, ledger relationships, reviews, security information and audit history. Providers supply identity proof but do not assign business authority.</w:t>
      </w:r>
    </w:p>
    <w:p>
      <w:r>
        <w:br w:type="page"/>
      </w:r>
    </w:p>
    <w:bookmarkEnd w:id="14"/>
    <w:bookmarkStart w:id="15" w:name="supported-login-options"/>
    <w:p>
      <w:pPr>
        <w:pStyle w:val="Heading2"/>
      </w:pPr>
      <w:r>
        <w:t xml:space="preserve">4. Supported login options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Capability</w:t>
            </w:r>
          </w:p>
        </w:tc>
        <w:tc>
          <w:tcPr/>
          <w:p>
            <w:pPr>
              <w:pStyle w:val="Compact"/>
            </w:pPr>
            <w:r>
              <w:t xml:space="preserve">Customer benefit</w:t>
            </w:r>
          </w:p>
        </w:tc>
        <w:tc>
          <w:tcPr/>
          <w:p>
            <w:pPr>
              <w:pStyle w:val="Compact"/>
            </w:pPr>
            <w:r>
              <w:t xml:space="preserve">Business benefit</w:t>
            </w:r>
          </w:p>
        </w:tc>
        <w:tc>
          <w:tcPr/>
          <w:p>
            <w:pPr>
              <w:pStyle w:val="Compact"/>
            </w:pPr>
            <w:r>
              <w:t xml:space="preserve">Security benefit</w:t>
            </w:r>
          </w:p>
        </w:tc>
      </w:tr>
      <w:tr>
        <w:tc>
          <w:tcPr/>
          <w:p>
            <w:pPr>
              <w:pStyle w:val="Compact"/>
            </w:pPr>
            <w:r>
              <w:t xml:space="preserve">Google login</w:t>
            </w:r>
          </w:p>
        </w:tc>
        <w:tc>
          <w:tcPr/>
          <w:p>
            <w:pPr>
              <w:pStyle w:val="Compact"/>
            </w:pPr>
            <w:r>
              <w:t xml:space="preserve">Familiar account selection and cross-device access</w:t>
            </w:r>
          </w:p>
        </w:tc>
        <w:tc>
          <w:tcPr/>
          <w:p>
            <w:pPr>
              <w:pStyle w:val="Compact"/>
            </w:pPr>
            <w:r>
              <w:t xml:space="preserve">Designed to reduce registration friction</w:t>
            </w:r>
          </w:p>
        </w:tc>
        <w:tc>
          <w:tcPr/>
          <w:p>
            <w:pPr>
              <w:pStyle w:val="Compact"/>
            </w:pPr>
            <w:r>
              <w:t xml:space="preserve">Uses durable Google subject with state, PKCE and nonce</w:t>
            </w:r>
          </w:p>
        </w:tc>
      </w:tr>
      <w:tr>
        <w:tc>
          <w:tcPr/>
          <w:p>
            <w:pPr>
              <w:pStyle w:val="Compact"/>
            </w:pPr>
            <w:r>
              <w:t xml:space="preserve">Apple login</w:t>
            </w:r>
          </w:p>
        </w:tc>
        <w:tc>
          <w:tcPr/>
          <w:p>
            <w:pPr>
              <w:pStyle w:val="Compact"/>
            </w:pPr>
            <w:r>
              <w:t xml:space="preserve">Familiar sign-in, including Hide My Email</w:t>
            </w:r>
          </w:p>
        </w:tc>
        <w:tc>
          <w:tcPr/>
          <w:p>
            <w:pPr>
              <w:pStyle w:val="Compact"/>
            </w:pPr>
            <w:r>
              <w:t xml:space="preserve">Supports Apple-oriented customers and devices</w:t>
            </w:r>
          </w:p>
        </w:tc>
        <w:tc>
          <w:tcPr/>
          <w:p>
            <w:pPr>
              <w:pStyle w:val="Compact"/>
            </w:pPr>
            <w:r>
              <w:t xml:space="preserve">Uses Apple subject, verified callback controls and private-email awareness</w:t>
            </w:r>
          </w:p>
        </w:tc>
      </w:tr>
      <w:tr>
        <w:tc>
          <w:tcPr/>
          <w:p>
            <w:pPr>
              <w:pStyle w:val="Compact"/>
            </w:pPr>
            <w:r>
              <w:t xml:space="preserve">Facebook login</w:t>
            </w:r>
          </w:p>
        </w:tc>
        <w:tc>
          <w:tcPr/>
          <w:p>
            <w:pPr>
              <w:pStyle w:val="Compact"/>
            </w:pPr>
            <w:r>
              <w:t xml:space="preserve">Familiar access for Facebook users</w:t>
            </w:r>
          </w:p>
        </w:tc>
        <w:tc>
          <w:tcPr/>
          <w:p>
            <w:pPr>
              <w:pStyle w:val="Compact"/>
            </w:pPr>
            <w:r>
              <w:t xml:space="preserve">Broadens customer choice</w:t>
            </w:r>
          </w:p>
        </w:tc>
        <w:tc>
          <w:tcPr/>
          <w:p>
            <w:pPr>
              <w:pStyle w:val="Compact"/>
            </w:pPr>
            <w:r>
              <w:t xml:space="preserve">Uses durable Facebook subject; does not require email</w:t>
            </w:r>
          </w:p>
        </w:tc>
      </w:tr>
      <w:tr>
        <w:tc>
          <w:tcPr/>
          <w:p>
            <w:pPr>
              <w:pStyle w:val="Compact"/>
            </w:pPr>
            <w:r>
              <w:t xml:space="preserve">WhatsApp OTP</w:t>
            </w:r>
          </w:p>
        </w:tc>
        <w:tc>
          <w:tcPr/>
          <w:p>
            <w:pPr>
              <w:pStyle w:val="Compact"/>
            </w:pPr>
            <w:r>
              <w:t xml:space="preserve">Passwordless proof through a common messaging channel</w:t>
            </w:r>
          </w:p>
        </w:tc>
        <w:tc>
          <w:tcPr/>
          <w:p>
            <w:pPr>
              <w:pStyle w:val="Compact"/>
            </w:pPr>
            <w:r>
              <w:t xml:space="preserve">Helps serve mobile-first customers</w:t>
            </w:r>
          </w:p>
        </w:tc>
        <w:tc>
          <w:tcPr/>
          <w:p>
            <w:pPr>
              <w:pStyle w:val="Compact"/>
            </w:pPr>
            <w:r>
              <w:t xml:space="preserve">Short-lived challenge, attempt limits, rate limits and replay protection</w:t>
            </w:r>
          </w:p>
        </w:tc>
      </w:tr>
      <w:tr>
        <w:tc>
          <w:tcPr/>
          <w:p>
            <w:pPr>
              <w:pStyle w:val="Compact"/>
            </w:pPr>
            <w:r>
              <w:t xml:space="preserve">Email/password</w:t>
            </w:r>
          </w:p>
        </w:tc>
        <w:tc>
          <w:tcPr/>
          <w:p>
            <w:pPr>
              <w:pStyle w:val="Compact"/>
            </w:pPr>
            <w:r>
              <w:t xml:space="preserve">Provider-independent traditional credential</w:t>
            </w:r>
          </w:p>
        </w:tc>
        <w:tc>
          <w:tcPr/>
          <w:p>
            <w:pPr>
              <w:pStyle w:val="Compact"/>
            </w:pPr>
            <w:r>
              <w:t xml:space="preserve">Supports customers who prefer direct RENTipid credentials</w:t>
            </w:r>
          </w:p>
        </w:tc>
        <w:tc>
          <w:tcPr/>
          <w:p>
            <w:pPr>
              <w:pStyle w:val="Compact"/>
            </w:pPr>
            <w:r>
              <w:t xml:space="preserve">Bcrypt hashing, email verification and one-time reset tokens</w:t>
            </w:r>
          </w:p>
        </w:tc>
      </w:tr>
      <w:tr>
        <w:tc>
          <w:tcPr/>
          <w:p>
            <w:pPr>
              <w:pStyle w:val="Compact"/>
            </w:pPr>
            <w:r>
              <w:t xml:space="preserve">Connected Login Methods</w:t>
            </w:r>
          </w:p>
        </w:tc>
        <w:tc>
          <w:tcPr/>
          <w:p>
            <w:pPr>
              <w:pStyle w:val="Compact"/>
            </w:pPr>
            <w:r>
              <w:t xml:space="preserve">Users can manage access paths</w:t>
            </w:r>
          </w:p>
        </w:tc>
        <w:tc>
          <w:tcPr/>
          <w:p>
            <w:pPr>
              <w:pStyle w:val="Compact"/>
            </w:pPr>
            <w:r>
              <w:t xml:space="preserve">Reduces avoidable account fragmentation and support confusion</w:t>
            </w:r>
          </w:p>
        </w:tc>
        <w:tc>
          <w:tcPr/>
          <w:p>
            <w:pPr>
              <w:pStyle w:val="Compact"/>
            </w:pPr>
            <w:r>
              <w:t xml:space="preserve">Explicit provider/user-bound linking</w:t>
            </w:r>
          </w:p>
        </w:tc>
      </w:tr>
      <w:tr>
        <w:tc>
          <w:tcPr/>
          <w:p>
            <w:pPr>
              <w:pStyle w:val="Compact"/>
            </w:pPr>
            <w:r>
              <w:t xml:space="preserve">Secure linking</w:t>
            </w:r>
          </w:p>
        </w:tc>
        <w:tc>
          <w:tcPr/>
          <w:p>
            <w:pPr>
              <w:pStyle w:val="Compact"/>
            </w:pPr>
            <w:r>
              <w:t xml:space="preserve">Multiple methods reach the same user</w:t>
            </w:r>
          </w:p>
        </w:tc>
        <w:tc>
          <w:tcPr/>
          <w:p>
            <w:pPr>
              <w:pStyle w:val="Compact"/>
            </w:pPr>
            <w:r>
              <w:t xml:space="preserve">Preserves customer and transaction continuity</w:t>
            </w:r>
          </w:p>
        </w:tc>
        <w:tc>
          <w:tcPr/>
          <w:p>
            <w:pPr>
              <w:pStyle w:val="Compact"/>
            </w:pPr>
            <w:r>
              <w:t xml:space="preserve">Matching email alone cannot authorize a link</w:t>
            </w:r>
          </w:p>
        </w:tc>
      </w:tr>
      <w:tr>
        <w:tc>
          <w:tcPr/>
          <w:p>
            <w:pPr>
              <w:pStyle w:val="Compact"/>
            </w:pPr>
            <w:r>
              <w:t xml:space="preserve">Collision protection</w:t>
            </w:r>
          </w:p>
        </w:tc>
        <w:tc>
          <w:tcPr/>
          <w:p>
            <w:pPr>
              <w:pStyle w:val="Compact"/>
            </w:pPr>
            <w:r>
              <w:t xml:space="preserve">Prevents a method from being silently moved</w:t>
            </w:r>
          </w:p>
        </w:tc>
        <w:tc>
          <w:tcPr/>
          <w:p>
            <w:pPr>
              <w:pStyle w:val="Compact"/>
            </w:pPr>
            <w:r>
              <w:t xml:space="preserve">Protects customer ownership and support integrity</w:t>
            </w:r>
          </w:p>
        </w:tc>
        <w:tc>
          <w:tcPr/>
          <w:p>
            <w:pPr>
              <w:pStyle w:val="Compact"/>
            </w:pPr>
            <w:r>
              <w:t xml:space="preserve">Unique provider+subject mapping and blocked conflicts</w:t>
            </w:r>
          </w:p>
        </w:tc>
      </w:tr>
      <w:tr>
        <w:tc>
          <w:tcPr/>
          <w:p>
            <w:pPr>
              <w:pStyle w:val="Compact"/>
            </w:pPr>
            <w:r>
              <w:t xml:space="preserve">Account recovery</w:t>
            </w:r>
          </w:p>
        </w:tc>
        <w:tc>
          <w:tcPr/>
          <w:p>
            <w:pPr>
              <w:pStyle w:val="Compact"/>
            </w:pPr>
            <w:r>
              <w:t xml:space="preserve">Alternative connected method or controlled reset</w:t>
            </w:r>
          </w:p>
        </w:tc>
        <w:tc>
          <w:tcPr/>
          <w:p>
            <w:pPr>
              <w:pStyle w:val="Compact"/>
            </w:pPr>
            <w:r>
              <w:t xml:space="preserve">Improves continuity when one method is unavailable</w:t>
            </w:r>
          </w:p>
        </w:tc>
        <w:tc>
          <w:tcPr/>
          <w:p>
            <w:pPr>
              <w:pStyle w:val="Compact"/>
            </w:pPr>
            <w:r>
              <w:t xml:space="preserve">Reset tokens are hashed, expiring and single-use</w:t>
            </w:r>
          </w:p>
        </w:tc>
      </w:tr>
      <w:tr>
        <w:tc>
          <w:tcPr/>
          <w:p>
            <w:pPr>
              <w:pStyle w:val="Compact"/>
            </w:pPr>
            <w:r>
              <w:t xml:space="preserve">Internal RBAC</w:t>
            </w:r>
          </w:p>
        </w:tc>
        <w:tc>
          <w:tcPr/>
          <w:p>
            <w:pPr>
              <w:pStyle w:val="Compact"/>
            </w:pPr>
            <w:r>
              <w:t xml:space="preserve">Consistent access after any login method</w:t>
            </w:r>
          </w:p>
        </w:tc>
        <w:tc>
          <w:tcPr/>
          <w:p>
            <w:pPr>
              <w:pStyle w:val="Compact"/>
            </w:pPr>
            <w:r>
              <w:t xml:space="preserve">Protects operator/provider/administrator boundaries</w:t>
            </w:r>
          </w:p>
        </w:tc>
        <w:tc>
          <w:tcPr/>
          <w:p>
            <w:pPr>
              <w:pStyle w:val="Compact"/>
            </w:pPr>
            <w:r>
              <w:t xml:space="preserve">Provider claims cannot assign RENTipid roles</w:t>
            </w:r>
          </w:p>
        </w:tc>
      </w:tr>
    </w:tbl>
    <w:p>
      <w:pPr>
        <w:pStyle w:val="BodyText"/>
      </w:pPr>
      <w:r>
        <w:t xml:space="preserve">No numerical conversion or revenue uplift is claimed. The design is intended to reduce friction and support continuity; measured business outcomes require analytics and controlled evaluation.</w:t>
      </w:r>
    </w:p>
    <w:p>
      <w:r>
        <w:br w:type="page"/>
      </w:r>
    </w:p>
    <w:bookmarkEnd w:id="15"/>
    <w:bookmarkStart w:id="19" w:name="one-account-multiple-login-methods"/>
    <w:p>
      <w:pPr>
        <w:pStyle w:val="Heading2"/>
      </w:pPr>
      <w:r>
        <w:t xml:space="preserve">5. One account, multiple login methods</w:t>
      </w:r>
    </w:p>
    <w:bookmarkStart w:id="16" w:name="customer-continuity"/>
    <w:p>
      <w:pPr>
        <w:pStyle w:val="Heading3"/>
      </w:pPr>
      <w:r>
        <w:t xml:space="preserve">5.1 Customer continuity</w:t>
      </w:r>
    </w:p>
    <w:p>
      <w:pPr>
        <w:pStyle w:val="FirstParagraph"/>
      </w:pPr>
      <w:r>
        <w:t xml:space="preserve">A customer who first joins through Google can later connect Apple. Either method then reaches the same profile and transaction history. The same principle applies to providers and business users, subject to the access methods they securely connect.</w:t>
      </w:r>
    </w:p>
    <w:bookmarkEnd w:id="16"/>
    <w:bookmarkStart w:id="17" w:name="why-email-is-not-the-account-key"/>
    <w:p>
      <w:pPr>
        <w:pStyle w:val="Heading3"/>
      </w:pPr>
      <w:r>
        <w:t xml:space="preserve">5.2 Why email is not the account key</w:t>
      </w:r>
    </w:p>
    <w:p>
      <w:pPr>
        <w:pStyle w:val="FirstParagraph"/>
      </w:pPr>
      <w:r>
        <w:t xml:space="preserve">Email addresses can change, be hidden or be absent. Apple may provide a private relay address. Facebook may provide no email. A Google email can be updated. RENTipid therefore uses the provider’s durable subject with the provider name and treats email as metadata.</w:t>
      </w:r>
    </w:p>
    <w:bookmarkEnd w:id="17"/>
    <w:bookmarkStart w:id="18" w:name="no-silent-same-email-merge"/>
    <w:p>
      <w:pPr>
        <w:pStyle w:val="Heading3"/>
      </w:pPr>
      <w:r>
        <w:t xml:space="preserve">5.3 No silent same-email merge</w:t>
      </w:r>
    </w:p>
    <w:p>
      <w:pPr>
        <w:pStyle w:val="FirstParagraph"/>
      </w:pPr>
      <w:r>
        <w:t xml:space="preserve">If a customer uses a new provider that reports the same email as an existing account, RENTipid asks the customer to sign in to the existing account and connect the provider in Account Security. This two-sided proof is designed to prevent account takeover and accidental customer-record consolidation.</w:t>
      </w:r>
    </w:p>
    <w:p>
      <w:r>
        <w:br w:type="page"/>
      </w:r>
    </w:p>
    <w:bookmarkEnd w:id="18"/>
    <w:bookmarkEnd w:id="19"/>
    <w:bookmarkStart w:id="24" w:name="customer-journey"/>
    <w:p>
      <w:pPr>
        <w:pStyle w:val="Heading2"/>
      </w:pPr>
      <w:r>
        <w:t xml:space="preserve">6. Customer journey</w:t>
      </w:r>
    </w:p>
    <w:bookmarkStart w:id="20" w:name="new-customer"/>
    <w:p>
      <w:pPr>
        <w:pStyle w:val="Heading3"/>
      </w:pPr>
      <w:r>
        <w:t xml:space="preserve">6.1 New customer</w:t>
      </w:r>
    </w:p>
    <w:p>
      <w:pPr>
        <w:pStyle w:val="Compact"/>
        <w:numPr>
          <w:ilvl w:val="0"/>
          <w:numId w:val="1002"/>
        </w:numPr>
      </w:pPr>
      <w:r>
        <w:t xml:space="preserve">The customer opens the RENTipid sign-in gateway.</w:t>
      </w:r>
    </w:p>
    <w:p>
      <w:pPr>
        <w:pStyle w:val="Compact"/>
        <w:numPr>
          <w:ilvl w:val="0"/>
          <w:numId w:val="1002"/>
        </w:numPr>
      </w:pPr>
      <w:r>
        <w:t xml:space="preserve">They choose a configured method.</w:t>
      </w:r>
    </w:p>
    <w:p>
      <w:pPr>
        <w:pStyle w:val="Compact"/>
        <w:numPr>
          <w:ilvl w:val="0"/>
          <w:numId w:val="1002"/>
        </w:numPr>
      </w:pPr>
      <w:r>
        <w:t xml:space="preserve">They accept current terms and privacy requirements.</w:t>
      </w:r>
    </w:p>
    <w:p>
      <w:pPr>
        <w:pStyle w:val="Compact"/>
        <w:numPr>
          <w:ilvl w:val="0"/>
          <w:numId w:val="1002"/>
        </w:numPr>
      </w:pPr>
      <w:r>
        <w:t xml:space="preserve">The method verifies ownership.</w:t>
      </w:r>
    </w:p>
    <w:p>
      <w:pPr>
        <w:pStyle w:val="Compact"/>
        <w:numPr>
          <w:ilvl w:val="0"/>
          <w:numId w:val="1002"/>
        </w:numPr>
      </w:pPr>
      <w:r>
        <w:t xml:space="preserve">RENTipid creates one internal user under public onboarding rules if no existing-account reconciliation is required.</w:t>
      </w:r>
    </w:p>
    <w:p>
      <w:pPr>
        <w:pStyle w:val="Compact"/>
        <w:numPr>
          <w:ilvl w:val="0"/>
          <w:numId w:val="1002"/>
        </w:numPr>
      </w:pPr>
      <w:r>
        <w:t xml:space="preserve">The customer continues into the marketplace.</w:t>
      </w:r>
    </w:p>
    <w:bookmarkEnd w:id="20"/>
    <w:bookmarkStart w:id="21" w:name="returning-customer"/>
    <w:p>
      <w:pPr>
        <w:pStyle w:val="Heading3"/>
      </w:pPr>
      <w:r>
        <w:t xml:space="preserve">6.2 Returning customer</w:t>
      </w:r>
    </w:p>
    <w:p>
      <w:pPr>
        <w:pStyle w:val="Compact"/>
        <w:numPr>
          <w:ilvl w:val="0"/>
          <w:numId w:val="1003"/>
        </w:numPr>
      </w:pPr>
      <w:r>
        <w:t xml:space="preserve">The customer chooses a connected method.</w:t>
      </w:r>
    </w:p>
    <w:p>
      <w:pPr>
        <w:pStyle w:val="Compact"/>
        <w:numPr>
          <w:ilvl w:val="0"/>
          <w:numId w:val="1003"/>
        </w:numPr>
      </w:pPr>
      <w:r>
        <w:t xml:space="preserve">RENTipid resolves the durable external identity.</w:t>
      </w:r>
    </w:p>
    <w:p>
      <w:pPr>
        <w:pStyle w:val="Compact"/>
        <w:numPr>
          <w:ilvl w:val="0"/>
          <w:numId w:val="1003"/>
        </w:numPr>
      </w:pPr>
      <w:r>
        <w:t xml:space="preserve">Account status is checked.</w:t>
      </w:r>
    </w:p>
    <w:p>
      <w:pPr>
        <w:pStyle w:val="Compact"/>
        <w:numPr>
          <w:ilvl w:val="0"/>
          <w:numId w:val="1003"/>
        </w:numPr>
      </w:pPr>
      <w:r>
        <w:t xml:space="preserve">A validated session opens the same internal user and marketplace records.</w:t>
      </w:r>
    </w:p>
    <w:bookmarkEnd w:id="21"/>
    <w:bookmarkStart w:id="22" w:name="adding-a-method"/>
    <w:p>
      <w:pPr>
        <w:pStyle w:val="Heading3"/>
      </w:pPr>
      <w:r>
        <w:t xml:space="preserve">6.3 Adding a method</w:t>
      </w:r>
    </w:p>
    <w:p>
      <w:pPr>
        <w:pStyle w:val="Compact"/>
        <w:numPr>
          <w:ilvl w:val="0"/>
          <w:numId w:val="1004"/>
        </w:numPr>
      </w:pPr>
      <w:r>
        <w:t xml:space="preserve">The customer signs in to the account they intend to keep.</w:t>
      </w:r>
    </w:p>
    <w:p>
      <w:pPr>
        <w:pStyle w:val="Compact"/>
        <w:numPr>
          <w:ilvl w:val="0"/>
          <w:numId w:val="1004"/>
        </w:numPr>
      </w:pPr>
      <w:r>
        <w:t xml:space="preserve">They open Account Security and Connected Login Methods.</w:t>
      </w:r>
    </w:p>
    <w:p>
      <w:pPr>
        <w:pStyle w:val="Compact"/>
        <w:numPr>
          <w:ilvl w:val="0"/>
          <w:numId w:val="1004"/>
        </w:numPr>
      </w:pPr>
      <w:r>
        <w:t xml:space="preserve">RENTipid creates a short-lived, signed connection intent.</w:t>
      </w:r>
    </w:p>
    <w:p>
      <w:pPr>
        <w:pStyle w:val="Compact"/>
        <w:numPr>
          <w:ilvl w:val="0"/>
          <w:numId w:val="1004"/>
        </w:numPr>
      </w:pPr>
      <w:r>
        <w:t xml:space="preserve">The customer authenticates the new provider.</w:t>
      </w:r>
    </w:p>
    <w:p>
      <w:pPr>
        <w:pStyle w:val="Compact"/>
        <w:numPr>
          <w:ilvl w:val="0"/>
          <w:numId w:val="1004"/>
        </w:numPr>
      </w:pPr>
      <w:r>
        <w:t xml:space="preserve">RENTipid confirms the provider identity is not owned elsewhere.</w:t>
      </w:r>
    </w:p>
    <w:p>
      <w:pPr>
        <w:pStyle w:val="Compact"/>
        <w:numPr>
          <w:ilvl w:val="0"/>
          <w:numId w:val="1004"/>
        </w:numPr>
      </w:pPr>
      <w:r>
        <w:t xml:space="preserve">The new method is connected to the same internal user.</w:t>
      </w:r>
    </w:p>
    <w:bookmarkEnd w:id="22"/>
    <w:bookmarkStart w:id="23" w:name="provider-conflict"/>
    <w:p>
      <w:pPr>
        <w:pStyle w:val="Heading3"/>
      </w:pPr>
      <w:r>
        <w:t xml:space="preserve">6.4 Provider conflict</w:t>
      </w:r>
    </w:p>
    <w:p>
      <w:pPr>
        <w:pStyle w:val="FirstParagraph"/>
      </w:pPr>
      <w:r>
        <w:t xml:space="preserve">If the durable provider identity is already owned by another internal user, RENTipid blocks the connection. Support investigates ownership; it does not move an identity based only on matching names or emails.</w:t>
      </w:r>
    </w:p>
    <w:p>
      <w:r>
        <w:br w:type="page"/>
      </w:r>
    </w:p>
    <w:bookmarkEnd w:id="23"/>
    <w:bookmarkEnd w:id="24"/>
    <w:bookmarkStart w:id="31" w:name="business-advantages"/>
    <w:p>
      <w:pPr>
        <w:pStyle w:val="Heading2"/>
      </w:pPr>
      <w:r>
        <w:t xml:space="preserve">7. Business advantages</w:t>
      </w:r>
    </w:p>
    <w:bookmarkStart w:id="25" w:name="reduced-registration-friction"/>
    <w:p>
      <w:pPr>
        <w:pStyle w:val="Heading3"/>
      </w:pPr>
      <w:r>
        <w:t xml:space="preserve">7.1 Reduced registration friction</w:t>
      </w:r>
    </w:p>
    <w:p>
      <w:pPr>
        <w:pStyle w:val="FirstParagraph"/>
      </w:pPr>
      <w:r>
        <w:t xml:space="preserve">Customers can choose a familiar option rather than being forced into one credential system. This is designed to make entry simpler across customer segments.</w:t>
      </w:r>
    </w:p>
    <w:bookmarkEnd w:id="25"/>
    <w:bookmarkStart w:id="26" w:name="account-continuity"/>
    <w:p>
      <w:pPr>
        <w:pStyle w:val="Heading3"/>
      </w:pPr>
      <w:r>
        <w:t xml:space="preserve">7.2 Account continuity</w:t>
      </w:r>
    </w:p>
    <w:p>
      <w:pPr>
        <w:pStyle w:val="FirstParagraph"/>
      </w:pPr>
      <w:r>
        <w:t xml:space="preserve">Multiple connected methods can reduce dependence on one external provider or one forgotten password. A customer who loses access to one method may use another already connected method.</w:t>
      </w:r>
    </w:p>
    <w:bookmarkEnd w:id="26"/>
    <w:bookmarkStart w:id="27" w:name="reduced-duplicate-account-risk"/>
    <w:p>
      <w:pPr>
        <w:pStyle w:val="Heading3"/>
      </w:pPr>
      <w:r>
        <w:t xml:space="preserve">7.3 Reduced duplicate-account risk</w:t>
      </w:r>
    </w:p>
    <w:p>
      <w:pPr>
        <w:pStyle w:val="FirstParagraph"/>
      </w:pPr>
      <w:r>
        <w:t xml:space="preserve">The explicit reconciliation path blocks creation when a new provider reports an email associated with an existing account. Durable provider uniqueness also prevents one external identity from being attached to two users.</w:t>
      </w:r>
    </w:p>
    <w:bookmarkEnd w:id="27"/>
    <w:bookmarkStart w:id="28" w:name="support-clarity"/>
    <w:p>
      <w:pPr>
        <w:pStyle w:val="Heading3"/>
      </w:pPr>
      <w:r>
        <w:t xml:space="preserve">7.4 Support clarity</w:t>
      </w:r>
    </w:p>
    <w:p>
      <w:pPr>
        <w:pStyle w:val="FirstParagraph"/>
      </w:pPr>
      <w:r>
        <w:t xml:space="preserve">Connected Login Methods gives users and support a consistent vocabulary: Connected, Not connected and unavailable. Error states such as AccountLinkRequired and Identity in use have defined, security-preserving responses.</w:t>
      </w:r>
    </w:p>
    <w:bookmarkEnd w:id="28"/>
    <w:bookmarkStart w:id="29" w:name="auditability"/>
    <w:p>
      <w:pPr>
        <w:pStyle w:val="Heading3"/>
      </w:pPr>
      <w:r>
        <w:t xml:space="preserve">7.5 Auditability</w:t>
      </w:r>
    </w:p>
    <w:p>
      <w:pPr>
        <w:pStyle w:val="FirstParagraph"/>
      </w:pPr>
      <w:r>
        <w:t xml:space="preserve">Authentication, linking, collision, OTP and session activity emits structured security evidence with sanitized metadata and derived references. This supports investigation without intentionally recording passwords, codes or tokens.</w:t>
      </w:r>
    </w:p>
    <w:bookmarkEnd w:id="29"/>
    <w:bookmarkStart w:id="30" w:name="provider-independence"/>
    <w:p>
      <w:pPr>
        <w:pStyle w:val="Heading3"/>
      </w:pPr>
      <w:r>
        <w:t xml:space="preserve">7.6 Provider independence</w:t>
      </w:r>
    </w:p>
    <w:p>
      <w:pPr>
        <w:pStyle w:val="FirstParagraph"/>
      </w:pPr>
      <w:r>
        <w:t xml:space="preserve">RENTipid’s business authority remains internal. A provider outage can affect its own method without redefining roles or ownership. Customers with another connected method can continue through that alternative.</w:t>
      </w:r>
    </w:p>
    <w:p>
      <w:r>
        <w:br w:type="page"/>
      </w:r>
    </w:p>
    <w:bookmarkEnd w:id="30"/>
    <w:bookmarkEnd w:id="31"/>
    <w:bookmarkStart w:id="37" w:name="security-and-privacy-model"/>
    <w:p>
      <w:pPr>
        <w:pStyle w:val="Heading2"/>
      </w:pPr>
      <w:r>
        <w:t xml:space="preserve">8. Security and privacy model</w:t>
      </w:r>
    </w:p>
    <w:bookmarkStart w:id="32" w:name="account-takeover-protection"/>
    <w:p>
      <w:pPr>
        <w:pStyle w:val="Heading3"/>
      </w:pPr>
      <w:r>
        <w:t xml:space="preserve">8.1 Account-takeover protection</w:t>
      </w:r>
    </w:p>
    <w:p>
      <w:pPr>
        <w:pStyle w:val="FirstParagraph"/>
      </w:pPr>
      <w:r>
        <w:t xml:space="preserve">The central protection is explicit linking. Successful sign-in to a new external provider does not automatically grant access to an existing same-email RENTipid account. The customer must also prove control of the existing account.</w:t>
      </w:r>
    </w:p>
    <w:bookmarkEnd w:id="32"/>
    <w:bookmarkStart w:id="33" w:name="provider-collision-protection"/>
    <w:p>
      <w:pPr>
        <w:pStyle w:val="Heading3"/>
      </w:pPr>
      <w:r>
        <w:t xml:space="preserve">8.2 Provider collision protection</w:t>
      </w:r>
    </w:p>
    <w:p>
      <w:pPr>
        <w:pStyle w:val="FirstParagraph"/>
      </w:pPr>
      <w:r>
        <w:t xml:space="preserve">The database and service enforce one owner for each provider subject. Conflicts are blocked and audited. This protects customers from ad hoc reassignment and protects partners from corrupted ownership records.</w:t>
      </w:r>
    </w:p>
    <w:bookmarkEnd w:id="33"/>
    <w:bookmarkStart w:id="34" w:name="oauth-protections"/>
    <w:p>
      <w:pPr>
        <w:pStyle w:val="Heading3"/>
      </w:pPr>
      <w:r>
        <w:t xml:space="preserve">8.3 OAuth protections</w:t>
      </w:r>
    </w:p>
    <w:p>
      <w:pPr>
        <w:pStyle w:val="FirstParagraph"/>
      </w:pPr>
      <w:r>
        <w:t xml:space="preserve">Google and Apple use state, PKCE and nonce. Facebook uses state. Apple supports the secure web</w:t>
      </w:r>
      <w:r>
        <w:t xml:space="preserve"> </w:t>
      </w:r>
      <w:r>
        <w:rPr>
          <w:rStyle w:val="VerbatimChar"/>
        </w:rPr>
        <w:t xml:space="preserve">form_post</w:t>
      </w:r>
      <w:r>
        <w:t xml:space="preserve"> </w:t>
      </w:r>
      <w:r>
        <w:t xml:space="preserve">callback with short-lived secure cross-site transient cookies. Security checks remain active; callback compatibility is not achieved by bypassing them.</w:t>
      </w:r>
    </w:p>
    <w:bookmarkEnd w:id="34"/>
    <w:bookmarkStart w:id="35" w:name="otp-controls"/>
    <w:p>
      <w:pPr>
        <w:pStyle w:val="Heading3"/>
      </w:pPr>
      <w:r>
        <w:t xml:space="preserve">8.4 OTP controls</w:t>
      </w:r>
    </w:p>
    <w:p>
      <w:pPr>
        <w:pStyle w:val="FirstParagraph"/>
      </w:pPr>
      <w:r>
        <w:t xml:space="preserve">WhatsApp challenges expire, have attempt budgets, are rate-limited and are consumed once. RENTipid does not fall back to SMS. Users are instructed never to disclose codes.</w:t>
      </w:r>
    </w:p>
    <w:bookmarkEnd w:id="35"/>
    <w:bookmarkStart w:id="36" w:name="privacy-principles"/>
    <w:p>
      <w:pPr>
        <w:pStyle w:val="Heading3"/>
      </w:pPr>
      <w:r>
        <w:t xml:space="preserve">8.5 Privacy principles</w:t>
      </w:r>
    </w:p>
    <w:p>
      <w:pPr>
        <w:pStyle w:val="FirstParagraph"/>
      </w:pPr>
      <w:r>
        <w:t xml:space="preserve">Email is treated as metadata for OAuth identities. Apple private relay is recognized. Facebook email may be absent. Synthetic internal addresses used by the data model are not shown as customer contact information. Secrets and raw authentication artifacts are prohibited from logs and documentation.</w:t>
      </w:r>
    </w:p>
    <w:p>
      <w:r>
        <w:br w:type="page"/>
      </w:r>
    </w:p>
    <w:bookmarkEnd w:id="36"/>
    <w:bookmarkEnd w:id="37"/>
    <w:bookmarkStart w:id="42" w:name="account-continuity-and-reliability"/>
    <w:p>
      <w:pPr>
        <w:pStyle w:val="Heading2"/>
      </w:pPr>
      <w:r>
        <w:t xml:space="preserve">9. Account continuity and reliability</w:t>
      </w:r>
    </w:p>
    <w:bookmarkStart w:id="38" w:name="cross-device-access"/>
    <w:p>
      <w:pPr>
        <w:pStyle w:val="Heading3"/>
      </w:pPr>
      <w:r>
        <w:t xml:space="preserve">9.1 Cross-device access</w:t>
      </w:r>
    </w:p>
    <w:p>
      <w:pPr>
        <w:pStyle w:val="FirstParagraph"/>
      </w:pPr>
      <w:r>
        <w:t xml:space="preserve">Provider-based and credential-based web flows support current browsers and RENTipid’s responsive/PWA surfaces. Actual provider experiences can vary by device, provider app and browser settings.</w:t>
      </w:r>
    </w:p>
    <w:bookmarkEnd w:id="38"/>
    <w:bookmarkStart w:id="39" w:name="provider-outage-isolation"/>
    <w:p>
      <w:pPr>
        <w:pStyle w:val="Heading3"/>
      </w:pPr>
      <w:r>
        <w:t xml:space="preserve">9.2 Provider outage isolation</w:t>
      </w:r>
    </w:p>
    <w:p>
      <w:pPr>
        <w:pStyle w:val="FirstParagraph"/>
      </w:pPr>
      <w:r>
        <w:t xml:space="preserve">A Google outage should not disable email/password, WhatsApp, Facebook or Apple at the application design level. Availability still depends on each method being enabled/configured and the customer already having access to it.</w:t>
      </w:r>
    </w:p>
    <w:bookmarkEnd w:id="39"/>
    <w:bookmarkStart w:id="40" w:name="session-control"/>
    <w:p>
      <w:pPr>
        <w:pStyle w:val="Heading3"/>
      </w:pPr>
      <w:r>
        <w:t xml:space="preserve">9.3 Session control</w:t>
      </w:r>
    </w:p>
    <w:p>
      <w:pPr>
        <w:pStyle w:val="FirstParagraph"/>
      </w:pPr>
      <w:r>
        <w:t xml:space="preserve">RENTipid combines browser sessions with a server registry. Users can log out, revoke another session or log out other sessions. Password reset revokes all sessions. Account-status rules are rechecked.</w:t>
      </w:r>
    </w:p>
    <w:bookmarkEnd w:id="40"/>
    <w:bookmarkStart w:id="41" w:name="business-continuity"/>
    <w:p>
      <w:pPr>
        <w:pStyle w:val="Heading3"/>
      </w:pPr>
      <w:r>
        <w:t xml:space="preserve">9.4 Business continuity</w:t>
      </w:r>
    </w:p>
    <w:p>
      <w:pPr>
        <w:pStyle w:val="FirstParagraph"/>
      </w:pPr>
      <w:r>
        <w:t xml:space="preserve">Because transactions and marketplace records belong to the internal user, changing a login method does not require transferring bookings, listings or payment history. This reduces the operational risk of using external identifiers as business keys.</w:t>
      </w:r>
    </w:p>
    <w:p>
      <w:r>
        <w:br w:type="page"/>
      </w:r>
    </w:p>
    <w:bookmarkEnd w:id="41"/>
    <w:bookmarkEnd w:id="42"/>
    <w:bookmarkStart w:id="43" w:name="marketplace-integration"/>
    <w:p>
      <w:pPr>
        <w:pStyle w:val="Heading2"/>
      </w:pPr>
      <w:r>
        <w:t xml:space="preserve">10. Marketplace integration</w:t>
      </w:r>
    </w:p>
    <w:p>
      <w:pPr>
        <w:pStyle w:val="FirstParagraph"/>
      </w:pPr>
      <w:r>
        <w:t xml:space="preserve">The same identity architecture serves:</w:t>
      </w:r>
    </w:p>
    <w:p>
      <w:pPr>
        <w:pStyle w:val="Compact"/>
        <w:numPr>
          <w:ilvl w:val="0"/>
          <w:numId w:val="1005"/>
        </w:numPr>
      </w:pPr>
      <w:r>
        <w:t xml:space="preserve">Renters seeking and booking assets</w:t>
      </w:r>
    </w:p>
    <w:p>
      <w:pPr>
        <w:pStyle w:val="Compact"/>
        <w:numPr>
          <w:ilvl w:val="0"/>
          <w:numId w:val="1005"/>
        </w:numPr>
      </w:pPr>
      <w:r>
        <w:t xml:space="preserve">Individual providers managing listings</w:t>
      </w:r>
    </w:p>
    <w:p>
      <w:pPr>
        <w:pStyle w:val="Compact"/>
        <w:numPr>
          <w:ilvl w:val="0"/>
          <w:numId w:val="1005"/>
        </w:numPr>
      </w:pPr>
      <w:r>
        <w:t xml:space="preserve">Business providers operating a rental business profile</w:t>
      </w:r>
    </w:p>
    <w:p>
      <w:pPr>
        <w:pStyle w:val="Compact"/>
        <w:numPr>
          <w:ilvl w:val="0"/>
          <w:numId w:val="1005"/>
        </w:numPr>
      </w:pPr>
      <w:r>
        <w:t xml:space="preserve">Operators and staff working under internal permissions</w:t>
      </w:r>
    </w:p>
    <w:p>
      <w:pPr>
        <w:pStyle w:val="Compact"/>
        <w:numPr>
          <w:ilvl w:val="0"/>
          <w:numId w:val="1005"/>
        </w:numPr>
      </w:pPr>
      <w:r>
        <w:t xml:space="preserve">Administrators responsible for governed platform functions</w:t>
      </w:r>
    </w:p>
    <w:p>
      <w:pPr>
        <w:pStyle w:val="FirstParagraph"/>
      </w:pPr>
      <w:r>
        <w:t xml:space="preserve">External providers never elevate a customer into a privileged role. Public onboarding roles are controlled, and staff/administrator access remains subject to RENTipid governance.</w:t>
      </w:r>
    </w:p>
    <w:p>
      <w:pPr>
        <w:pStyle w:val="BodyText"/>
      </w:pPr>
      <w:r>
        <w:t xml:space="preserve">KYC and verification stay with the internal user/profile. This permits the customer to add a sign-in method without repeating identity verification solely because their access method changed.</w:t>
      </w:r>
    </w:p>
    <w:p>
      <w:r>
        <w:br w:type="page"/>
      </w:r>
    </w:p>
    <w:bookmarkEnd w:id="43"/>
    <w:bookmarkStart w:id="49" w:name="enterprise-readiness-and-scalability"/>
    <w:p>
      <w:pPr>
        <w:pStyle w:val="Heading2"/>
      </w:pPr>
      <w:r>
        <w:t xml:space="preserve">11. Enterprise readiness and scalability</w:t>
      </w:r>
    </w:p>
    <w:bookmarkStart w:id="44" w:name="durable-identifiers"/>
    <w:p>
      <w:pPr>
        <w:pStyle w:val="Heading3"/>
      </w:pPr>
      <w:r>
        <w:t xml:space="preserve">11.1 Durable identifiers</w:t>
      </w:r>
    </w:p>
    <w:p>
      <w:pPr>
        <w:pStyle w:val="FirstParagraph"/>
      </w:pPr>
      <w:r>
        <w:t xml:space="preserve">Provider subjects and internal user IDs provide a more stable ownership model than email-only identity. Database uniqueness protects consistency during concurrent requests.</w:t>
      </w:r>
    </w:p>
    <w:bookmarkEnd w:id="44"/>
    <w:bookmarkStart w:id="45" w:name="environment-separation"/>
    <w:p>
      <w:pPr>
        <w:pStyle w:val="Heading3"/>
      </w:pPr>
      <w:r>
        <w:t xml:space="preserve">11.2 Environment separation</w:t>
      </w:r>
    </w:p>
    <w:p>
      <w:pPr>
        <w:pStyle w:val="FirstParagraph"/>
      </w:pPr>
      <w:r>
        <w:t xml:space="preserve">Local, Preview and Production are separate stages. The current Preview uses an independent deployment and database from Production. Preview must not use live customer data. Promotions follow formal gates from code complete through version freeze.</w:t>
      </w:r>
    </w:p>
    <w:bookmarkEnd w:id="45"/>
    <w:bookmarkStart w:id="46" w:name="geographic-expansion-context"/>
    <w:p>
      <w:pPr>
        <w:pStyle w:val="Heading3"/>
      </w:pPr>
      <w:r>
        <w:t xml:space="preserve">11.3 Geographic expansion context</w:t>
      </w:r>
    </w:p>
    <w:p>
      <w:pPr>
        <w:pStyle w:val="FirstParagraph"/>
      </w:pPr>
      <w:r>
        <w:t xml:space="preserve">The architecture supports E.164 phone normalization and provider-independent identity. Geographic expansion still requires validation of Twilio/WhatsApp coverage, local privacy and consumer law, provider configuration, language content and support operations. The module does not itself certify a new jurisdiction.</w:t>
      </w:r>
    </w:p>
    <w:bookmarkEnd w:id="46"/>
    <w:bookmarkStart w:id="47" w:name="multi-language-context"/>
    <w:p>
      <w:pPr>
        <w:pStyle w:val="Heading3"/>
      </w:pPr>
      <w:r>
        <w:t xml:space="preserve">11.4 Multi-language context</w:t>
      </w:r>
    </w:p>
    <w:p>
      <w:pPr>
        <w:pStyle w:val="FirstParagraph"/>
      </w:pPr>
      <w:r>
        <w:t xml:space="preserve">The identity model is language-neutral, but v1.1.0 documentation does not claim full interface localization. Translation, accessibility review and provider-language behavior require separate acceptance for each expansion.</w:t>
      </w:r>
    </w:p>
    <w:bookmarkEnd w:id="47"/>
    <w:bookmarkStart w:id="48" w:name="scalability"/>
    <w:p>
      <w:pPr>
        <w:pStyle w:val="Heading3"/>
      </w:pPr>
      <w:r>
        <w:t xml:space="preserve">11.5 Scalability</w:t>
      </w:r>
    </w:p>
    <w:p>
      <w:pPr>
        <w:pStyle w:val="FirstParagraph"/>
      </w:pPr>
      <w:r>
        <w:t xml:space="preserve">Indexed provider, phone and email identities permit direct resolution. Serverless deployment and PostgreSQL support the current application topology. No unsupported transaction-volume or latency guarantee is stated in this guide.</w:t>
      </w:r>
    </w:p>
    <w:p>
      <w:r>
        <w:br w:type="page"/>
      </w:r>
    </w:p>
    <w:bookmarkEnd w:id="48"/>
    <w:bookmarkEnd w:id="49"/>
    <w:bookmarkStart w:id="54" w:name="operations-and-governance"/>
    <w:p>
      <w:pPr>
        <w:pStyle w:val="Heading2"/>
      </w:pPr>
      <w:r>
        <w:t xml:space="preserve">12. Operations and governance</w:t>
      </w:r>
    </w:p>
    <w:bookmarkStart w:id="50" w:name="current-frozen-baseline"/>
    <w:p>
      <w:pPr>
        <w:pStyle w:val="Heading3"/>
      </w:pPr>
      <w:r>
        <w:t xml:space="preserve">12.1 Current frozen baseline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Accepted value</w:t>
            </w:r>
          </w:p>
        </w:tc>
      </w:tr>
      <w:tr>
        <w:tc>
          <w:tcPr/>
          <w:p>
            <w:pPr>
              <w:pStyle w:val="Compact"/>
            </w:pPr>
            <w:r>
              <w:t xml:space="preserve">Version</w:t>
            </w:r>
          </w:p>
        </w:tc>
        <w:tc>
          <w:tcPr/>
          <w:p>
            <w:pPr>
              <w:pStyle w:val="Compact"/>
            </w:pPr>
            <w:r>
              <w:t xml:space="preserve">v1.1.0</w:t>
            </w:r>
          </w:p>
        </w:tc>
      </w:tr>
      <w:tr>
        <w:tc>
          <w:tcPr/>
          <w:p>
            <w:pPr>
              <w:pStyle w:val="Compact"/>
            </w:pPr>
            <w:r>
              <w:t xml:space="preserve">Frozen tag</w:t>
            </w:r>
          </w:p>
        </w:tc>
        <w:tc>
          <w:tcPr/>
          <w:p>
            <w:pPr>
              <w:pStyle w:val="Compact"/>
            </w:pPr>
            <w:r>
              <w:rPr>
                <w:rStyle w:val="VerbatimChar"/>
              </w:rPr>
              <w:t xml:space="preserve">rentipid-unified-auth-v1.1.0-frozen</w:t>
            </w:r>
          </w:p>
        </w:tc>
      </w:tr>
      <w:tr>
        <w:tc>
          <w:tcPr/>
          <w:p>
            <w:pPr>
              <w:pStyle w:val="Compact"/>
            </w:pPr>
            <w:r>
              <w:t xml:space="preserve">Production source</w:t>
            </w:r>
          </w:p>
        </w:tc>
        <w:tc>
          <w:tcPr/>
          <w:p>
            <w:pPr>
              <w:pStyle w:val="Compact"/>
            </w:pPr>
            <w:r>
              <w:rPr>
                <w:rStyle w:val="VerbatimChar"/>
              </w:rPr>
              <w:t xml:space="preserve">c0254631ea55030fd8e6c21ee73bc7a4563173ff</w:t>
            </w:r>
          </w:p>
        </w:tc>
      </w:tr>
      <w:tr>
        <w:tc>
          <w:tcPr/>
          <w:p>
            <w:pPr>
              <w:pStyle w:val="Compact"/>
            </w:pPr>
            <w:r>
              <w:t xml:space="preserve">Production deployment</w:t>
            </w:r>
          </w:p>
        </w:tc>
        <w:tc>
          <w:tcPr/>
          <w:p>
            <w:pPr>
              <w:pStyle w:val="Compact"/>
            </w:pPr>
            <w:r>
              <w:rPr>
                <w:rStyle w:val="VerbatimChar"/>
              </w:rPr>
              <w:t xml:space="preserve">dpl_G2mNn7DAEJh4FMerSBcVhfnauZse</w:t>
            </w:r>
          </w:p>
        </w:tc>
      </w:tr>
      <w:tr>
        <w:tc>
          <w:tcPr/>
          <w:p>
            <w:pPr>
              <w:pStyle w:val="Compact"/>
            </w:pPr>
            <w:r>
              <w:t xml:space="preserve">Production domain</w:t>
            </w:r>
          </w:p>
        </w:tc>
        <w:tc>
          <w:tcPr/>
          <w:p>
            <w:pPr>
              <w:pStyle w:val="Compact"/>
            </w:pPr>
            <w:r>
              <w:rPr>
                <w:rStyle w:val="VerbatimChar"/>
              </w:rPr>
              <w:t xml:space="preserve">www.rentipid.com.ph</w:t>
            </w:r>
          </w:p>
        </w:tc>
      </w:tr>
      <w:tr>
        <w:tc>
          <w:tcPr/>
          <w:p>
            <w:pPr>
              <w:pStyle w:val="Compact"/>
            </w:pPr>
            <w:r>
              <w:t xml:space="preserve">Stable Preview</w:t>
            </w:r>
          </w:p>
        </w:tc>
        <w:tc>
          <w:tcPr/>
          <w:p>
            <w:pPr>
              <w:pStyle w:val="Compact"/>
            </w:pPr>
            <w:r>
              <w:rPr>
                <w:rStyle w:val="VerbatimChar"/>
              </w:rPr>
              <w:t xml:space="preserve">preview.rentipid.com.ph</w:t>
            </w:r>
          </w:p>
        </w:tc>
      </w:tr>
    </w:tbl>
    <w:bookmarkEnd w:id="50"/>
    <w:bookmarkStart w:id="51" w:name="operational-verification"/>
    <w:p>
      <w:pPr>
        <w:pStyle w:val="Heading3"/>
      </w:pPr>
      <w:r>
        <w:t xml:space="preserve">12.2 Operational verification</w:t>
      </w:r>
    </w:p>
    <w:p>
      <w:pPr>
        <w:pStyle w:val="FirstParagraph"/>
      </w:pPr>
      <w:r>
        <w:t xml:space="preserve">Operations can check</w:t>
      </w:r>
      <w:r>
        <w:t xml:space="preserve"> </w:t>
      </w:r>
      <w:r>
        <w:rPr>
          <w:rStyle w:val="VerbatimChar"/>
        </w:rPr>
        <w:t xml:space="preserve">/api/health</w:t>
      </w:r>
      <w:r>
        <w:t xml:space="preserve"> </w:t>
      </w:r>
      <w:r>
        <w:t xml:space="preserve">for application/database readiness and</w:t>
      </w:r>
      <w:r>
        <w:t xml:space="preserve"> </w:t>
      </w:r>
      <w:r>
        <w:rPr>
          <w:rStyle w:val="VerbatimChar"/>
        </w:rPr>
        <w:t xml:space="preserve">/api/auth/providers</w:t>
      </w:r>
      <w:r>
        <w:t xml:space="preserve"> </w:t>
      </w:r>
      <w:r>
        <w:t xml:space="preserve">for the runtime provider IDs. At manual preparation time, both Production and Preview returned ready/connected and listed the five accepted IDs.</w:t>
      </w:r>
    </w:p>
    <w:bookmarkEnd w:id="51"/>
    <w:bookmarkStart w:id="52" w:name="change-control"/>
    <w:p>
      <w:pPr>
        <w:pStyle w:val="Heading3"/>
      </w:pPr>
      <w:r>
        <w:t xml:space="preserve">12.3 Change control</w:t>
      </w:r>
    </w:p>
    <w:p>
      <w:pPr>
        <w:pStyle w:val="FirstParagraph"/>
      </w:pPr>
      <w:r>
        <w:t xml:space="preserve">The frozen tag is immutable. Future provider, linking, schema, cookie or session changes require a successor version and the RENTipid promotion lifecycle. Provider secret changes are operational secrets management, not documentation content.</w:t>
      </w:r>
    </w:p>
    <w:bookmarkEnd w:id="52"/>
    <w:bookmarkStart w:id="53" w:name="lifecycle-gates"/>
    <w:p>
      <w:pPr>
        <w:pStyle w:val="Heading3"/>
      </w:pPr>
      <w:r>
        <w:t xml:space="preserve">12.4 Lifecycle gates</w:t>
      </w:r>
    </w:p>
    <w:p>
      <w:pPr>
        <w:pStyle w:val="FirstParagraph"/>
      </w:pPr>
      <w:r>
        <w:t xml:space="preserve">RENTipid records these stages: code complete; local functional; local database migrated; local required data seeded/synced; local acceptance pass; Preview migrated; Preview acceptance pass; production-ready; Production deployment/verification; completed; accepted; closed; version frozen. Skipping a gate weakens traceability and recovery confidence.</w:t>
      </w:r>
    </w:p>
    <w:p>
      <w:r>
        <w:br w:type="page"/>
      </w:r>
    </w:p>
    <w:bookmarkEnd w:id="53"/>
    <w:bookmarkEnd w:id="54"/>
    <w:bookmarkStart w:id="60" w:name="business-use-cases"/>
    <w:p>
      <w:pPr>
        <w:pStyle w:val="Heading2"/>
      </w:pPr>
      <w:r>
        <w:t xml:space="preserve">13. Business use cases</w:t>
      </w:r>
    </w:p>
    <w:bookmarkStart w:id="55" w:name="property-rental-partner"/>
    <w:p>
      <w:pPr>
        <w:pStyle w:val="Heading3"/>
      </w:pPr>
      <w:r>
        <w:t xml:space="preserve">13.1 Property rental partner</w:t>
      </w:r>
    </w:p>
    <w:p>
      <w:pPr>
        <w:pStyle w:val="FirstParagraph"/>
      </w:pPr>
      <w:r>
        <w:t xml:space="preserve">A renter joins with Google, later uses Apple on a new device and retains the same booking and review history after explicitly connecting Apple.</w:t>
      </w:r>
    </w:p>
    <w:bookmarkEnd w:id="55"/>
    <w:bookmarkStart w:id="56" w:name="equipment-rental-provider"/>
    <w:p>
      <w:pPr>
        <w:pStyle w:val="Heading3"/>
      </w:pPr>
      <w:r>
        <w:t xml:space="preserve">13.2 Equipment-rental provider</w:t>
      </w:r>
    </w:p>
    <w:p>
      <w:pPr>
        <w:pStyle w:val="FirstParagraph"/>
      </w:pPr>
      <w:r>
        <w:t xml:space="preserve">An individual provider keeps listings and KYC continuity while adding Facebook as an alternate method. The provider’s marketplace role remains internal; Facebook cannot change it.</w:t>
      </w:r>
    </w:p>
    <w:bookmarkEnd w:id="56"/>
    <w:bookmarkStart w:id="57" w:name="vehicle-rental-company"/>
    <w:p>
      <w:pPr>
        <w:pStyle w:val="Heading3"/>
      </w:pPr>
      <w:r>
        <w:t xml:space="preserve">13.3 Vehicle-rental company</w:t>
      </w:r>
    </w:p>
    <w:p>
      <w:pPr>
        <w:pStyle w:val="FirstParagraph"/>
      </w:pPr>
      <w:r>
        <w:t xml:space="preserve">A business user combines email/password with a provider sign-in for continuity. Business profile and ledger records remain under the same internal user relationship.</w:t>
      </w:r>
    </w:p>
    <w:bookmarkEnd w:id="57"/>
    <w:bookmarkStart w:id="58" w:name="lgu-or-institutional-partner"/>
    <w:p>
      <w:pPr>
        <w:pStyle w:val="Heading3"/>
      </w:pPr>
      <w:r>
        <w:t xml:space="preserve">13.4 LGU or institutional partner</w:t>
      </w:r>
    </w:p>
    <w:p>
      <w:pPr>
        <w:pStyle w:val="FirstParagraph"/>
      </w:pPr>
      <w:r>
        <w:t xml:space="preserve">Staff and administrator roles remain governed by RENTipid even when personnel use familiar identity providers. External profile claims cannot grant privileged access.</w:t>
      </w:r>
    </w:p>
    <w:bookmarkEnd w:id="58"/>
    <w:bookmarkStart w:id="59" w:name="payment-or-insurance-partner"/>
    <w:p>
      <w:pPr>
        <w:pStyle w:val="Heading3"/>
      </w:pPr>
      <w:r>
        <w:t xml:space="preserve">13.5 Payment or insurance partner</w:t>
      </w:r>
    </w:p>
    <w:p>
      <w:pPr>
        <w:pStyle w:val="FirstParagraph"/>
      </w:pPr>
      <w:r>
        <w:t xml:space="preserve">Partner integrations can refer to the stable internal user rather than a changeable email address. Authentication changes do not redefine the owner of transaction history.</w:t>
      </w:r>
    </w:p>
    <w:p>
      <w:r>
        <w:br w:type="page"/>
      </w:r>
    </w:p>
    <w:bookmarkEnd w:id="59"/>
    <w:bookmarkEnd w:id="60"/>
    <w:bookmarkStart w:id="69" w:name="frequently-asked-questions"/>
    <w:p>
      <w:pPr>
        <w:pStyle w:val="Heading2"/>
      </w:pPr>
      <w:r>
        <w:t xml:space="preserve">14. Frequently asked questions</w:t>
      </w:r>
    </w:p>
    <w:bookmarkStart w:id="61" w:name="does-this-replace-kyc"/>
    <w:p>
      <w:pPr>
        <w:pStyle w:val="Heading3"/>
      </w:pPr>
      <w:r>
        <w:t xml:space="preserve">Does this replace KYC?</w:t>
      </w:r>
    </w:p>
    <w:p>
      <w:pPr>
        <w:pStyle w:val="FirstParagraph"/>
      </w:pPr>
      <w:r>
        <w:t xml:space="preserve">No. Authentication proves account access. KYC and verification are separate RENTipid records and processes.</w:t>
      </w:r>
    </w:p>
    <w:bookmarkEnd w:id="61"/>
    <w:bookmarkStart w:id="62" w:name="Xea8fed3be0a36d4725967d90182e2fd8399d0e2"/>
    <w:p>
      <w:pPr>
        <w:pStyle w:val="Heading3"/>
      </w:pPr>
      <w:r>
        <w:t xml:space="preserve">Does it merge any two users with the same email?</w:t>
      </w:r>
    </w:p>
    <w:p>
      <w:pPr>
        <w:pStyle w:val="FirstParagraph"/>
      </w:pPr>
      <w:r>
        <w:t xml:space="preserve">No. Same-email auto-link is disabled. Explicit proof and secure linking are required.</w:t>
      </w:r>
    </w:p>
    <w:bookmarkEnd w:id="62"/>
    <w:bookmarkStart w:id="63" w:name="can-a-user-connect-all-five-methods"/>
    <w:p>
      <w:pPr>
        <w:pStyle w:val="Heading3"/>
      </w:pPr>
      <w:r>
        <w:t xml:space="preserve">Can a user connect all five methods?</w:t>
      </w:r>
    </w:p>
    <w:p>
      <w:pPr>
        <w:pStyle w:val="FirstParagraph"/>
      </w:pPr>
      <w:r>
        <w:t xml:space="preserve">The data model supports multiple verified methods. The current Connected Login Methods UI directly exposes OAuth connect/disconnect controls; email and phone methods follow their credential/verification flows.</w:t>
      </w:r>
    </w:p>
    <w:bookmarkEnd w:id="63"/>
    <w:bookmarkStart w:id="64" w:name="X5960c876fba72411515b3a811d856427c3499b5"/>
    <w:p>
      <w:pPr>
        <w:pStyle w:val="Heading3"/>
      </w:pPr>
      <w:r>
        <w:t xml:space="preserve">Does Apple Hide My Email create a duplicate?</w:t>
      </w:r>
    </w:p>
    <w:p>
      <w:pPr>
        <w:pStyle w:val="FirstParagraph"/>
      </w:pPr>
      <w:r>
        <w:t xml:space="preserve">Not when the existing Apple subject is already linked. The durable Apple subject, not relay email, identifies the connection. A new subject with a possible existing account goes through secure reconciliation.</w:t>
      </w:r>
    </w:p>
    <w:bookmarkEnd w:id="64"/>
    <w:bookmarkStart w:id="65" w:name="what-if-facebook-supplies-no-email"/>
    <w:p>
      <w:pPr>
        <w:pStyle w:val="Heading3"/>
      </w:pPr>
      <w:r>
        <w:t xml:space="preserve">What if Facebook supplies no email?</w:t>
      </w:r>
    </w:p>
    <w:p>
      <w:pPr>
        <w:pStyle w:val="FirstParagraph"/>
      </w:pPr>
      <w:r>
        <w:t xml:space="preserve">The Facebook subject remains the identity key. The customer can manage contact data separately.</w:t>
      </w:r>
    </w:p>
    <w:bookmarkEnd w:id="65"/>
    <w:bookmarkStart w:id="66" w:name="does-multi-login-eliminate-support-cases"/>
    <w:p>
      <w:pPr>
        <w:pStyle w:val="Heading3"/>
      </w:pPr>
      <w:r>
        <w:t xml:space="preserve">Does multi-login eliminate support cases?</w:t>
      </w:r>
    </w:p>
    <w:p>
      <w:pPr>
        <w:pStyle w:val="FirstParagraph"/>
      </w:pPr>
      <w:r>
        <w:t xml:space="preserve">No. It provides clearer and safer flows. Provider outages, lost access, disputed ownership and configuration errors still require support and operations procedures.</w:t>
      </w:r>
    </w:p>
    <w:bookmarkEnd w:id="66"/>
    <w:bookmarkStart w:id="67" w:name="X7ad7581a7b81e239970710af0ff465538f09976"/>
    <w:p>
      <w:pPr>
        <w:pStyle w:val="Heading3"/>
      </w:pPr>
      <w:r>
        <w:t xml:space="preserve">Are financial or conversion improvements guaranteed?</w:t>
      </w:r>
    </w:p>
    <w:p>
      <w:pPr>
        <w:pStyle w:val="FirstParagraph"/>
      </w:pPr>
      <w:r>
        <w:t xml:space="preserve">No. The module is designed to reduce friction and improve continuity. Business impact must be measured with appropriate analytics.</w:t>
      </w:r>
    </w:p>
    <w:bookmarkEnd w:id="67"/>
    <w:bookmarkStart w:id="68" w:name="is-production-accepted"/>
    <w:p>
      <w:pPr>
        <w:pStyle w:val="Heading3"/>
      </w:pPr>
      <w:r>
        <w:t xml:space="preserve">Is Production accepted?</w:t>
      </w:r>
    </w:p>
    <w:p>
      <w:pPr>
        <w:pStyle w:val="FirstParagraph"/>
      </w:pPr>
      <w:r>
        <w:t xml:space="preserve">Yes. The module release evidence records Production completion, owner acceptance, closure and version freeze for v1.1.0.</w:t>
      </w:r>
    </w:p>
    <w:p>
      <w:r>
        <w:br w:type="page"/>
      </w:r>
    </w:p>
    <w:bookmarkEnd w:id="68"/>
    <w:bookmarkEnd w:id="69"/>
    <w:bookmarkStart w:id="73" w:name="contact-and-next-steps"/>
    <w:p>
      <w:pPr>
        <w:pStyle w:val="Heading2"/>
      </w:pPr>
      <w:r>
        <w:t xml:space="preserve">15. Contact and next steps</w:t>
      </w:r>
    </w:p>
    <w:p>
      <w:pPr>
        <w:pStyle w:val="FirstParagraph"/>
      </w:pPr>
      <w:r>
        <w:t xml:space="preserve">For partnership, enterprise, or business inquiries, use the official contact channels published by RENTipid through its website or application.</w:t>
      </w:r>
    </w:p>
    <w:p>
      <w:pPr>
        <w:pStyle w:val="BodyText"/>
      </w:pPr>
      <w:r>
        <w:t xml:space="preserve">Recommended next steps for a prospective partner:</w:t>
      </w:r>
    </w:p>
    <w:p>
      <w:pPr>
        <w:pStyle w:val="Compact"/>
        <w:numPr>
          <w:ilvl w:val="0"/>
          <w:numId w:val="1006"/>
        </w:numPr>
      </w:pPr>
      <w:r>
        <w:t xml:space="preserve">Identify the partner’s user populations and preferred login methods.</w:t>
      </w:r>
    </w:p>
    <w:p>
      <w:pPr>
        <w:pStyle w:val="Compact"/>
        <w:numPr>
          <w:ilvl w:val="0"/>
          <w:numId w:val="1006"/>
        </w:numPr>
      </w:pPr>
      <w:r>
        <w:t xml:space="preserve">Review data protection, KYC and role-governance responsibilities separately from authentication.</w:t>
      </w:r>
    </w:p>
    <w:p>
      <w:pPr>
        <w:pStyle w:val="Compact"/>
        <w:numPr>
          <w:ilvl w:val="0"/>
          <w:numId w:val="1006"/>
        </w:numPr>
      </w:pPr>
      <w:r>
        <w:t xml:space="preserve">Confirm support escalation and provider-outage processes.</w:t>
      </w:r>
    </w:p>
    <w:p>
      <w:pPr>
        <w:pStyle w:val="Compact"/>
        <w:numPr>
          <w:ilvl w:val="0"/>
          <w:numId w:val="1006"/>
        </w:numPr>
      </w:pPr>
      <w:r>
        <w:t xml:space="preserve">Plan an isolated Preview acceptance exercise using non-production data.</w:t>
      </w:r>
    </w:p>
    <w:p>
      <w:pPr>
        <w:pStyle w:val="Compact"/>
        <w:numPr>
          <w:ilvl w:val="0"/>
          <w:numId w:val="1006"/>
        </w:numPr>
      </w:pPr>
      <w:r>
        <w:t xml:space="preserve">Define measurable customer-experience outcomes without assuming unsupported ROI.</w:t>
      </w:r>
    </w:p>
    <w:p>
      <w:pPr>
        <w:pStyle w:val="FirstParagraph"/>
      </w:pPr>
      <w:r>
        <w:t xml:space="preserve">For technical due diligence, continue with the</w:t>
      </w:r>
      <w:r>
        <w:t xml:space="preserve"> </w:t>
      </w:r>
      <w:hyperlink r:id="rId70">
        <w:r>
          <w:rPr>
            <w:rStyle w:val="Hyperlink"/>
          </w:rPr>
          <w:t xml:space="preserve">Architecture Reference</w:t>
        </w:r>
      </w:hyperlink>
      <w:r>
        <w:t xml:space="preserve">,</w:t>
      </w:r>
      <w:r>
        <w:t xml:space="preserve"> </w:t>
      </w:r>
      <w:hyperlink r:id="rId71">
        <w:r>
          <w:rPr>
            <w:rStyle w:val="Hyperlink"/>
          </w:rPr>
          <w:t xml:space="preserve">Security Reference</w:t>
        </w:r>
      </w:hyperlink>
      <w:r>
        <w:t xml:space="preserve"> </w:t>
      </w:r>
      <w:r>
        <w:t xml:space="preserve">and</w:t>
      </w:r>
      <w:r>
        <w:t xml:space="preserve"> </w:t>
      </w:r>
      <w:hyperlink r:id="rId72">
        <w:r>
          <w:rPr>
            <w:rStyle w:val="Hyperlink"/>
          </w:rPr>
          <w:t xml:space="preserve">Developer &amp; Operations Manual</w:t>
        </w:r>
      </w:hyperlink>
      <w:r>
        <w:t xml:space="preserve">.</w:t>
      </w:r>
    </w:p>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72" Target="03_RENTipid_Unified_Multi_Login_Developer_Operations_Manual_v1.1.0.md" TargetMode="External" /><Relationship Type="http://schemas.openxmlformats.org/officeDocument/2006/relationships/hyperlink" Id="rId70" Target="07_RENTipid_Unified_Multi_Login_Architecture_Reference_v1.1.0.md" TargetMode="External" /><Relationship Type="http://schemas.openxmlformats.org/officeDocument/2006/relationships/hyperlink" Id="rId71" Target="09_RENTipid_Unified_Multi_Login_Security_Reference_v1.1.0.md" TargetMode="External" /><Relationship Type="http://schemas.openxmlformats.org/officeDocument/2006/relationships/hyperlink" Id="rId9" Target="https://www.rentipid.com.ph" TargetMode="External" /></Relationships>
</file>

<file path=word/_rels/footnotes.xml.rels><?xml version="1.0" encoding="UTF-8"?><Relationships xmlns="http://schemas.openxmlformats.org/package/2006/relationships"><Relationship Type="http://schemas.openxmlformats.org/officeDocument/2006/relationships/hyperlink" Id="rId72" Target="03_RENTipid_Unified_Multi_Login_Developer_Operations_Manual_v1.1.0.md" TargetMode="External" /><Relationship Type="http://schemas.openxmlformats.org/officeDocument/2006/relationships/hyperlink" Id="rId70" Target="07_RENTipid_Unified_Multi_Login_Architecture_Reference_v1.1.0.md" TargetMode="External" /><Relationship Type="http://schemas.openxmlformats.org/officeDocument/2006/relationships/hyperlink" Id="rId71" Target="09_RENTipid_Unified_Multi_Login_Security_Reference_v1.1.0.md" TargetMode="External" /><Relationship Type="http://schemas.openxmlformats.org/officeDocument/2006/relationships/hyperlink" Id="rId9" Target="https://www.rentipid.com.p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2026-09-19T13:08:38Z</dcterms:created>
  <dcterms:modified xsi:type="dcterms:W3CDTF">2026-09-19T13:08:38Z</dcterms:modified>
</cp:coreProperties>
</file>

<file path=docProps/custom.xml><?xml version="1.0" encoding="utf-8"?>
<Properties xmlns="http://schemas.openxmlformats.org/officeDocument/2006/custom-properties" xmlns:vt="http://schemas.openxmlformats.org/officeDocument/2006/docPropsVTypes"/>
</file>