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RENTipid Complete Master Manual</w:t>
      </w:r>
    </w:p>
    <w:p>
      <w:pPr>
        <w:pStyle w:val="Author"/>
      </w:pPr>
      <w:r>
        <w:t xml:space="preserve">RENTipid</w:t>
      </w:r>
    </w:p>
    <w:p>
      <w:pPr>
        <w:pStyle w:val="Date"/>
      </w:pPr>
      <w:r>
        <w:t xml:space="preserve">2026-07-31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7" w:name="rentipid-complete-master-manual"/>
    <w:p>
      <w:pPr>
        <w:pStyle w:val="Heading1"/>
      </w:pPr>
      <w:r>
        <w:t xml:space="preserve">RENTipid Complete Master Manual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1.1</w:t>
      </w:r>
      <w:r>
        <w:br/>
      </w:r>
      <w:r>
        <w:t xml:space="preserve">Confidentiality:</w:t>
      </w:r>
      <w:r>
        <w:t xml:space="preserve"> </w:t>
      </w:r>
      <w:r>
        <w:rPr>
          <w:rStyle w:val="VerbatimChar"/>
        </w:rPr>
        <w:t xml:space="preserve">RENTipid Internal</w:t>
      </w:r>
      <w:r>
        <w:br/>
      </w:r>
      <w:r>
        <w:t xml:space="preserve">Repository:</w:t>
      </w:r>
      <w:r>
        <w:t xml:space="preserve"> </w:t>
      </w:r>
      <w:r>
        <w:rPr>
          <w:rStyle w:val="VerbatimChar"/>
        </w:rPr>
        <w:t xml:space="preserve">C:\Users\user\Documents\JD SOFTWARE PROJECTS\RENTipid</w:t>
      </w:r>
      <w:r>
        <w:br/>
      </w:r>
      <w:r>
        <w:t xml:space="preserve">Branch:</w:t>
      </w:r>
      <w:r>
        <w:t xml:space="preserve"> </w:t>
      </w:r>
      <w:r>
        <w:rPr>
          <w:rStyle w:val="VerbatimChar"/>
        </w:rPr>
        <w:t xml:space="preserve">feature/soc-phase4-threat-response</w:t>
      </w:r>
      <w:r>
        <w:br/>
      </w:r>
      <w:r>
        <w:t xml:space="preserve">Inspected HEAD:</w:t>
      </w:r>
      <w:r>
        <w:t xml:space="preserve"> </w:t>
      </w:r>
      <w:r>
        <w:rPr>
          <w:rStyle w:val="VerbatimChar"/>
        </w:rPr>
        <w:t xml:space="preserve">5804d4cceafc74e5e51b554be6f84a1b9c80e8be</w:t>
      </w:r>
      <w:r>
        <w:br/>
      </w:r>
      <w:r>
        <w:t xml:space="preserve">Generation date:</w:t>
      </w:r>
      <w:r>
        <w:t xml:space="preserve"> </w:t>
      </w:r>
      <w:r>
        <w:rPr>
          <w:rStyle w:val="VerbatimChar"/>
        </w:rPr>
        <w:t xml:space="preserve">2026-07-31</w:t>
      </w:r>
    </w:p>
    <w:bookmarkStart w:id="9" w:name="how-to-use-this-manual"/>
    <w:p>
      <w:pPr>
        <w:pStyle w:val="Heading2"/>
      </w:pPr>
      <w:r>
        <w:t xml:space="preserve">How to Use This Manual</w:t>
      </w:r>
    </w:p>
    <w:p>
      <w:pPr>
        <w:pStyle w:val="FirstParagraph"/>
      </w:pPr>
      <w:r>
        <w:t xml:space="preserve">This manual consolidates the 18 frozen registries and ten preliminary manuals.</w:t>
      </w:r>
      <w:r>
        <w:t xml:space="preserve"> </w:t>
      </w:r>
      <w:r>
        <w:t xml:space="preserve">Each chapter states the supported behavior or governance boundary and points to</w:t>
      </w:r>
      <w:r>
        <w:t xml:space="preserve"> </w:t>
      </w:r>
      <w:r>
        <w:t xml:space="preserve">the applicable evidence family. Current code establishes implementation;</w:t>
      </w:r>
      <w:r>
        <w:t xml:space="preserve"> </w:t>
      </w:r>
      <w:r>
        <w:t xml:space="preserve">accepted closure/freeze records establish phase status; external state is</w:t>
      </w:r>
      <w:r>
        <w:t xml:space="preserve"> </w:t>
      </w:r>
      <w:r>
        <w:t xml:space="preserve">never inferred from local definitions.</w:t>
      </w:r>
    </w:p>
    <w:bookmarkEnd w:id="9"/>
    <w:bookmarkStart w:id="20" w:name="Xb4278bb047e024314cdc577328891afe67c7af7"/>
    <w:p>
      <w:pPr>
        <w:pStyle w:val="Heading2"/>
      </w:pPr>
      <w:r>
        <w:t xml:space="preserve">Part I — Document Foundation and Product Context</w:t>
      </w:r>
    </w:p>
    <w:bookmarkStart w:id="10" w:name="chapter-1--manual-purpose-and-scope"/>
    <w:p>
      <w:pPr>
        <w:pStyle w:val="Heading3"/>
      </w:pPr>
      <w:r>
        <w:t xml:space="preserve">Chapter 1 — Manual Purpose and Scope</w:t>
      </w:r>
    </w:p>
    <w:p>
      <w:pPr>
        <w:pStyle w:val="FirstParagraph"/>
      </w:pPr>
      <w:r>
        <w:t xml:space="preserve">This manual supports Owner review, training, operations, engineering,</w:t>
      </w:r>
      <w:r>
        <w:t xml:space="preserve"> </w:t>
      </w:r>
      <w:r>
        <w:t xml:space="preserve">governance, and handover for every approved RENTipid module and phase. It</w:t>
      </w:r>
      <w:r>
        <w:t xml:space="preserve"> </w:t>
      </w:r>
      <w:r>
        <w:t xml:space="preserve">documents implemented, frozen, planned, limited, NO-GO, transitional, and</w:t>
      </w:r>
      <w:r>
        <w:t xml:space="preserve"> </w:t>
      </w:r>
      <w:r>
        <w:t xml:space="preserve">separately governed states without converting one status into another.</w:t>
      </w:r>
      <w:r>
        <w:t xml:space="preserve"> </w:t>
      </w:r>
      <w:r>
        <w:t xml:space="preserve">Evidence: document-control, module, phase, terminology, and gap registries.</w:t>
      </w:r>
    </w:p>
    <w:bookmarkEnd w:id="10"/>
    <w:bookmarkStart w:id="11" w:name="X70612c0240648dd56cf68e733ac845b9f171ae0"/>
    <w:p>
      <w:pPr>
        <w:pStyle w:val="Heading3"/>
      </w:pPr>
      <w:r>
        <w:t xml:space="preserve">Chapter 2 — Product Identity and Business Mission</w:t>
      </w:r>
    </w:p>
    <w:p>
      <w:pPr>
        <w:pStyle w:val="FirstParagraph"/>
      </w:pPr>
      <w:r>
        <w:t xml:space="preserve">RENTipid is a role-based rental marketplace connecting renters with individual</w:t>
      </w:r>
      <w:r>
        <w:t xml:space="preserve"> </w:t>
      </w:r>
      <w:r>
        <w:t xml:space="preserve">and business providers while supporting trust, finance, compliance, support,</w:t>
      </w:r>
      <w:r>
        <w:t xml:space="preserve"> </w:t>
      </w:r>
      <w:r>
        <w:t xml:space="preserve">privacy, and security operations. Its business goal is a reviewable rental</w:t>
      </w:r>
      <w:r>
        <w:t xml:space="preserve"> </w:t>
      </w:r>
      <w:r>
        <w:t xml:space="preserve">lifecycle rather than an uncontrolled listing or payment channel. Evidence:</w:t>
      </w:r>
      <w:r>
        <w:t xml:space="preserve"> </w:t>
      </w:r>
      <w:r>
        <w:t xml:space="preserve">module and route registries.</w:t>
      </w:r>
    </w:p>
    <w:bookmarkEnd w:id="11"/>
    <w:bookmarkStart w:id="12" w:name="chapter-3--documentation-audiences"/>
    <w:p>
      <w:pPr>
        <w:pStyle w:val="Heading3"/>
      </w:pPr>
      <w:r>
        <w:t xml:space="preserve">Chapter 3 — Documentation Audiences</w:t>
      </w:r>
    </w:p>
    <w:p>
      <w:pPr>
        <w:pStyle w:val="FirstParagraph"/>
      </w:pPr>
      <w:r>
        <w:t xml:space="preserve">Audiences are guests, renters, providers, business providers, Admin, Finance</w:t>
      </w:r>
      <w:r>
        <w:t xml:space="preserve"> </w:t>
      </w:r>
      <w:r>
        <w:t xml:space="preserve">Admin, Compliance Admin, SOC Analyst, SOC Supervisor, Super Admin, support,</w:t>
      </w:r>
      <w:r>
        <w:t xml:space="preserve"> </w:t>
      </w:r>
      <w:r>
        <w:t xml:space="preserve">developers, reviewers, and the Owner. Each audience follows its role-specific</w:t>
      </w:r>
      <w:r>
        <w:t xml:space="preserve"> </w:t>
      </w:r>
      <w:r>
        <w:t xml:space="preserve">manual; server authorization remains authoritative. Evidence: role and</w:t>
      </w:r>
      <w:r>
        <w:t xml:space="preserve"> </w:t>
      </w:r>
      <w:r>
        <w:t xml:space="preserve">documentation-traceability registries.</w:t>
      </w:r>
    </w:p>
    <w:bookmarkEnd w:id="12"/>
    <w:bookmarkStart w:id="13" w:name="chapter-4--source-authority-hierarchy"/>
    <w:p>
      <w:pPr>
        <w:pStyle w:val="Heading3"/>
      </w:pPr>
      <w:r>
        <w:t xml:space="preserve">Chapter 4 — Source-Authority Hierarchy</w:t>
      </w:r>
    </w:p>
    <w:p>
      <w:pPr>
        <w:pStyle w:val="FirstParagraph"/>
      </w:pPr>
      <w:r>
        <w:t xml:space="preserve">Current implementation and data contracts outrank manuals and plans; final</w:t>
      </w:r>
      <w:r>
        <w:t xml:space="preserve"> </w:t>
      </w:r>
      <w:r>
        <w:t xml:space="preserve">accepted/frozen governance controls phase status. Historical sources remain</w:t>
      </w:r>
      <w:r>
        <w:t xml:space="preserve"> </w:t>
      </w:r>
      <w:r>
        <w:t xml:space="preserve">traceable when superseded. Conflicts are recorded rather than silently erased.</w:t>
      </w:r>
      <w:r>
        <w:t xml:space="preserve"> </w:t>
      </w:r>
      <w:r>
        <w:t xml:space="preserve">Evidence: source-authority/conflict register.</w:t>
      </w:r>
    </w:p>
    <w:bookmarkEnd w:id="13"/>
    <w:bookmarkStart w:id="14" w:name="chapter-5--completion-premise"/>
    <w:p>
      <w:pPr>
        <w:pStyle w:val="Heading3"/>
      </w:pPr>
      <w:r>
        <w:t xml:space="preserve">Chapter 5 — Completion Premise</w:t>
      </w:r>
    </w:p>
    <w:p>
      <w:pPr>
        <w:pStyle w:val="FirstParagraph"/>
      </w:pPr>
      <w:r>
        <w:rPr>
          <w:rStyle w:val="VerbatimChar"/>
        </w:rPr>
        <w:t xml:space="preserve">VERIFIED_WITH_STATUS_CLASSIFICATION</w:t>
      </w:r>
      <w:r>
        <w:t xml:space="preserve"> </w:t>
      </w:r>
      <w:r>
        <w:t xml:space="preserve">means every approved module and phase can</w:t>
      </w:r>
      <w:r>
        <w:t xml:space="preserve"> </w:t>
      </w:r>
      <w:r>
        <w:t xml:space="preserve">be documented honestly. Optional, placeholder, deferred, disabled, NO-GO, and</w:t>
      </w:r>
      <w:r>
        <w:t xml:space="preserve"> </w:t>
      </w:r>
      <w:r>
        <w:t xml:space="preserve">not-provisioned work may remain. Only an absent exact accepted requirement is</w:t>
      </w:r>
      <w:r>
        <w:t xml:space="preserve"> </w:t>
      </w:r>
      <w:r>
        <w:t xml:space="preserve">a premise blocker. Evidence: SOC placeholder reconciliation.</w:t>
      </w:r>
    </w:p>
    <w:bookmarkEnd w:id="14"/>
    <w:bookmarkStart w:id="15" w:name="chapter-6--status-vocabulary"/>
    <w:p>
      <w:pPr>
        <w:pStyle w:val="Heading3"/>
      </w:pPr>
      <w:r>
        <w:t xml:space="preserve">Chapter 6 — Status Vocabulary</w:t>
      </w:r>
    </w:p>
    <w:p>
      <w:pPr>
        <w:pStyle w:val="FirstParagraph"/>
      </w:pPr>
      <w:r>
        <w:t xml:space="preserve">Route, capability, operational, and evidence statuses are separate dimensions.</w:t>
      </w:r>
      <w:r>
        <w:t xml:space="preserve"> </w:t>
      </w:r>
      <w:r>
        <w:t xml:space="preserve">Examples include</w:t>
      </w:r>
      <w:r>
        <w:t xml:space="preserve"> </w:t>
      </w:r>
      <w:r>
        <w:rPr>
          <w:rStyle w:val="VerbatimChar"/>
        </w:rPr>
        <w:t xml:space="preserve">NAVIGATION_SHELL_ONLY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COMPLETE_AND_FROZEN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PARTIALLY_SPLIT_IMPLEMENTATION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EXTERNAL_STATE_NOT_VERIFIED</w:t>
      </w:r>
      <w:r>
        <w:t xml:space="preserve">. Never infer</w:t>
      </w:r>
      <w:r>
        <w:t xml:space="preserve"> </w:t>
      </w:r>
      <w:r>
        <w:t xml:space="preserve">completion from a route, permission, model, test file, or Terraform resource.</w:t>
      </w:r>
    </w:p>
    <w:bookmarkEnd w:id="15"/>
    <w:bookmarkStart w:id="16" w:name="Xb5a894baf9e917758046170ea04bdfddca8de7c"/>
    <w:p>
      <w:pPr>
        <w:pStyle w:val="Heading3"/>
      </w:pPr>
      <w:r>
        <w:t xml:space="preserve">Chapter 7 — Authoritative Architecture Direction</w:t>
      </w:r>
    </w:p>
    <w:p>
      <w:pPr>
        <w:pStyle w:val="FirstParagraph"/>
      </w:pPr>
      <w:r>
        <w:t xml:space="preserve">The accepted direction is</w:t>
      </w:r>
      <w:r>
        <w:t xml:space="preserve"> </w:t>
      </w:r>
      <w:r>
        <w:rPr>
          <w:rStyle w:val="VerbatimChar"/>
        </w:rPr>
        <w:t xml:space="preserve">VERCEL_FRONTEND_WITH_AZURE_BACKEND_AND_SERVICES</w:t>
      </w:r>
      <w:r>
        <w:t xml:space="preserve">: Vercel hosts the frontend</w:t>
      </w:r>
      <w:r>
        <w:t xml:space="preserve"> </w:t>
      </w:r>
      <w:r>
        <w:t xml:space="preserve">and authentication direction while Azure is the backend/services direction.</w:t>
      </w:r>
      <w:r>
        <w:t xml:space="preserve"> </w:t>
      </w:r>
      <w:r>
        <w:t xml:space="preserve">This is architecture authority, not evidence of provisioning or cutover.</w:t>
      </w:r>
      <w:r>
        <w:t xml:space="preserve"> </w:t>
      </w:r>
      <w:r>
        <w:t xml:space="preserve">Evidence: deployment/integration registries and Phase 19B status.</w:t>
      </w:r>
    </w:p>
    <w:bookmarkEnd w:id="16"/>
    <w:bookmarkStart w:id="17" w:name="Xe5a371910bc2c469ac3990fd2ff9b672a203ca2"/>
    <w:p>
      <w:pPr>
        <w:pStyle w:val="Heading3"/>
      </w:pPr>
      <w:r>
        <w:t xml:space="preserve">Chapter 8 — Current Runtime Transition State</w:t>
      </w:r>
    </w:p>
    <w:p>
      <w:pPr>
        <w:pStyle w:val="FirstParagraph"/>
      </w:pPr>
      <w:r>
        <w:t xml:space="preserve">The repository state is</w:t>
      </w:r>
      <w:r>
        <w:t xml:space="preserve"> </w:t>
      </w:r>
      <w:r>
        <w:rPr>
          <w:rStyle w:val="VerbatimChar"/>
        </w:rPr>
        <w:t xml:space="preserve">PARTIALLY_SPLIT_IMPLEMENTATION</w:t>
      </w:r>
      <w:r>
        <w:t xml:space="preserve">. Root Next.js APIs</w:t>
      </w:r>
      <w:r>
        <w:t xml:space="preserve"> </w:t>
      </w:r>
      <w:r>
        <w:t xml:space="preserve">coexist with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apps/worker</w:t>
      </w:r>
      <w:r>
        <w:t xml:space="preserve"> </w:t>
      </w:r>
      <w:r>
        <w:t xml:space="preserve">targets; individual handlers must be</w:t>
      </w:r>
      <w:r>
        <w:t xml:space="preserve"> </w:t>
      </w:r>
      <w:r>
        <w:t xml:space="preserve">classified as authoritative, compatibility/proxy, or target implementations</w:t>
      </w:r>
      <w:r>
        <w:t xml:space="preserve"> </w:t>
      </w:r>
      <w:r>
        <w:t xml:space="preserve">before change. Evidence: API, module, and deployment registries.</w:t>
      </w:r>
    </w:p>
    <w:bookmarkEnd w:id="17"/>
    <w:bookmarkStart w:id="18" w:name="chapter-9--external-state-boundary"/>
    <w:p>
      <w:pPr>
        <w:pStyle w:val="Heading3"/>
      </w:pPr>
      <w:r>
        <w:t xml:space="preserve">Chapter 9 — External-State Boundary</w:t>
      </w:r>
    </w:p>
    <w:p>
      <w:pPr>
        <w:pStyle w:val="FirstParagraph"/>
      </w:pPr>
      <w:r>
        <w:t xml:space="preserve">Local code, domains, configuration names, Terraform, and readiness screens do</w:t>
      </w:r>
      <w:r>
        <w:t xml:space="preserve"> </w:t>
      </w:r>
      <w:r>
        <w:t xml:space="preserve">not prove current cloud resources, production health, database contents,</w:t>
      </w:r>
      <w:r>
        <w:t xml:space="preserve"> </w:t>
      </w:r>
      <w:r>
        <w:t xml:space="preserve">provider accounts, monitoring, traffic, or DNS. External verification requires</w:t>
      </w:r>
      <w:r>
        <w:t xml:space="preserve"> </w:t>
      </w:r>
      <w:r>
        <w:t xml:space="preserve">a separate authorized operation. No external system was accessed here.</w:t>
      </w:r>
    </w:p>
    <w:bookmarkEnd w:id="18"/>
    <w:bookmarkStart w:id="19" w:name="Xded467c5b1d9224978b3c07a7a1e35acd4b36c9"/>
    <w:p>
      <w:pPr>
        <w:pStyle w:val="Heading3"/>
      </w:pPr>
      <w:r>
        <w:t xml:space="preserve">Chapter 10 — Separately Governed Decisions</w:t>
      </w:r>
    </w:p>
    <w:p>
      <w:pPr>
        <w:pStyle w:val="FirstParagraph"/>
      </w:pPr>
      <w:r>
        <w:t xml:space="preserve">Database migration is</w:t>
      </w:r>
      <w:r>
        <w:t xml:space="preserve"> </w:t>
      </w:r>
      <w:r>
        <w:rPr>
          <w:rStyle w:val="VerbatimChar"/>
        </w:rPr>
        <w:t xml:space="preserve">PENDING_SEPARATE_OWNER_DECISION</w:t>
      </w:r>
      <w:r>
        <w:t xml:space="preserve">; payment activation is</w:t>
      </w:r>
      <w:r>
        <w:t xml:space="preserve"> </w:t>
      </w:r>
      <w:r>
        <w:rPr>
          <w:rStyle w:val="VerbatimChar"/>
        </w:rPr>
        <w:t xml:space="preserve">NOT_AUTHORIZED</w:t>
      </w:r>
      <w:r>
        <w:t xml:space="preserve">. Azure provisioning/deployment, traffic migration, DNS</w:t>
      </w:r>
      <w:r>
        <w:t xml:space="preserve"> </w:t>
      </w:r>
      <w:r>
        <w:t xml:space="preserve">cutover, and production data actions are not authorized by documentation.</w:t>
      </w:r>
      <w:r>
        <w:t xml:space="preserve"> </w:t>
      </w:r>
      <w:r>
        <w:t xml:space="preserve">Evidence: document control and phase/freeze register.</w:t>
      </w:r>
    </w:p>
    <w:bookmarkEnd w:id="19"/>
    <w:bookmarkEnd w:id="20"/>
    <w:bookmarkStart w:id="31" w:name="part-ii--roles-access-and-responsibility"/>
    <w:p>
      <w:pPr>
        <w:pStyle w:val="Heading2"/>
      </w:pPr>
      <w:r>
        <w:t xml:space="preserve">Part II — Roles, Access, and Responsibility</w:t>
      </w:r>
    </w:p>
    <w:bookmarkStart w:id="21" w:name="chapter-11--role-model-overview"/>
    <w:p>
      <w:pPr>
        <w:pStyle w:val="Heading3"/>
      </w:pPr>
      <w:r>
        <w:t xml:space="preserve">Chapter 11 — Role Model Overview</w:t>
      </w:r>
    </w:p>
    <w:p>
      <w:pPr>
        <w:pStyle w:val="FirstParagraph"/>
      </w:pPr>
      <w:r>
        <w:t xml:space="preserve">RENTipid separates public, marketplace, operational, finance, compliance, SOC,</w:t>
      </w:r>
      <w:r>
        <w:t xml:space="preserve"> </w:t>
      </w:r>
      <w:r>
        <w:t xml:space="preserve">and super-admin responsibilities. Server-side session, role, permission,</w:t>
      </w:r>
      <w:r>
        <w:t xml:space="preserve"> </w:t>
      </w:r>
      <w:r>
        <w:t xml:space="preserve">ownership, and state checks are the access boundary; navigation visibility is</w:t>
      </w:r>
      <w:r>
        <w:t xml:space="preserve"> </w:t>
      </w:r>
      <w:r>
        <w:t xml:space="preserve">only presentation. Evidence: role/permission and security-control registries.</w:t>
      </w:r>
    </w:p>
    <w:bookmarkEnd w:id="21"/>
    <w:bookmarkStart w:id="22" w:name="chapter-12--guest-responsibilities"/>
    <w:p>
      <w:pPr>
        <w:pStyle w:val="Heading3"/>
      </w:pPr>
      <w:r>
        <w:t xml:space="preserve">Chapter 12 — Guest Responsibilities</w:t>
      </w:r>
    </w:p>
    <w:p>
      <w:pPr>
        <w:pStyle w:val="FirstParagraph"/>
      </w:pPr>
      <w:r>
        <w:t xml:space="preserve">Guests may use public discovery, guidance, safety, legal, support, login, and</w:t>
      </w:r>
      <w:r>
        <w:t xml:space="preserve"> </w:t>
      </w:r>
      <w:r>
        <w:t xml:space="preserve">registration surfaces. They have no privileged dashboard, private marketplace,</w:t>
      </w:r>
      <w:r>
        <w:t xml:space="preserve"> </w:t>
      </w:r>
      <w:r>
        <w:t xml:space="preserve">finance, compliance, or SOC authority. Public inputs remain validated and</w:t>
      </w:r>
      <w:r>
        <w:t xml:space="preserve"> </w:t>
      </w:r>
      <w:r>
        <w:t xml:space="preserve">rate/security controls apply.</w:t>
      </w:r>
    </w:p>
    <w:bookmarkEnd w:id="22"/>
    <w:bookmarkStart w:id="23" w:name="chapter-13--renter-responsibilities"/>
    <w:p>
      <w:pPr>
        <w:pStyle w:val="Heading3"/>
      </w:pPr>
      <w:r>
        <w:t xml:space="preserve">Chapter 13 — Renter Responsibilities</w:t>
      </w:r>
    </w:p>
    <w:p>
      <w:pPr>
        <w:pStyle w:val="FirstParagraph"/>
      </w:pPr>
      <w:r>
        <w:t xml:space="preserve">Renters operate within their own booking, agreement, inspection, claim,</w:t>
      </w:r>
      <w:r>
        <w:t xml:space="preserve"> </w:t>
      </w:r>
      <w:r>
        <w:t xml:space="preserve">refund-request, receipt, and review scope. They cannot mutate provider,</w:t>
      </w:r>
      <w:r>
        <w:t xml:space="preserve"> </w:t>
      </w:r>
      <w:r>
        <w:t xml:space="preserve">finance, compliance, or SOC records. Ownership and booking state govern each</w:t>
      </w:r>
      <w:r>
        <w:t xml:space="preserve"> </w:t>
      </w:r>
      <w:r>
        <w:t xml:space="preserve">action. Evidence: renter routes and booking services.</w:t>
      </w:r>
    </w:p>
    <w:bookmarkEnd w:id="23"/>
    <w:bookmarkStart w:id="24" w:name="Xba8c9bdb9af06fe1dcf5c7257a7a9b5a4f3200a"/>
    <w:p>
      <w:pPr>
        <w:pStyle w:val="Heading3"/>
      </w:pPr>
      <w:r>
        <w:t xml:space="preserve">Chapter 14 — Individual Provider Responsibilities</w:t>
      </w:r>
    </w:p>
    <w:p>
      <w:pPr>
        <w:pStyle w:val="FirstParagraph"/>
      </w:pPr>
      <w:r>
        <w:t xml:space="preserve">Individual providers manage their listings, booking fulfillment, turnover,</w:t>
      </w:r>
      <w:r>
        <w:t xml:space="preserve"> </w:t>
      </w:r>
      <w:r>
        <w:t xml:space="preserve">return inspection, claims, ledger views, promotion opt-in, and payout views.</w:t>
      </w:r>
      <w:r>
        <w:t xml:space="preserve"> </w:t>
      </w:r>
      <w:r>
        <w:t xml:space="preserve">Publication, compliance decisions, and money movement remain separately</w:t>
      </w:r>
      <w:r>
        <w:t xml:space="preserve"> </w:t>
      </w:r>
      <w:r>
        <w:t xml:space="preserve">controlled. Evidence: provider route and workflow registries.</w:t>
      </w:r>
    </w:p>
    <w:bookmarkEnd w:id="24"/>
    <w:bookmarkStart w:id="25" w:name="X4039912767fe68ab9a4af11ded17bd7d082bd46"/>
    <w:p>
      <w:pPr>
        <w:pStyle w:val="Heading3"/>
      </w:pPr>
      <w:r>
        <w:t xml:space="preserve">Chapter 15 — Business Provider Responsibilities</w:t>
      </w:r>
    </w:p>
    <w:p>
      <w:pPr>
        <w:pStyle w:val="FirstParagraph"/>
      </w:pPr>
      <w:r>
        <w:t xml:space="preserve">Business providers use business-scoped listing and marketing surfaces while</w:t>
      </w:r>
      <w:r>
        <w:t xml:space="preserve"> </w:t>
      </w:r>
      <w:r>
        <w:t xml:space="preserve">remaining subject to organization verification and record ownership. Business</w:t>
      </w:r>
      <w:r>
        <w:t xml:space="preserve"> </w:t>
      </w:r>
      <w:r>
        <w:t xml:space="preserve">status does not grant Admin, Finance, Compliance, or SOC rights. Evidence:</w:t>
      </w:r>
      <w:r>
        <w:t xml:space="preserve"> </w:t>
      </w:r>
      <w:r>
        <w:t xml:space="preserve">role, route, and data registries.</w:t>
      </w:r>
    </w:p>
    <w:bookmarkEnd w:id="25"/>
    <w:bookmarkStart w:id="26" w:name="chapter-16--admin-responsibilities"/>
    <w:p>
      <w:pPr>
        <w:pStyle w:val="Heading3"/>
      </w:pPr>
      <w:r>
        <w:t xml:space="preserve">Chapter 16 — Admin Responsibilities</w:t>
      </w:r>
    </w:p>
    <w:p>
      <w:pPr>
        <w:pStyle w:val="FirstParagraph"/>
      </w:pPr>
      <w:r>
        <w:t xml:space="preserve">Admin manages allowed categories, bookings, disputes, support, feedback,</w:t>
      </w:r>
      <w:r>
        <w:t xml:space="preserve"> </w:t>
      </w:r>
      <w:r>
        <w:t xml:space="preserve">issues, beta/UAT, marketing, AI settings/logs, and operational dashboards.</w:t>
      </w:r>
      <w:r>
        <w:t xml:space="preserve"> </w:t>
      </w:r>
      <w:r>
        <w:t xml:space="preserve">General Admin does not implicitly inherit finance, compliance, or SOC</w:t>
      </w:r>
      <w:r>
        <w:t xml:space="preserve"> </w:t>
      </w:r>
      <w:r>
        <w:t xml:space="preserve">supervisor authority. Every mutation requires audit context.</w:t>
      </w:r>
    </w:p>
    <w:bookmarkEnd w:id="26"/>
    <w:bookmarkStart w:id="27" w:name="Xd71215e87767e393ae8b6274e2c151464132358"/>
    <w:p>
      <w:pPr>
        <w:pStyle w:val="Heading3"/>
      </w:pPr>
      <w:r>
        <w:t xml:space="preserve">Chapter 17 — Finance Admin Responsibilities</w:t>
      </w:r>
    </w:p>
    <w:p>
      <w:pPr>
        <w:pStyle w:val="FirstParagraph"/>
      </w:pPr>
      <w:r>
        <w:t xml:space="preserve">Finance Admin reviews payment, webhook, gateway, reconciliation, ledger,</w:t>
      </w:r>
      <w:r>
        <w:t xml:space="preserve"> </w:t>
      </w:r>
      <w:r>
        <w:t xml:space="preserve">deposit, refund, payout, batch, and settlement evidence. The role does not</w:t>
      </w:r>
      <w:r>
        <w:t xml:space="preserve"> </w:t>
      </w:r>
      <w:r>
        <w:t xml:space="preserve">override Phase 19 NO-GO or permit unapproved live transfers. Evidence:</w:t>
      </w:r>
      <w:r>
        <w:t xml:space="preserve"> </w:t>
      </w:r>
      <w:r>
        <w:t xml:space="preserve">finance routes, payment services, and workflow registry.</w:t>
      </w:r>
    </w:p>
    <w:bookmarkEnd w:id="27"/>
    <w:bookmarkStart w:id="28" w:name="Xcd144043e81f017fa4e90b3dbec04d7c38f8494"/>
    <w:p>
      <w:pPr>
        <w:pStyle w:val="Heading3"/>
      </w:pPr>
      <w:r>
        <w:t xml:space="preserve">Chapter 18 — Compliance Admin Responsibilities</w:t>
      </w:r>
    </w:p>
    <w:p>
      <w:pPr>
        <w:pStyle w:val="FirstParagraph"/>
      </w:pPr>
      <w:r>
        <w:t xml:space="preserve">Compliance Admin reviews KYC, verification documents, listing requirements,</w:t>
      </w:r>
      <w:r>
        <w:t xml:space="preserve"> </w:t>
      </w:r>
      <w:r>
        <w:t xml:space="preserve">and applicable policy evidence using minimum-necessary access. The role does</w:t>
      </w:r>
      <w:r>
        <w:t xml:space="preserve"> </w:t>
      </w:r>
      <w:r>
        <w:t xml:space="preserve">not automatically approve financial or security-response actions. Evidence:</w:t>
      </w:r>
      <w:r>
        <w:t xml:space="preserve"> </w:t>
      </w:r>
      <w:r>
        <w:t xml:space="preserve">verification routes, models, and role registry.</w:t>
      </w:r>
    </w:p>
    <w:bookmarkEnd w:id="28"/>
    <w:bookmarkStart w:id="29" w:name="chapter-19--soc-analyst-responsibilities"/>
    <w:p>
      <w:pPr>
        <w:pStyle w:val="Heading3"/>
      </w:pPr>
      <w:r>
        <w:t xml:space="preserve">Chapter 19 — SOC Analyst Responsibilities</w:t>
      </w:r>
    </w:p>
    <w:p>
      <w:pPr>
        <w:pStyle w:val="FirstParagraph"/>
      </w:pPr>
      <w:r>
        <w:t xml:space="preserve">SOC Analysts investigate authorized events/alerts, manage cases and evidence,</w:t>
      </w:r>
      <w:r>
        <w:t xml:space="preserve"> </w:t>
      </w:r>
      <w:r>
        <w:t xml:space="preserve">draft playbooks, and request bounded responses. They cannot approve their own</w:t>
      </w:r>
      <w:r>
        <w:t xml:space="preserve"> </w:t>
      </w:r>
      <w:r>
        <w:t xml:space="preserve">request, execute/rollback outside assigned permissions, administer roles, or</w:t>
      </w:r>
      <w:r>
        <w:t xml:space="preserve"> </w:t>
      </w:r>
      <w:r>
        <w:t xml:space="preserve">make finance/compliance decisions. Evidence: Phase 4 RBAC tests.</w:t>
      </w:r>
    </w:p>
    <w:bookmarkEnd w:id="29"/>
    <w:bookmarkStart w:id="30" w:name="X638ff28c3ff4659bb363f4095f69dfb2b89e4dd"/>
    <w:p>
      <w:pPr>
        <w:pStyle w:val="Heading3"/>
      </w:pPr>
      <w:r>
        <w:t xml:space="preserve">Chapter 20 — SOC Supervisor and Super Admin Responsibilities</w:t>
      </w:r>
    </w:p>
    <w:p>
      <w:pPr>
        <w:pStyle w:val="FirstParagraph"/>
      </w:pPr>
      <w:r>
        <w:t xml:space="preserve">SOC Supervisors review cases, playbooks, grants, execution, and rollback while</w:t>
      </w:r>
      <w:r>
        <w:t xml:space="preserve"> </w:t>
      </w:r>
      <w:r>
        <w:t xml:space="preserve">preserving separation of duties. Super Admin has broad platform visibility but</w:t>
      </w:r>
      <w:r>
        <w:t xml:space="preserve"> </w:t>
      </w:r>
      <w:r>
        <w:t xml:space="preserve">cannot bypass accepted dual-control constraints, live-payment NO-GO, or</w:t>
      </w:r>
      <w:r>
        <w:t xml:space="preserve"> </w:t>
      </w:r>
      <w:r>
        <w:t xml:space="preserve">separately governed infrastructure/database decisions.</w:t>
      </w:r>
    </w:p>
    <w:bookmarkEnd w:id="30"/>
    <w:bookmarkEnd w:id="31"/>
    <w:bookmarkStart w:id="42" w:name="Xf756bdf4bc2e0d487ab3f7e78a8e8761be2c3ed"/>
    <w:p>
      <w:pPr>
        <w:pStyle w:val="Heading2"/>
      </w:pPr>
      <w:r>
        <w:t xml:space="preserve">Part III — Identity, Profiles, KYC, and Account Lifecycle</w:t>
      </w:r>
    </w:p>
    <w:bookmarkStart w:id="32" w:name="chapter-21--registration-workflow"/>
    <w:p>
      <w:pPr>
        <w:pStyle w:val="Heading3"/>
      </w:pPr>
      <w:r>
        <w:t xml:space="preserve">Chapter 21 — Registration Workflow</w:t>
      </w:r>
    </w:p>
    <w:p>
      <w:pPr>
        <w:pStyle w:val="FirstParagraph"/>
      </w:pPr>
      <w:r>
        <w:t xml:space="preserve">Registration validates supported user input and creates only permitted</w:t>
      </w:r>
      <w:r>
        <w:t xml:space="preserve"> </w:t>
      </w:r>
      <w:r>
        <w:t xml:space="preserve">non-privileged account types. Public users cannot self-select operational or</w:t>
      </w:r>
      <w:r>
        <w:t xml:space="preserve"> </w:t>
      </w:r>
      <w:r>
        <w:t xml:space="preserve">administrative roles. Failures return sanitized feedback without credential or</w:t>
      </w:r>
      <w:r>
        <w:t xml:space="preserve"> </w:t>
      </w:r>
      <w:r>
        <w:t xml:space="preserve">internal-detail leakage. Evidence: auth registration route and service.</w:t>
      </w:r>
    </w:p>
    <w:bookmarkEnd w:id="32"/>
    <w:bookmarkStart w:id="33" w:name="chapter-22--authentication-workflow"/>
    <w:p>
      <w:pPr>
        <w:pStyle w:val="Heading3"/>
      </w:pPr>
      <w:r>
        <w:t xml:space="preserve">Chapter 22 — Authentication Workflow</w:t>
      </w:r>
    </w:p>
    <w:p>
      <w:pPr>
        <w:pStyle w:val="FirstParagraph"/>
      </w:pPr>
      <w:r>
        <w:t xml:space="preserve">NextAuth and root authentication services establish the session used by pages</w:t>
      </w:r>
      <w:r>
        <w:t xml:space="preserve"> </w:t>
      </w:r>
      <w:r>
        <w:t xml:space="preserve">and APIs. Authentication success does not itself authorize a business action;</w:t>
      </w:r>
      <w:r>
        <w:t xml:space="preserve"> </w:t>
      </w:r>
      <w:r>
        <w:t xml:space="preserve">role, ownership, permission, and state checks follow. Authentication telemetry</w:t>
      </w:r>
      <w:r>
        <w:t xml:space="preserve"> </w:t>
      </w:r>
      <w:r>
        <w:t xml:space="preserve">must remain privacy-safe.</w:t>
      </w:r>
    </w:p>
    <w:bookmarkEnd w:id="33"/>
    <w:bookmarkStart w:id="34" w:name="chapter-23--session-and-route-protection"/>
    <w:p>
      <w:pPr>
        <w:pStyle w:val="Heading3"/>
      </w:pPr>
      <w:r>
        <w:t xml:space="preserve">Chapter 23 — Session and Route Protection</w:t>
      </w:r>
    </w:p>
    <w:p>
      <w:pPr>
        <w:pStyle w:val="FirstParagraph"/>
      </w:pPr>
      <w:r>
        <w:t xml:space="preserve">Protected pages and APIs validate the server session and redirect or reject</w:t>
      </w:r>
      <w:r>
        <w:t xml:space="preserve"> </w:t>
      </w:r>
      <w:r>
        <w:t xml:space="preserve">unauthorized users. Proxy, page, route, and service checks must agree. Hidden</w:t>
      </w:r>
      <w:r>
        <w:t xml:space="preserve"> </w:t>
      </w:r>
      <w:r>
        <w:t xml:space="preserve">links and client-side conditions are not security controls. Evidence: auth,</w:t>
      </w:r>
      <w:r>
        <w:t xml:space="preserve"> </w:t>
      </w:r>
      <w:r>
        <w:t xml:space="preserve">proxy, and authorization tests.</w:t>
      </w:r>
    </w:p>
    <w:bookmarkEnd w:id="34"/>
    <w:bookmarkStart w:id="35" w:name="chapter-24--privileged-role-assignment"/>
    <w:p>
      <w:pPr>
        <w:pStyle w:val="Heading3"/>
      </w:pPr>
      <w:r>
        <w:t xml:space="preserve">Chapter 24 — Privileged Role Assignment</w:t>
      </w:r>
    </w:p>
    <w:p>
      <w:pPr>
        <w:pStyle w:val="FirstParagraph"/>
      </w:pPr>
      <w:r>
        <w:t xml:space="preserve">Admin, Finance Admin, Compliance Admin, SOC roles, and Super Admin require a</w:t>
      </w:r>
      <w:r>
        <w:t xml:space="preserve"> </w:t>
      </w:r>
      <w:r>
        <w:t xml:space="preserve">controlled administrative process outside public registration. Assignment</w:t>
      </w:r>
      <w:r>
        <w:t xml:space="preserve"> </w:t>
      </w:r>
      <w:r>
        <w:t xml:space="preserve">must preserve least privilege, review, and audit evidence; documentation never</w:t>
      </w:r>
      <w:r>
        <w:t xml:space="preserve"> </w:t>
      </w:r>
      <w:r>
        <w:t xml:space="preserve">grants runtime authority.</w:t>
      </w:r>
    </w:p>
    <w:bookmarkEnd w:id="35"/>
    <w:bookmarkStart w:id="36" w:name="chapter-25--user-profile-read-surface"/>
    <w:p>
      <w:pPr>
        <w:pStyle w:val="Heading3"/>
      </w:pPr>
      <w:r>
        <w:t xml:space="preserve">Chapter 25 — User Profile Read Surface</w:t>
      </w:r>
    </w:p>
    <w:p>
      <w:pPr>
        <w:pStyle w:val="FirstParagraph"/>
      </w:pPr>
      <w:r>
        <w:t xml:space="preserve">Authenticated users can view profile information within their account scope.</w:t>
      </w:r>
      <w:r>
        <w:t xml:space="preserve"> </w:t>
      </w:r>
      <w:r>
        <w:t xml:space="preserve">The current profile-edit control is marked coming soon, so the route is</w:t>
      </w:r>
      <w:r>
        <w:t xml:space="preserve"> </w:t>
      </w:r>
      <w:r>
        <w:rPr>
          <w:rStyle w:val="VerbatimChar"/>
        </w:rPr>
        <w:t xml:space="preserve">IMPLEMENTED_READ_ONLY_WITH_EDIT_LIMITATION</w:t>
      </w:r>
      <w:r>
        <w:t xml:space="preserve">. Privacy correction is a separate</w:t>
      </w:r>
      <w:r>
        <w:t xml:space="preserve"> </w:t>
      </w:r>
      <w:r>
        <w:t xml:space="preserve">controlled workflow. Evidence: route and gap registries.</w:t>
      </w:r>
    </w:p>
    <w:bookmarkEnd w:id="36"/>
    <w:bookmarkStart w:id="37" w:name="chapter-26--business-profile"/>
    <w:p>
      <w:pPr>
        <w:pStyle w:val="Heading3"/>
      </w:pPr>
      <w:r>
        <w:t xml:space="preserve">Chapter 26 — Business Profile</w:t>
      </w:r>
    </w:p>
    <w:p>
      <w:pPr>
        <w:pStyle w:val="FirstParagraph"/>
      </w:pPr>
      <w:r>
        <w:t xml:space="preserve">Business-provider identity is represented separately from the individual user</w:t>
      </w:r>
      <w:r>
        <w:t xml:space="preserve"> </w:t>
      </w:r>
      <w:r>
        <w:t xml:space="preserve">record and supports business-scoped operations. Verification and ownership</w:t>
      </w:r>
      <w:r>
        <w:t xml:space="preserve"> </w:t>
      </w:r>
      <w:r>
        <w:t xml:space="preserve">must be established before business actions; model presence alone does not</w:t>
      </w:r>
      <w:r>
        <w:t xml:space="preserve"> </w:t>
      </w:r>
      <w:r>
        <w:t xml:space="preserve">prove a verified organization.</w:t>
      </w:r>
    </w:p>
    <w:bookmarkEnd w:id="37"/>
    <w:bookmarkStart w:id="38" w:name="chapter-27--kyc-submission"/>
    <w:p>
      <w:pPr>
        <w:pStyle w:val="Heading3"/>
      </w:pPr>
      <w:r>
        <w:t xml:space="preserve">Chapter 27 — KYC Submission</w:t>
      </w:r>
    </w:p>
    <w:p>
      <w:pPr>
        <w:pStyle w:val="FirstParagraph"/>
      </w:pPr>
      <w:r>
        <w:t xml:space="preserve">KYC routes allow an authenticated subject to provide required verification</w:t>
      </w:r>
      <w:r>
        <w:t xml:space="preserve"> </w:t>
      </w:r>
      <w:r>
        <w:t xml:space="preserve">evidence under upload, access, and privacy controls. Users should submit only</w:t>
      </w:r>
      <w:r>
        <w:t xml:space="preserve"> </w:t>
      </w:r>
      <w:r>
        <w:t xml:space="preserve">required data. Storage/provider availability is environment-dependent and is</w:t>
      </w:r>
      <w:r>
        <w:t xml:space="preserve"> </w:t>
      </w:r>
      <w:r>
        <w:t xml:space="preserve">not inferred from the route.</w:t>
      </w:r>
    </w:p>
    <w:bookmarkEnd w:id="38"/>
    <w:bookmarkStart w:id="39" w:name="chapter-28--verification-document-review"/>
    <w:p>
      <w:pPr>
        <w:pStyle w:val="Heading3"/>
      </w:pPr>
      <w:r>
        <w:t xml:space="preserve">Chapter 28 — Verification Document Review</w:t>
      </w:r>
    </w:p>
    <w:p>
      <w:pPr>
        <w:pStyle w:val="FirstParagraph"/>
      </w:pPr>
      <w:r>
        <w:t xml:space="preserve">Authorized compliance/admin services review verification documents and record</w:t>
      </w:r>
      <w:r>
        <w:t xml:space="preserve"> </w:t>
      </w:r>
      <w:r>
        <w:t xml:space="preserve">decisions without exposing raw content broadly. File type, MIME/content,</w:t>
      </w:r>
      <w:r>
        <w:t xml:space="preserve"> </w:t>
      </w:r>
      <w:r>
        <w:t xml:space="preserve">ownership, size, and permission controls apply. Audit evidence should use</w:t>
      </w:r>
      <w:r>
        <w:t xml:space="preserve"> </w:t>
      </w:r>
      <w:r>
        <w:t xml:space="preserve">sanitized identifiers rather than document contents.</w:t>
      </w:r>
    </w:p>
    <w:bookmarkEnd w:id="39"/>
    <w:bookmarkStart w:id="40" w:name="chapter-29--privacy-requests"/>
    <w:p>
      <w:pPr>
        <w:pStyle w:val="Heading3"/>
      </w:pPr>
      <w:r>
        <w:t xml:space="preserve">Chapter 29 — Privacy Requests</w:t>
      </w:r>
    </w:p>
    <w:p>
      <w:pPr>
        <w:pStyle w:val="FirstParagraph"/>
      </w:pPr>
      <w:r>
        <w:t xml:space="preserve">Consent, correction, export, and deletion endpoints form authorized privacy</w:t>
      </w:r>
      <w:r>
        <w:t xml:space="preserve"> </w:t>
      </w:r>
      <w:r>
        <w:t xml:space="preserve">workflows. Identity, subject scope, retention, and audit requirements apply;</w:t>
      </w:r>
      <w:r>
        <w:t xml:space="preserve"> </w:t>
      </w:r>
      <w:r>
        <w:t xml:space="preserve">requests must not expose unrelated records. Evidence:</w:t>
      </w:r>
      <w:r>
        <w:t xml:space="preserve"> </w:t>
      </w:r>
      <w:r>
        <w:rPr>
          <w:rStyle w:val="VerbatimChar"/>
        </w:rPr>
        <w:t xml:space="preserve">/api/privacy/*</w:t>
      </w:r>
      <w:r>
        <w:t xml:space="preserve"> </w:t>
      </w:r>
      <w:r>
        <w:t xml:space="preserve">and</w:t>
      </w:r>
      <w:r>
        <w:t xml:space="preserve"> </w:t>
      </w:r>
      <w:r>
        <w:t xml:space="preserve">privacy services.</w:t>
      </w:r>
    </w:p>
    <w:bookmarkEnd w:id="40"/>
    <w:bookmarkStart w:id="41" w:name="chapter-30--account-deletion"/>
    <w:p>
      <w:pPr>
        <w:pStyle w:val="Heading3"/>
      </w:pPr>
      <w:r>
        <w:t xml:space="preserve">Chapter 30 — Account Deletion</w:t>
      </w:r>
    </w:p>
    <w:p>
      <w:pPr>
        <w:pStyle w:val="FirstParagraph"/>
      </w:pPr>
      <w:r>
        <w:t xml:space="preserve">Account deletion is a controlled request lifecycle, not an immediate</w:t>
      </w:r>
      <w:r>
        <w:t xml:space="preserve"> </w:t>
      </w:r>
      <w:r>
        <w:t xml:space="preserve">unreviewed database delete. It must account for identity, retention, legal or</w:t>
      </w:r>
      <w:r>
        <w:t xml:space="preserve"> </w:t>
      </w:r>
      <w:r>
        <w:t xml:space="preserve">transaction obligations, auditability, and safe completion/error reporting.</w:t>
      </w:r>
      <w:r>
        <w:t xml:space="preserve"> </w:t>
      </w:r>
      <w:r>
        <w:t xml:space="preserve">Evidence: account-deletion page/model and privacy services.</w:t>
      </w:r>
    </w:p>
    <w:bookmarkEnd w:id="41"/>
    <w:bookmarkEnd w:id="42"/>
    <w:bookmarkStart w:id="53" w:name="X57f124b734535b37bd321501e0d0a0c3e3d04f7"/>
    <w:p>
      <w:pPr>
        <w:pStyle w:val="Heading2"/>
      </w:pPr>
      <w:r>
        <w:t xml:space="preserve">Part IV — Public Marketplace and Discovery</w:t>
      </w:r>
    </w:p>
    <w:bookmarkStart w:id="43" w:name="chapter-31--public-landing-experience"/>
    <w:p>
      <w:pPr>
        <w:pStyle w:val="Heading3"/>
      </w:pPr>
      <w:r>
        <w:t xml:space="preserve">Chapter 31 — Public Landing Experience</w:t>
      </w:r>
    </w:p>
    <w:p>
      <w:pPr>
        <w:pStyle w:val="FirstParagraph"/>
      </w:pPr>
      <w:r>
        <w:t xml:space="preserve">The root route introduces RENTipid and directs visitors toward discovery,</w:t>
      </w:r>
      <w:r>
        <w:t xml:space="preserve"> </w:t>
      </w:r>
      <w:r>
        <w:t xml:space="preserve">guidance, authentication, and support. It is a public presentation surface and</w:t>
      </w:r>
      <w:r>
        <w:t xml:space="preserve"> </w:t>
      </w:r>
      <w:r>
        <w:t xml:space="preserve">does not establish availability, verification, payment activation, or external</w:t>
      </w:r>
      <w:r>
        <w:t xml:space="preserve"> </w:t>
      </w:r>
      <w:r>
        <w:t xml:space="preserve">provider state.</w:t>
      </w:r>
    </w:p>
    <w:bookmarkEnd w:id="43"/>
    <w:bookmarkStart w:id="44" w:name="chapter-32--browse-experience"/>
    <w:p>
      <w:pPr>
        <w:pStyle w:val="Heading3"/>
      </w:pPr>
      <w:r>
        <w:t xml:space="preserve">Chapter 32 — Browse Experience</w:t>
      </w:r>
    </w:p>
    <w:p>
      <w:pPr>
        <w:pStyle w:val="FirstParagraph"/>
      </w:pPr>
      <w:r>
        <w:rPr>
          <w:rStyle w:val="VerbatimChar"/>
        </w:rPr>
        <w:t xml:space="preserve">/browse</w:t>
      </w:r>
      <w:r>
        <w:t xml:space="preserve"> </w:t>
      </w:r>
      <w:r>
        <w:t xml:space="preserve">exposes marketplace discovery subject to current listing state and</w:t>
      </w:r>
      <w:r>
        <w:t xml:space="preserve"> </w:t>
      </w:r>
      <w:r>
        <w:t xml:space="preserve">server queries. Users should treat displayed results as discovery data, not a</w:t>
      </w:r>
      <w:r>
        <w:t xml:space="preserve"> </w:t>
      </w:r>
      <w:r>
        <w:t xml:space="preserve">guarantee of future availability or transaction authorization.</w:t>
      </w:r>
    </w:p>
    <w:bookmarkEnd w:id="44"/>
    <w:bookmarkStart w:id="45" w:name="chapter-33--search-and-filter-behavior"/>
    <w:p>
      <w:pPr>
        <w:pStyle w:val="Heading3"/>
      </w:pPr>
      <w:r>
        <w:t xml:space="preserve">Chapter 33 — Search and Filter Behavior</w:t>
      </w:r>
    </w:p>
    <w:p>
      <w:pPr>
        <w:pStyle w:val="FirstParagraph"/>
      </w:pPr>
      <w:r>
        <w:t xml:space="preserve">Search/filter inputs narrow visible listings and must be validated and safely</w:t>
      </w:r>
      <w:r>
        <w:t xml:space="preserve"> </w:t>
      </w:r>
      <w:r>
        <w:t xml:space="preserve">encoded. Filters do not bypass publication, verification, ownership, or</w:t>
      </w:r>
      <w:r>
        <w:t xml:space="preserve"> </w:t>
      </w:r>
      <w:r>
        <w:t xml:space="preserve">availability rules. Exact query behavior is governed by current listing</w:t>
      </w:r>
      <w:r>
        <w:t xml:space="preserve"> </w:t>
      </w:r>
      <w:r>
        <w:t xml:space="preserve">services.</w:t>
      </w:r>
    </w:p>
    <w:bookmarkEnd w:id="45"/>
    <w:bookmarkStart w:id="46" w:name="chapter-34--listing-detail"/>
    <w:p>
      <w:pPr>
        <w:pStyle w:val="Heading3"/>
      </w:pPr>
      <w:r>
        <w:t xml:space="preserve">Chapter 34 — Listing Detail</w:t>
      </w:r>
    </w:p>
    <w:p>
      <w:pPr>
        <w:pStyle w:val="FirstParagraph"/>
      </w:pPr>
      <w:r>
        <w:rPr>
          <w:rStyle w:val="VerbatimChar"/>
        </w:rPr>
        <w:t xml:space="preserve">/listing/[id]</w:t>
      </w:r>
      <w:r>
        <w:t xml:space="preserve"> </w:t>
      </w:r>
      <w:r>
        <w:t xml:space="preserve">presents an individual listing and its permitted public data.</w:t>
      </w:r>
      <w:r>
        <w:t xml:space="preserve"> </w:t>
      </w:r>
      <w:r>
        <w:t xml:space="preserve">The dynamic identifier must resolve to an accessible listing; restricted,</w:t>
      </w:r>
      <w:r>
        <w:t xml:space="preserve"> </w:t>
      </w:r>
      <w:r>
        <w:t xml:space="preserve">unpublished, or absent records must fail safely without leaking private</w:t>
      </w:r>
      <w:r>
        <w:t xml:space="preserve"> </w:t>
      </w:r>
      <w:r>
        <w:t xml:space="preserve">provider information.</w:t>
      </w:r>
    </w:p>
    <w:bookmarkEnd w:id="46"/>
    <w:bookmarkStart w:id="47" w:name="chapter-35--categories-and-requirements"/>
    <w:p>
      <w:pPr>
        <w:pStyle w:val="Heading3"/>
      </w:pPr>
      <w:r>
        <w:t xml:space="preserve">Chapter 35 — Categories and Requirements</w:t>
      </w:r>
    </w:p>
    <w:p>
      <w:pPr>
        <w:pStyle w:val="FirstParagraph"/>
      </w:pPr>
      <w:r>
        <w:t xml:space="preserve">Categories and category requirements organize marketplace inventory and may</w:t>
      </w:r>
      <w:r>
        <w:t xml:space="preserve"> </w:t>
      </w:r>
      <w:r>
        <w:t xml:space="preserve">drive listing evidence expectations. Authorized administrators control them;</w:t>
      </w:r>
      <w:r>
        <w:t xml:space="preserve"> </w:t>
      </w:r>
      <w:r>
        <w:t xml:space="preserve">providers consume the current requirements during listing preparation.</w:t>
      </w:r>
      <w:r>
        <w:t xml:space="preserve"> </w:t>
      </w:r>
      <w:r>
        <w:t xml:space="preserve">Evidence: Category and CategoryRequirement models and admin routes.</w:t>
      </w:r>
    </w:p>
    <w:bookmarkEnd w:id="47"/>
    <w:bookmarkStart w:id="48" w:name="X3d042c46db86bb75b62e3e0a32580681f004471"/>
    <w:p>
      <w:pPr>
        <w:pStyle w:val="Heading3"/>
      </w:pPr>
      <w:r>
        <w:t xml:space="preserve">Chapter 36 — Availability and Pricing Presentation</w:t>
      </w:r>
    </w:p>
    <w:p>
      <w:pPr>
        <w:pStyle w:val="FirstParagraph"/>
      </w:pPr>
      <w:r>
        <w:t xml:space="preserve">Displayed availability and pricing are inputs to the guarded booking/checkout</w:t>
      </w:r>
      <w:r>
        <w:t xml:space="preserve"> </w:t>
      </w:r>
      <w:r>
        <w:t xml:space="preserve">workflow, not an irrevocable promise. The server revalidates record state,</w:t>
      </w:r>
      <w:r>
        <w:t xml:space="preserve"> </w:t>
      </w:r>
      <w:r>
        <w:t xml:space="preserve">dates, amounts, and conflicts before accepting a permitted transaction.</w:t>
      </w:r>
    </w:p>
    <w:bookmarkEnd w:id="48"/>
    <w:bookmarkStart w:id="49" w:name="chapter-37--safety-guidance"/>
    <w:p>
      <w:pPr>
        <w:pStyle w:val="Heading3"/>
      </w:pPr>
      <w:r>
        <w:t xml:space="preserve">Chapter 37 — Safety Guidance</w:t>
      </w:r>
    </w:p>
    <w:p>
      <w:pPr>
        <w:pStyle w:val="FirstParagraph"/>
      </w:pPr>
      <w:r>
        <w:t xml:space="preserve">Public safety guidance supports careful item, identity, handover, inspection,</w:t>
      </w:r>
      <w:r>
        <w:t xml:space="preserve"> </w:t>
      </w:r>
      <w:r>
        <w:t xml:space="preserve">and dispute behavior. It complements but does not replace server controls,</w:t>
      </w:r>
      <w:r>
        <w:t xml:space="preserve"> </w:t>
      </w:r>
      <w:r>
        <w:t xml:space="preserve">verification, evidence capture, or support escalation.</w:t>
      </w:r>
    </w:p>
    <w:bookmarkEnd w:id="49"/>
    <w:bookmarkStart w:id="50" w:name="chapter-38--prohibited-items"/>
    <w:p>
      <w:pPr>
        <w:pStyle w:val="Heading3"/>
      </w:pPr>
      <w:r>
        <w:t xml:space="preserve">Chapter 38 — Prohibited Items</w:t>
      </w:r>
    </w:p>
    <w:p>
      <w:pPr>
        <w:pStyle w:val="FirstParagraph"/>
      </w:pPr>
      <w:r>
        <w:t xml:space="preserve">The prohibited-items surface states marketplace policy boundaries. Providers</w:t>
      </w:r>
      <w:r>
        <w:t xml:space="preserve"> </w:t>
      </w:r>
      <w:r>
        <w:t xml:space="preserve">remain responsible for compliant listings, and authorized review may prevent</w:t>
      </w:r>
      <w:r>
        <w:t xml:space="preserve"> </w:t>
      </w:r>
      <w:r>
        <w:t xml:space="preserve">publication or require action. A listing route does not override policy.</w:t>
      </w:r>
    </w:p>
    <w:bookmarkEnd w:id="50"/>
    <w:bookmarkStart w:id="51" w:name="X8cfc0963fcb6691c9b27f7cc5916bb686002f15"/>
    <w:p>
      <w:pPr>
        <w:pStyle w:val="Heading3"/>
      </w:pPr>
      <w:r>
        <w:t xml:space="preserve">Chapter 39 — Help, Contact, and Support Entry</w:t>
      </w:r>
    </w:p>
    <w:p>
      <w:pPr>
        <w:pStyle w:val="FirstParagraph"/>
      </w:pPr>
      <w:r>
        <w:t xml:space="preserve">Help, contact, feedback, and support routes direct users to controlled</w:t>
      </w:r>
      <w:r>
        <w:t xml:space="preserve"> </w:t>
      </w:r>
      <w:r>
        <w:t xml:space="preserve">assistance. Reports should include safe identifiers and reproducible facts,</w:t>
      </w:r>
      <w:r>
        <w:t xml:space="preserve"> </w:t>
      </w:r>
      <w:r>
        <w:t xml:space="preserve">not passwords, tokens, raw KYC records, or payment credentials.</w:t>
      </w:r>
    </w:p>
    <w:bookmarkEnd w:id="51"/>
    <w:bookmarkStart w:id="52" w:name="chapter-40--legal-and-privacy-notices"/>
    <w:p>
      <w:pPr>
        <w:pStyle w:val="Heading3"/>
      </w:pPr>
      <w:r>
        <w:t xml:space="preserve">Chapter 40 — Legal and Privacy Notices</w:t>
      </w:r>
    </w:p>
    <w:p>
      <w:pPr>
        <w:pStyle w:val="FirstParagraph"/>
      </w:pPr>
      <w:r>
        <w:t xml:space="preserve">Terms, privacy, and related public pages communicate the applicable user-facing</w:t>
      </w:r>
      <w:r>
        <w:t xml:space="preserve"> </w:t>
      </w:r>
      <w:r>
        <w:t xml:space="preserve">policy. Technical documentation does not replace legal review. Policy changes</w:t>
      </w:r>
      <w:r>
        <w:t xml:space="preserve"> </w:t>
      </w:r>
      <w:r>
        <w:t xml:space="preserve">must follow document ownership, acceptance, and implementation alignment.</w:t>
      </w:r>
    </w:p>
    <w:bookmarkEnd w:id="52"/>
    <w:bookmarkEnd w:id="53"/>
    <w:bookmarkStart w:id="64" w:name="Xcab75a3b9cf6ee8043b83bafc1b17cfadaef153"/>
    <w:p>
      <w:pPr>
        <w:pStyle w:val="Heading2"/>
      </w:pPr>
      <w:r>
        <w:t xml:space="preserve">Part V — Provider Catalog and Listing Lifecycle</w:t>
      </w:r>
    </w:p>
    <w:bookmarkStart w:id="54" w:name="chapter-41--provider-onboarding"/>
    <w:p>
      <w:pPr>
        <w:pStyle w:val="Heading3"/>
      </w:pPr>
      <w:r>
        <w:t xml:space="preserve">Chapter 41 — Provider Onboarding</w:t>
      </w:r>
    </w:p>
    <w:p>
      <w:pPr>
        <w:pStyle w:val="FirstParagraph"/>
      </w:pPr>
      <w:r>
        <w:t xml:space="preserve">Provider onboarding and checklist routes guide account, profile, verification,</w:t>
      </w:r>
      <w:r>
        <w:t xml:space="preserve"> </w:t>
      </w:r>
      <w:r>
        <w:t xml:space="preserve">and readiness tasks. Completion labels summarize evidence; server state and</w:t>
      </w:r>
      <w:r>
        <w:t xml:space="preserve"> </w:t>
      </w:r>
      <w:r>
        <w:t xml:space="preserve">required review remain authoritative. Business and individual scope must not</w:t>
      </w:r>
      <w:r>
        <w:t xml:space="preserve"> </w:t>
      </w:r>
      <w:r>
        <w:t xml:space="preserve">be mixed.</w:t>
      </w:r>
    </w:p>
    <w:bookmarkEnd w:id="54"/>
    <w:bookmarkStart w:id="55" w:name="chapter-42--listing-creation"/>
    <w:p>
      <w:pPr>
        <w:pStyle w:val="Heading3"/>
      </w:pPr>
      <w:r>
        <w:t xml:space="preserve">Chapter 42 — Listing Creation</w:t>
      </w:r>
    </w:p>
    <w:p>
      <w:pPr>
        <w:pStyle w:val="FirstParagraph"/>
      </w:pPr>
      <w:r>
        <w:t xml:space="preserve">Providers create listings within their own scope using validated catalog,</w:t>
      </w:r>
      <w:r>
        <w:t xml:space="preserve"> </w:t>
      </w:r>
      <w:r>
        <w:t xml:space="preserve">description, pricing, and policy fields. Creation does not equal publication;</w:t>
      </w:r>
      <w:r>
        <w:t xml:space="preserve"> </w:t>
      </w:r>
      <w:r>
        <w:t xml:space="preserve">the listing enters the service-defined lifecycle and may require evidence or</w:t>
      </w:r>
      <w:r>
        <w:t xml:space="preserve"> </w:t>
      </w:r>
      <w:r>
        <w:t xml:space="preserve">review.</w:t>
      </w:r>
    </w:p>
    <w:bookmarkEnd w:id="55"/>
    <w:bookmarkStart w:id="56" w:name="chapter-43--listing-photos"/>
    <w:p>
      <w:pPr>
        <w:pStyle w:val="Heading3"/>
      </w:pPr>
      <w:r>
        <w:t xml:space="preserve">Chapter 43 — Listing Photos</w:t>
      </w:r>
    </w:p>
    <w:p>
      <w:pPr>
        <w:pStyle w:val="FirstParagraph"/>
      </w:pPr>
      <w:r>
        <w:t xml:space="preserve">Photo upload routes associate authorized media with a provider-owned listing.</w:t>
      </w:r>
      <w:r>
        <w:t xml:space="preserve"> </w:t>
      </w:r>
      <w:r>
        <w:t xml:space="preserve">Upload controls cover size, extension/MIME/content, ownership, and safe storage</w:t>
      </w:r>
      <w:r>
        <w:t xml:space="preserve"> </w:t>
      </w:r>
      <w:r>
        <w:t xml:space="preserve">behavior. Public access depends on listing and media state.</w:t>
      </w:r>
    </w:p>
    <w:bookmarkEnd w:id="56"/>
    <w:bookmarkStart w:id="57" w:name="chapter-44--listing-documents"/>
    <w:p>
      <w:pPr>
        <w:pStyle w:val="Heading3"/>
      </w:pPr>
      <w:r>
        <w:t xml:space="preserve">Chapter 44 — Listing Documents</w:t>
      </w:r>
    </w:p>
    <w:p>
      <w:pPr>
        <w:pStyle w:val="FirstParagraph"/>
      </w:pPr>
      <w:r>
        <w:t xml:space="preserve">Listing documents support category, compliance, or verification requirements</w:t>
      </w:r>
      <w:r>
        <w:t xml:space="preserve"> </w:t>
      </w:r>
      <w:r>
        <w:t xml:space="preserve">and are more restricted than public listing content. Authorization, upload</w:t>
      </w:r>
      <w:r>
        <w:t xml:space="preserve"> </w:t>
      </w:r>
      <w:r>
        <w:t xml:space="preserve">validation, storage safety, and review evidence apply.</w:t>
      </w:r>
    </w:p>
    <w:bookmarkEnd w:id="57"/>
    <w:bookmarkStart w:id="58" w:name="Xa94060e098a5c245d8edb37cf905f8cffcd802a"/>
    <w:p>
      <w:pPr>
        <w:pStyle w:val="Heading3"/>
      </w:pPr>
      <w:r>
        <w:t xml:space="preserve">Chapter 45 — Category Requirement Fulfillment</w:t>
      </w:r>
    </w:p>
    <w:p>
      <w:pPr>
        <w:pStyle w:val="FirstParagraph"/>
      </w:pPr>
      <w:r>
        <w:t xml:space="preserve">Providers match current category requirements before submission. Missing or</w:t>
      </w:r>
      <w:r>
        <w:t xml:space="preserve"> </w:t>
      </w:r>
      <w:r>
        <w:t xml:space="preserve">invalid evidence prevents a compliant transition. Administrators must change</w:t>
      </w:r>
      <w:r>
        <w:t xml:space="preserve"> </w:t>
      </w:r>
      <w:r>
        <w:t xml:space="preserve">requirements through authorized configuration rather than editing provider</w:t>
      </w:r>
      <w:r>
        <w:t xml:space="preserve"> </w:t>
      </w:r>
      <w:r>
        <w:t xml:space="preserve">records directly.</w:t>
      </w:r>
    </w:p>
    <w:bookmarkEnd w:id="58"/>
    <w:bookmarkStart w:id="59" w:name="chapter-46--listing-edit-and-ownership"/>
    <w:p>
      <w:pPr>
        <w:pStyle w:val="Heading3"/>
      </w:pPr>
      <w:r>
        <w:t xml:space="preserve">Chapter 46 — Listing Edit and Ownership</w:t>
      </w:r>
    </w:p>
    <w:p>
      <w:pPr>
        <w:pStyle w:val="FirstParagraph"/>
      </w:pPr>
      <w:r>
        <w:t xml:space="preserve">Only the owning provider or explicitly authorized operator may alter a</w:t>
      </w:r>
      <w:r>
        <w:t xml:space="preserve"> </w:t>
      </w:r>
      <w:r>
        <w:t xml:space="preserve">listing, and only in service-allowed states. Edits must preserve validation,</w:t>
      </w:r>
      <w:r>
        <w:t xml:space="preserve"> </w:t>
      </w:r>
      <w:r>
        <w:t xml:space="preserve">publication/review invariants, related media, and audit behavior.</w:t>
      </w:r>
    </w:p>
    <w:bookmarkEnd w:id="59"/>
    <w:bookmarkStart w:id="60" w:name="chapter-47--listing-submission"/>
    <w:p>
      <w:pPr>
        <w:pStyle w:val="Heading3"/>
      </w:pPr>
      <w:r>
        <w:t xml:space="preserve">Chapter 47 — Listing Submission</w:t>
      </w:r>
    </w:p>
    <w:p>
      <w:pPr>
        <w:pStyle w:val="FirstParagraph"/>
      </w:pPr>
      <w:r>
        <w:t xml:space="preserve">Submission moves a prepared listing toward review/publication under exact</w:t>
      </w:r>
      <w:r>
        <w:t xml:space="preserve"> </w:t>
      </w:r>
      <w:r>
        <w:t xml:space="preserve">service guards. The API must revalidate completeness and ownership. A submit</w:t>
      </w:r>
      <w:r>
        <w:t xml:space="preserve"> </w:t>
      </w:r>
      <w:r>
        <w:t xml:space="preserve">button cannot create a state transition the server rejects.</w:t>
      </w:r>
    </w:p>
    <w:bookmarkEnd w:id="60"/>
    <w:bookmarkStart w:id="61" w:name="Xd70a7ad9364b8f4fed3f80654bf573fb69d206c"/>
    <w:p>
      <w:pPr>
        <w:pStyle w:val="Heading3"/>
      </w:pPr>
      <w:r>
        <w:t xml:space="preserve">Chapter 48 — Listing Verification and Publication</w:t>
      </w:r>
    </w:p>
    <w:p>
      <w:pPr>
        <w:pStyle w:val="FirstParagraph"/>
      </w:pPr>
      <w:r>
        <w:t xml:space="preserve">Authorized admin/compliance operations verify or publish according to current</w:t>
      </w:r>
      <w:r>
        <w:t xml:space="preserve"> </w:t>
      </w:r>
      <w:r>
        <w:t xml:space="preserve">requirements. Decisions should be reasoned and auditable. Verification does</w:t>
      </w:r>
      <w:r>
        <w:t xml:space="preserve"> </w:t>
      </w:r>
      <w:r>
        <w:t xml:space="preserve">not grant provider, finance, or unrelated administrative authority.</w:t>
      </w:r>
    </w:p>
    <w:bookmarkEnd w:id="61"/>
    <w:bookmarkStart w:id="62" w:name="chapter-49--listing-promotion"/>
    <w:p>
      <w:pPr>
        <w:pStyle w:val="Heading3"/>
      </w:pPr>
      <w:r>
        <w:t xml:space="preserve">Chapter 49 — Listing Promotion</w:t>
      </w:r>
    </w:p>
    <w:p>
      <w:pPr>
        <w:pStyle w:val="FirstParagraph"/>
      </w:pPr>
      <w:r>
        <w:t xml:space="preserve">Provider/business promotion surfaces and opt-in records support controlled</w:t>
      </w:r>
      <w:r>
        <w:t xml:space="preserve"> </w:t>
      </w:r>
      <w:r>
        <w:t xml:space="preserve">marketing participation. Promotion assets or routes do not prove external</w:t>
      </w:r>
      <w:r>
        <w:t xml:space="preserve"> </w:t>
      </w:r>
      <w:r>
        <w:t xml:space="preserve">publication, provider connection, or campaign performance.</w:t>
      </w:r>
    </w:p>
    <w:bookmarkEnd w:id="62"/>
    <w:bookmarkStart w:id="63" w:name="X2f550a76b763fae90e505664062958056d09ca1"/>
    <w:p>
      <w:pPr>
        <w:pStyle w:val="Heading3"/>
      </w:pPr>
      <w:r>
        <w:t xml:space="preserve">Chapter 50 — Provider Marketing Limitation</w:t>
      </w:r>
    </w:p>
    <w:p>
      <w:pPr>
        <w:pStyle w:val="FirstParagraph"/>
      </w:pPr>
      <w:r>
        <w:t xml:space="preserve">The provider marketing surface includes entry/navigation behavior, while</w:t>
      </w:r>
      <w:r>
        <w:t xml:space="preserve"> </w:t>
      </w:r>
      <w:r>
        <w:t xml:space="preserve">campaign analytics is explicitly coming soon. It is</w:t>
      </w:r>
      <w:r>
        <w:t xml:space="preserve"> </w:t>
      </w:r>
      <w:r>
        <w:rPr>
          <w:rStyle w:val="VerbatimChar"/>
        </w:rPr>
        <w:t xml:space="preserve">IMPLEMENTED_WITH_PARTIAL_LIMITATION</w:t>
      </w:r>
      <w:r>
        <w:t xml:space="preserve">; documentation must not claim completed</w:t>
      </w:r>
      <w:r>
        <w:t xml:space="preserve"> </w:t>
      </w:r>
      <w:r>
        <w:t xml:space="preserve">provider analytics. Evidence: route and GAP-005.</w:t>
      </w:r>
    </w:p>
    <w:bookmarkEnd w:id="63"/>
    <w:bookmarkEnd w:id="64"/>
    <w:bookmarkStart w:id="77" w:name="part-vi--booking-and-rental-initiation"/>
    <w:p>
      <w:pPr>
        <w:pStyle w:val="Heading2"/>
      </w:pPr>
      <w:r>
        <w:t xml:space="preserve">Part VI — Booking and Rental Initiation</w:t>
      </w:r>
    </w:p>
    <w:bookmarkStart w:id="65" w:name="chapter-51--booking-request"/>
    <w:p>
      <w:pPr>
        <w:pStyle w:val="Heading3"/>
      </w:pPr>
      <w:r>
        <w:t xml:space="preserve">Chapter 51 — Booking Request</w:t>
      </w:r>
    </w:p>
    <w:p>
      <w:pPr>
        <w:pStyle w:val="FirstParagraph"/>
      </w:pPr>
      <w:r>
        <w:t xml:space="preserve">An authenticated renter requests a booking for an eligible listing and date</w:t>
      </w:r>
      <w:r>
        <w:t xml:space="preserve"> </w:t>
      </w:r>
      <w:r>
        <w:t xml:space="preserve">range. The server validates identity, listing state, ownership conflict,</w:t>
      </w:r>
      <w:r>
        <w:t xml:space="preserve"> </w:t>
      </w:r>
      <w:r>
        <w:t xml:space="preserve">availability, and required transaction inputs before creating a record.</w:t>
      </w:r>
    </w:p>
    <w:bookmarkEnd w:id="65"/>
    <w:bookmarkStart w:id="66" w:name="chapter-52--booking-input-validation"/>
    <w:p>
      <w:pPr>
        <w:pStyle w:val="Heading3"/>
      </w:pPr>
      <w:r>
        <w:t xml:space="preserve">Chapter 52 — Booking Input Validation</w:t>
      </w:r>
    </w:p>
    <w:p>
      <w:pPr>
        <w:pStyle w:val="FirstParagraph"/>
      </w:pPr>
      <w:r>
        <w:t xml:space="preserve">Booking routes/services validate identifiers, dates, amounts, roles, and</w:t>
      </w:r>
      <w:r>
        <w:t xml:space="preserve"> </w:t>
      </w:r>
      <w:r>
        <w:t xml:space="preserve">state. Invalid or unauthorized requests fail with sanitized outcomes and must</w:t>
      </w:r>
      <w:r>
        <w:t xml:space="preserve"> </w:t>
      </w:r>
      <w:r>
        <w:t xml:space="preserve">not leak another user's booking or provider data.</w:t>
      </w:r>
    </w:p>
    <w:bookmarkEnd w:id="66"/>
    <w:bookmarkStart w:id="67" w:name="chapter-53--booking-state-authority"/>
    <w:p>
      <w:pPr>
        <w:pStyle w:val="Heading3"/>
      </w:pPr>
      <w:r>
        <w:t xml:space="preserve">Chapter 53 — Booking State Authority</w:t>
      </w:r>
    </w:p>
    <w:p>
      <w:pPr>
        <w:pStyle w:val="FirstParagraph"/>
      </w:pPr>
      <w:r>
        <w:t xml:space="preserve">The Booking model, status history, and current service transition guards are</w:t>
      </w:r>
      <w:r>
        <w:t xml:space="preserve"> </w:t>
      </w:r>
      <w:r>
        <w:t xml:space="preserve">the state authority. UI labels summarize state but cannot introduce a</w:t>
      </w:r>
      <w:r>
        <w:t xml:space="preserve"> </w:t>
      </w:r>
      <w:r>
        <w:t xml:space="preserve">transition. History preserves who changed state, when, and why where supported.</w:t>
      </w:r>
    </w:p>
    <w:bookmarkEnd w:id="67"/>
    <w:bookmarkStart w:id="68" w:name="chapter-54--provider-booking-review"/>
    <w:p>
      <w:pPr>
        <w:pStyle w:val="Heading3"/>
      </w:pPr>
      <w:r>
        <w:t xml:space="preserve">Chapter 54 — Provider Booking Review</w:t>
      </w:r>
    </w:p>
    <w:p>
      <w:pPr>
        <w:pStyle w:val="FirstParagraph"/>
      </w:pPr>
      <w:r>
        <w:t xml:space="preserve">Providers review only bookings for their listings and perform allowed</w:t>
      </w:r>
      <w:r>
        <w:t xml:space="preserve"> </w:t>
      </w:r>
      <w:r>
        <w:t xml:space="preserve">acceptance/fulfillment actions. Review does not bypass agreement, inspection,</w:t>
      </w:r>
      <w:r>
        <w:t xml:space="preserve"> </w:t>
      </w:r>
      <w:r>
        <w:t xml:space="preserve">payment, claim, or policy requirements.</w:t>
      </w:r>
    </w:p>
    <w:bookmarkEnd w:id="68"/>
    <w:bookmarkStart w:id="69" w:name="chapter-55--renter-booking-dashboard"/>
    <w:p>
      <w:pPr>
        <w:pStyle w:val="Heading3"/>
      </w:pPr>
      <w:r>
        <w:t xml:space="preserve">Chapter 55 — Renter Booking Dashboard</w:t>
      </w:r>
    </w:p>
    <w:p>
      <w:pPr>
        <w:pStyle w:val="FirstParagraph"/>
      </w:pPr>
      <w:r>
        <w:t xml:space="preserve">Renter booking list/detail routes show own-scope status, agreement,</w:t>
      </w:r>
      <w:r>
        <w:t xml:space="preserve"> </w:t>
      </w:r>
      <w:r>
        <w:t xml:space="preserve">inspection, claim, refund, and receipt navigation. Dynamic identifiers remain</w:t>
      </w:r>
      <w:r>
        <w:t xml:space="preserve"> </w:t>
      </w:r>
      <w:r>
        <w:t xml:space="preserve">ownership-checked on the server.</w:t>
      </w:r>
    </w:p>
    <w:bookmarkEnd w:id="69"/>
    <w:bookmarkStart w:id="70" w:name="chapter-56--provider-booking-dashboard"/>
    <w:p>
      <w:pPr>
        <w:pStyle w:val="Heading3"/>
      </w:pPr>
      <w:r>
        <w:t xml:space="preserve">Chapter 56 — Provider Booking Dashboard</w:t>
      </w:r>
    </w:p>
    <w:p>
      <w:pPr>
        <w:pStyle w:val="FirstParagraph"/>
      </w:pPr>
      <w:r>
        <w:t xml:space="preserve">Provider booking routes present fulfillment tasks for provider-owned</w:t>
      </w:r>
      <w:r>
        <w:t xml:space="preserve"> </w:t>
      </w:r>
      <w:r>
        <w:t xml:space="preserve">listings. Actions such as turnover, return inspection, and claim response are</w:t>
      </w:r>
      <w:r>
        <w:t xml:space="preserve"> </w:t>
      </w:r>
      <w:r>
        <w:t xml:space="preserve">available only in compatible service states.</w:t>
      </w:r>
    </w:p>
    <w:bookmarkEnd w:id="70"/>
    <w:bookmarkStart w:id="71" w:name="X30de454da45e3c23a439c9b804422462d37aa9e"/>
    <w:p>
      <w:pPr>
        <w:pStyle w:val="Heading3"/>
      </w:pPr>
      <w:r>
        <w:t xml:space="preserve">Chapter 57 — Booking Price and Amount Integrity</w:t>
      </w:r>
    </w:p>
    <w:p>
      <w:pPr>
        <w:pStyle w:val="FirstParagraph"/>
      </w:pPr>
      <w:r>
        <w:t xml:space="preserve">Amounts and currency must be revalidated at the trusted service/payment</w:t>
      </w:r>
      <w:r>
        <w:t xml:space="preserve"> </w:t>
      </w:r>
      <w:r>
        <w:t xml:space="preserve">boundary and recorded consistently across booking, payment, gateway, and</w:t>
      </w:r>
      <w:r>
        <w:t xml:space="preserve"> </w:t>
      </w:r>
      <w:r>
        <w:t xml:space="preserve">ledger evidence. Client-displayed totals are not mutation authority.</w:t>
      </w:r>
    </w:p>
    <w:bookmarkEnd w:id="71"/>
    <w:bookmarkStart w:id="72" w:name="X7e01d9874bfb031873ccfafef4dc65d2dfba23d"/>
    <w:p>
      <w:pPr>
        <w:pStyle w:val="Heading3"/>
      </w:pPr>
      <w:r>
        <w:t xml:space="preserve">Chapter 58 — Availability Conflict Handling</w:t>
      </w:r>
    </w:p>
    <w:p>
      <w:pPr>
        <w:pStyle w:val="FirstParagraph"/>
      </w:pPr>
      <w:r>
        <w:t xml:space="preserve">Concurrent or overlapping requests must be resolved by the authoritative</w:t>
      </w:r>
      <w:r>
        <w:t xml:space="preserve"> </w:t>
      </w:r>
      <w:r>
        <w:t xml:space="preserve">booking/availability logic. A conflict returns a safe failure and should not</w:t>
      </w:r>
      <w:r>
        <w:t xml:space="preserve"> </w:t>
      </w:r>
      <w:r>
        <w:t xml:space="preserve">create duplicate reservations or payment actions.</w:t>
      </w:r>
    </w:p>
    <w:bookmarkEnd w:id="72"/>
    <w:bookmarkStart w:id="73" w:name="chapter-59--booking-cancellation"/>
    <w:p>
      <w:pPr>
        <w:pStyle w:val="Heading3"/>
      </w:pPr>
      <w:r>
        <w:t xml:space="preserve">Chapter 59 — Booking Cancellation</w:t>
      </w:r>
    </w:p>
    <w:p>
      <w:pPr>
        <w:pStyle w:val="FirstParagraph"/>
      </w:pPr>
      <w:r>
        <w:t xml:space="preserve">Cancellation is allowed only for roles and states defined by current services</w:t>
      </w:r>
      <w:r>
        <w:t xml:space="preserve"> </w:t>
      </w:r>
      <w:r>
        <w:t xml:space="preserve">and policy. It must preserve status history, related financial/claim effects,</w:t>
      </w:r>
      <w:r>
        <w:t xml:space="preserve"> </w:t>
      </w:r>
      <w:r>
        <w:t xml:space="preserve">notifications, and audit reasoning.</w:t>
      </w:r>
    </w:p>
    <w:bookmarkEnd w:id="73"/>
    <w:bookmarkStart w:id="74" w:name="chapter-60--booking-notifications"/>
    <w:p>
      <w:pPr>
        <w:pStyle w:val="Heading3"/>
      </w:pPr>
      <w:r>
        <w:t xml:space="preserve">Chapter 60 — Booking Notifications</w:t>
      </w:r>
    </w:p>
    <w:p>
      <w:pPr>
        <w:pStyle w:val="FirstParagraph"/>
      </w:pPr>
      <w:r>
        <w:t xml:space="preserve">Notifications communicate state changes to relevant participants without</w:t>
      </w:r>
      <w:r>
        <w:t xml:space="preserve"> </w:t>
      </w:r>
      <w:r>
        <w:t xml:space="preserve">granting action rights. Delivery/provider state may vary; stored state remains</w:t>
      </w:r>
      <w:r>
        <w:t xml:space="preserve"> </w:t>
      </w:r>
      <w:r>
        <w:t xml:space="preserve">authoritative if a notification is delayed or unavailable.</w:t>
      </w:r>
    </w:p>
    <w:bookmarkEnd w:id="74"/>
    <w:bookmarkStart w:id="75" w:name="chapter-61--booking-history-and-audit"/>
    <w:p>
      <w:pPr>
        <w:pStyle w:val="Heading3"/>
      </w:pPr>
      <w:r>
        <w:t xml:space="preserve">Chapter 61 — Booking History and Audit</w:t>
      </w:r>
    </w:p>
    <w:p>
      <w:pPr>
        <w:pStyle w:val="FirstParagraph"/>
      </w:pPr>
      <w:r>
        <w:t xml:space="preserve">BookingStatusHistory and related audit evidence support investigation of the</w:t>
      </w:r>
      <w:r>
        <w:t xml:space="preserve"> </w:t>
      </w:r>
      <w:r>
        <w:t xml:space="preserve">rental lifecycle. Logs should record safe identifiers, actor, transition, and</w:t>
      </w:r>
      <w:r>
        <w:t xml:space="preserve"> </w:t>
      </w:r>
      <w:r>
        <w:t xml:space="preserve">result without credentials or unnecessary private content.</w:t>
      </w:r>
    </w:p>
    <w:bookmarkEnd w:id="75"/>
    <w:bookmarkStart w:id="76" w:name="chapter-62--booking-failure-and-recovery"/>
    <w:p>
      <w:pPr>
        <w:pStyle w:val="Heading3"/>
      </w:pPr>
      <w:r>
        <w:t xml:space="preserve">Chapter 62 — Booking Failure and Recovery</w:t>
      </w:r>
    </w:p>
    <w:p>
      <w:pPr>
        <w:pStyle w:val="FirstParagraph"/>
      </w:pPr>
      <w:r>
        <w:t xml:space="preserve">On a failed booking mutation, preserve the prior valid state, return a</w:t>
      </w:r>
      <w:r>
        <w:t xml:space="preserve"> </w:t>
      </w:r>
      <w:r>
        <w:t xml:space="preserve">sanitized error, avoid duplicate retries through idempotent design where</w:t>
      </w:r>
      <w:r>
        <w:t xml:space="preserve"> </w:t>
      </w:r>
      <w:r>
        <w:t xml:space="preserve">applicable, and direct the user to safe retry or support. Financial side</w:t>
      </w:r>
      <w:r>
        <w:t xml:space="preserve"> </w:t>
      </w:r>
      <w:r>
        <w:t xml:space="preserve">effects require reconciliation before recovery.</w:t>
      </w:r>
    </w:p>
    <w:bookmarkEnd w:id="76"/>
    <w:bookmarkEnd w:id="77"/>
    <w:bookmarkStart w:id="88" w:name="Xe083f9cdf2c9fcd73947116d672809bcc5dcc74"/>
    <w:p>
      <w:pPr>
        <w:pStyle w:val="Heading2"/>
      </w:pPr>
      <w:r>
        <w:t xml:space="preserve">Part VII — Agreements, Turnover, and Inspections</w:t>
      </w:r>
    </w:p>
    <w:bookmarkStart w:id="78" w:name="chapter-63--rental-agreement-purpose"/>
    <w:p>
      <w:pPr>
        <w:pStyle w:val="Heading3"/>
      </w:pPr>
      <w:r>
        <w:t xml:space="preserve">Chapter 63 — Rental Agreement Purpose</w:t>
      </w:r>
    </w:p>
    <w:p>
      <w:pPr>
        <w:pStyle w:val="FirstParagraph"/>
      </w:pPr>
      <w:r>
        <w:t xml:space="preserve">The rental agreement records participant commitments tied to an authorized</w:t>
      </w:r>
      <w:r>
        <w:t xml:space="preserve"> </w:t>
      </w:r>
      <w:r>
        <w:t xml:space="preserve">booking. It is not a free-standing public document: access follows booking</w:t>
      </w:r>
      <w:r>
        <w:t xml:space="preserve"> </w:t>
      </w:r>
      <w:r>
        <w:t xml:space="preserve">ownership/role and the service-defined lifecycle. Evidence: RentalAgreement</w:t>
      </w:r>
      <w:r>
        <w:t xml:space="preserve"> </w:t>
      </w:r>
      <w:r>
        <w:t xml:space="preserve">model and booking agreement routes.</w:t>
      </w:r>
    </w:p>
    <w:bookmarkEnd w:id="78"/>
    <w:bookmarkStart w:id="79" w:name="chapter-64--provider-agreement-action"/>
    <w:p>
      <w:pPr>
        <w:pStyle w:val="Heading3"/>
      </w:pPr>
      <w:r>
        <w:t xml:space="preserve">Chapter 64 — Provider Agreement Action</w:t>
      </w:r>
    </w:p>
    <w:p>
      <w:pPr>
        <w:pStyle w:val="FirstParagraph"/>
      </w:pPr>
      <w:r>
        <w:t xml:space="preserve">Provider agreement actions are limited to the provider's booking scope and</w:t>
      </w:r>
      <w:r>
        <w:t xml:space="preserve"> </w:t>
      </w:r>
      <w:r>
        <w:t xml:space="preserve">compatible booking state. The service validates actor, record, and transition;</w:t>
      </w:r>
      <w:r>
        <w:t xml:space="preserve"> </w:t>
      </w:r>
      <w:r>
        <w:t xml:space="preserve">the UI cannot manufacture agreement acceptance.</w:t>
      </w:r>
    </w:p>
    <w:bookmarkEnd w:id="79"/>
    <w:bookmarkStart w:id="80" w:name="chapter-65--renter-agreement-review"/>
    <w:p>
      <w:pPr>
        <w:pStyle w:val="Heading3"/>
      </w:pPr>
      <w:r>
        <w:t xml:space="preserve">Chapter 65 — Renter Agreement Review</w:t>
      </w:r>
    </w:p>
    <w:p>
      <w:pPr>
        <w:pStyle w:val="FirstParagraph"/>
      </w:pPr>
      <w:r>
        <w:t xml:space="preserve">Renters review the agreement associated with their booking and complete only</w:t>
      </w:r>
      <w:r>
        <w:t xml:space="preserve"> </w:t>
      </w:r>
      <w:r>
        <w:t xml:space="preserve">their assigned confirmation. Failure or disagreement should preserve the</w:t>
      </w:r>
      <w:r>
        <w:t xml:space="preserve"> </w:t>
      </w:r>
      <w:r>
        <w:t xml:space="preserve">record and move through support/dispute policy rather than an out-of-band edit.</w:t>
      </w:r>
    </w:p>
    <w:bookmarkEnd w:id="80"/>
    <w:bookmarkStart w:id="81" w:name="chapter-66--agreement-state-integrity"/>
    <w:p>
      <w:pPr>
        <w:pStyle w:val="Heading3"/>
      </w:pPr>
      <w:r>
        <w:t xml:space="preserve">Chapter 66 — Agreement State Integrity</w:t>
      </w:r>
    </w:p>
    <w:p>
      <w:pPr>
        <w:pStyle w:val="FirstParagraph"/>
      </w:pPr>
      <w:r>
        <w:t xml:space="preserve">Agreement and booking state must remain consistent across participant actions.</w:t>
      </w:r>
      <w:r>
        <w:t xml:space="preserve"> </w:t>
      </w:r>
      <w:r>
        <w:t xml:space="preserve">Concurrent updates require safe conflict handling, and audit/history evidence</w:t>
      </w:r>
      <w:r>
        <w:t xml:space="preserve"> </w:t>
      </w:r>
      <w:r>
        <w:t xml:space="preserve">must identify the effective transition without exposing private content.</w:t>
      </w:r>
    </w:p>
    <w:bookmarkEnd w:id="81"/>
    <w:bookmarkStart w:id="82" w:name="chapter-67--turnover-preparation"/>
    <w:p>
      <w:pPr>
        <w:pStyle w:val="Heading3"/>
      </w:pPr>
      <w:r>
        <w:t xml:space="preserve">Chapter 67 — Turnover Preparation</w:t>
      </w:r>
    </w:p>
    <w:p>
      <w:pPr>
        <w:pStyle w:val="FirstParagraph"/>
      </w:pPr>
      <w:r>
        <w:t xml:space="preserve">Providers use the turnover route to prepare handoff evidence for an eligible</w:t>
      </w:r>
      <w:r>
        <w:t xml:space="preserve"> </w:t>
      </w:r>
      <w:r>
        <w:t xml:space="preserve">booking. Confirm identity, item, booking state, expected condition, and minimum</w:t>
      </w:r>
      <w:r>
        <w:t xml:space="preserve"> </w:t>
      </w:r>
      <w:r>
        <w:t xml:space="preserve">necessary evidence before completion.</w:t>
      </w:r>
    </w:p>
    <w:bookmarkEnd w:id="82"/>
    <w:bookmarkStart w:id="83" w:name="chapter-68--turnover-record"/>
    <w:p>
      <w:pPr>
        <w:pStyle w:val="Heading3"/>
      </w:pPr>
      <w:r>
        <w:t xml:space="preserve">Chapter 68 — Turnover Record</w:t>
      </w:r>
    </w:p>
    <w:p>
      <w:pPr>
        <w:pStyle w:val="FirstParagraph"/>
      </w:pPr>
      <w:r>
        <w:t xml:space="preserve">TurnoverRecord preserves handoff facts linked to the booking. Access is</w:t>
      </w:r>
      <w:r>
        <w:t xml:space="preserve"> </w:t>
      </w:r>
      <w:r>
        <w:t xml:space="preserve">participant/operator scoped, and uploaded evidence follows the inspection and</w:t>
      </w:r>
      <w:r>
        <w:t xml:space="preserve"> </w:t>
      </w:r>
      <w:r>
        <w:t xml:space="preserve">upload controls. A record must not contain credentials or unrelated personal</w:t>
      </w:r>
      <w:r>
        <w:t xml:space="preserve"> </w:t>
      </w:r>
      <w:r>
        <w:t xml:space="preserve">data.</w:t>
      </w:r>
    </w:p>
    <w:bookmarkEnd w:id="83"/>
    <w:bookmarkStart w:id="84" w:name="chapter-69--initial-inspection"/>
    <w:p>
      <w:pPr>
        <w:pStyle w:val="Heading3"/>
      </w:pPr>
      <w:r>
        <w:t xml:space="preserve">Chapter 69 — Initial Inspection</w:t>
      </w:r>
    </w:p>
    <w:p>
      <w:pPr>
        <w:pStyle w:val="FirstParagraph"/>
      </w:pPr>
      <w:r>
        <w:t xml:space="preserve">Renter/provider inspection routes capture permitted condition evidence at the</w:t>
      </w:r>
      <w:r>
        <w:t xml:space="preserve"> </w:t>
      </w:r>
      <w:r>
        <w:t xml:space="preserve">appropriate lifecycle point. InspectionReport and InspectionPhoto records are</w:t>
      </w:r>
      <w:r>
        <w:t xml:space="preserve"> </w:t>
      </w:r>
      <w:r>
        <w:t xml:space="preserve">authorization-bound and support later claim/dispute review.</w:t>
      </w:r>
    </w:p>
    <w:bookmarkEnd w:id="84"/>
    <w:bookmarkStart w:id="85" w:name="X1dd4c8795b3f053135a8cc82463655a7b8682ac"/>
    <w:p>
      <w:pPr>
        <w:pStyle w:val="Heading3"/>
      </w:pPr>
      <w:r>
        <w:t xml:space="preserve">Chapter 70 — Renter Inspection Confirmation</w:t>
      </w:r>
    </w:p>
    <w:p>
      <w:pPr>
        <w:pStyle w:val="FirstParagraph"/>
      </w:pPr>
      <w:r>
        <w:t xml:space="preserve">Renter confirmation is an explicit state action, not an assumption from page</w:t>
      </w:r>
      <w:r>
        <w:t xml:space="preserve"> </w:t>
      </w:r>
      <w:r>
        <w:t xml:space="preserve">viewing. The service validates booking ownership, inspection existence, and</w:t>
      </w:r>
      <w:r>
        <w:t xml:space="preserve"> </w:t>
      </w:r>
      <w:r>
        <w:t xml:space="preserve">current state before recording confirmation.</w:t>
      </w:r>
    </w:p>
    <w:bookmarkEnd w:id="85"/>
    <w:bookmarkStart w:id="86" w:name="chapter-71--return-inspection"/>
    <w:p>
      <w:pPr>
        <w:pStyle w:val="Heading3"/>
      </w:pPr>
      <w:r>
        <w:t xml:space="preserve">Chapter 71 — Return Inspection</w:t>
      </w:r>
    </w:p>
    <w:p>
      <w:pPr>
        <w:pStyle w:val="FirstParagraph"/>
      </w:pPr>
      <w:r>
        <w:t xml:space="preserve">The provider return-inspection route records post-rental condition evidence</w:t>
      </w:r>
      <w:r>
        <w:t xml:space="preserve"> </w:t>
      </w:r>
      <w:r>
        <w:t xml:space="preserve">for an eligible booking. Differences must be described factually and may feed</w:t>
      </w:r>
      <w:r>
        <w:t xml:space="preserve"> </w:t>
      </w:r>
      <w:r>
        <w:t xml:space="preserve">claim/dispute review; the route does not adjudicate liability by itself.</w:t>
      </w:r>
    </w:p>
    <w:bookmarkEnd w:id="86"/>
    <w:bookmarkStart w:id="87" w:name="X916f2cf66184e92a053fac883f2d7577032b651"/>
    <w:p>
      <w:pPr>
        <w:pStyle w:val="Heading3"/>
      </w:pPr>
      <w:r>
        <w:t xml:space="preserve">Chapter 72 — Inspection Failure and Evidence Safety</w:t>
      </w:r>
    </w:p>
    <w:p>
      <w:pPr>
        <w:pStyle w:val="FirstParagraph"/>
      </w:pPr>
      <w:r>
        <w:t xml:space="preserve">Upload or state failures must leave prior valid evidence intact and provide a</w:t>
      </w:r>
      <w:r>
        <w:t xml:space="preserve"> </w:t>
      </w:r>
      <w:r>
        <w:t xml:space="preserve">sanitized recovery path. Preserve identifiers, timestamps, and safe metadata;</w:t>
      </w:r>
      <w:r>
        <w:t xml:space="preserve"> </w:t>
      </w:r>
      <w:r>
        <w:t xml:space="preserve">avoid duplicate photos, unsupported file types, and unnecessary private data.</w:t>
      </w:r>
    </w:p>
    <w:bookmarkEnd w:id="87"/>
    <w:bookmarkEnd w:id="88"/>
    <w:bookmarkStart w:id="99" w:name="Xb8462f7bfa20f90916ef74c24e6f5ec6edc81bb"/>
    <w:p>
      <w:pPr>
        <w:pStyle w:val="Heading2"/>
      </w:pPr>
      <w:r>
        <w:t xml:space="preserve">Part VIII — Claims, Deposits, Disputes, and Trust</w:t>
      </w:r>
    </w:p>
    <w:bookmarkStart w:id="89" w:name="chapter-73--damage-claim-initiation"/>
    <w:p>
      <w:pPr>
        <w:pStyle w:val="Heading3"/>
      </w:pPr>
      <w:r>
        <w:t xml:space="preserve">Chapter 73 — Damage Claim Initiation</w:t>
      </w:r>
    </w:p>
    <w:p>
      <w:pPr>
        <w:pStyle w:val="FirstParagraph"/>
      </w:pPr>
      <w:r>
        <w:t xml:space="preserve">An eligible participant starts a damage claim against a booking using the</w:t>
      </w:r>
      <w:r>
        <w:t xml:space="preserve"> </w:t>
      </w:r>
      <w:r>
        <w:t xml:space="preserve">authorized route and minimum necessary evidence. The server validates actor,</w:t>
      </w:r>
      <w:r>
        <w:t xml:space="preserve"> </w:t>
      </w:r>
      <w:r>
        <w:t xml:space="preserve">booking relationship, claim window/state, and input. Evidence: DamageClaim and</w:t>
      </w:r>
      <w:r>
        <w:t xml:space="preserve"> </w:t>
      </w:r>
      <w:r>
        <w:t xml:space="preserve">DamageClaimPhoto models.</w:t>
      </w:r>
    </w:p>
    <w:bookmarkEnd w:id="89"/>
    <w:bookmarkStart w:id="90" w:name="chapter-74--claim-evidence"/>
    <w:p>
      <w:pPr>
        <w:pStyle w:val="Heading3"/>
      </w:pPr>
      <w:r>
        <w:t xml:space="preserve">Chapter 74 — Claim Evidence</w:t>
      </w:r>
    </w:p>
    <w:p>
      <w:pPr>
        <w:pStyle w:val="FirstParagraph"/>
      </w:pPr>
      <w:r>
        <w:t xml:space="preserve">Claim photos and descriptions document alleged condition differences; they do</w:t>
      </w:r>
      <w:r>
        <w:t xml:space="preserve"> </w:t>
      </w:r>
      <w:r>
        <w:t xml:space="preserve">not automatically prove liability. File safety, ownership, privacy, and audit</w:t>
      </w:r>
      <w:r>
        <w:t xml:space="preserve"> </w:t>
      </w:r>
      <w:r>
        <w:t xml:space="preserve">rules apply, and reviewers should avoid copying raw media into general logs.</w:t>
      </w:r>
    </w:p>
    <w:bookmarkEnd w:id="90"/>
    <w:bookmarkStart w:id="91" w:name="chapter-75--claim-response"/>
    <w:p>
      <w:pPr>
        <w:pStyle w:val="Heading3"/>
      </w:pPr>
      <w:r>
        <w:t xml:space="preserve">Chapter 75 — Claim Response</w:t>
      </w:r>
    </w:p>
    <w:p>
      <w:pPr>
        <w:pStyle w:val="FirstParagraph"/>
      </w:pPr>
      <w:r>
        <w:t xml:space="preserve">The claim-response API permits the assigned participant/operator response in</w:t>
      </w:r>
      <w:r>
        <w:t xml:space="preserve"> </w:t>
      </w:r>
      <w:r>
        <w:t xml:space="preserve">an allowed state. It records the response without bypassing dispute, deposit,</w:t>
      </w:r>
      <w:r>
        <w:t xml:space="preserve"> </w:t>
      </w:r>
      <w:r>
        <w:t xml:space="preserve">refund, or finance authority.</w:t>
      </w:r>
    </w:p>
    <w:bookmarkEnd w:id="91"/>
    <w:bookmarkStart w:id="92" w:name="chapter-76--dispute-case-creation"/>
    <w:p>
      <w:pPr>
        <w:pStyle w:val="Heading3"/>
      </w:pPr>
      <w:r>
        <w:t xml:space="preserve">Chapter 76 — Dispute Case Creation</w:t>
      </w:r>
    </w:p>
    <w:p>
      <w:pPr>
        <w:pStyle w:val="FirstParagraph"/>
      </w:pPr>
      <w:r>
        <w:t xml:space="preserve">DisputeCase records organize contested rental facts for human review. A claim,</w:t>
      </w:r>
      <w:r>
        <w:t xml:space="preserve"> </w:t>
      </w:r>
      <w:r>
        <w:t xml:space="preserve">payment mismatch, inspection difference, or support escalation may supply</w:t>
      </w:r>
      <w:r>
        <w:t xml:space="preserve"> </w:t>
      </w:r>
      <w:r>
        <w:t xml:space="preserve">evidence, but the dispute lifecycle remains separately authorized.</w:t>
      </w:r>
    </w:p>
    <w:bookmarkEnd w:id="92"/>
    <w:bookmarkStart w:id="93" w:name="chapter-77--dispute-review"/>
    <w:p>
      <w:pPr>
        <w:pStyle w:val="Heading3"/>
      </w:pPr>
      <w:r>
        <w:t xml:space="preserve">Chapter 77 — Dispute Review</w:t>
      </w:r>
    </w:p>
    <w:p>
      <w:pPr>
        <w:pStyle w:val="FirstParagraph"/>
      </w:pPr>
      <w:r>
        <w:t xml:space="preserve">Authorized administrators review participant scope, booking history,</w:t>
      </w:r>
      <w:r>
        <w:t xml:space="preserve"> </w:t>
      </w:r>
      <w:r>
        <w:t xml:space="preserve">agreement, inspections, claims, communications, and relevant financial</w:t>
      </w:r>
      <w:r>
        <w:t xml:space="preserve"> </w:t>
      </w:r>
      <w:r>
        <w:t xml:space="preserve">evidence. Decisions must be reasoned, sanitized, and auditable.</w:t>
      </w:r>
    </w:p>
    <w:bookmarkEnd w:id="93"/>
    <w:bookmarkStart w:id="94" w:name="chapter-78--dispute-resolution"/>
    <w:p>
      <w:pPr>
        <w:pStyle w:val="Heading3"/>
      </w:pPr>
      <w:r>
        <w:t xml:space="preserve">Chapter 78 — Dispute Resolution</w:t>
      </w:r>
    </w:p>
    <w:p>
      <w:pPr>
        <w:pStyle w:val="FirstParagraph"/>
      </w:pPr>
      <w:r>
        <w:rPr>
          <w:rStyle w:val="VerbatimChar"/>
        </w:rPr>
        <w:t xml:space="preserve">/api/admin/disputes/[id]/resolve</w:t>
      </w:r>
      <w:r>
        <w:t xml:space="preserve"> </w:t>
      </w:r>
      <w:r>
        <w:t xml:space="preserve">performs a controlled resolution transition.</w:t>
      </w:r>
      <w:r>
        <w:t xml:space="preserve"> </w:t>
      </w:r>
      <w:r>
        <w:t xml:space="preserve">Resolution does not automatically authorize a gateway transaction, payout, or</w:t>
      </w:r>
      <w:r>
        <w:t xml:space="preserve"> </w:t>
      </w:r>
      <w:r>
        <w:t xml:space="preserve">refund; finance effects follow their own controls.</w:t>
      </w:r>
    </w:p>
    <w:bookmarkEnd w:id="94"/>
    <w:bookmarkStart w:id="95" w:name="chapter-79--deposit-actions"/>
    <w:p>
      <w:pPr>
        <w:pStyle w:val="Heading3"/>
      </w:pPr>
      <w:r>
        <w:t xml:space="preserve">Chapter 79 — Deposit Actions</w:t>
      </w:r>
    </w:p>
    <w:p>
      <w:pPr>
        <w:pStyle w:val="FirstParagraph"/>
      </w:pPr>
      <w:r>
        <w:t xml:space="preserve">DepositAction records support controlled deposit decisions tied to the rental</w:t>
      </w:r>
      <w:r>
        <w:t xml:space="preserve"> </w:t>
      </w:r>
      <w:r>
        <w:t xml:space="preserve">and dispute evidence. Exact policy, role, amount, currency, and state must be</w:t>
      </w:r>
      <w:r>
        <w:t xml:space="preserve"> </w:t>
      </w:r>
      <w:r>
        <w:t xml:space="preserve">verified before any permitted action.</w:t>
      </w:r>
    </w:p>
    <w:bookmarkEnd w:id="95"/>
    <w:bookmarkStart w:id="96" w:name="chapter-80--reviews-and-trust-signals"/>
    <w:p>
      <w:pPr>
        <w:pStyle w:val="Heading3"/>
      </w:pPr>
      <w:r>
        <w:t xml:space="preserve">Chapter 80 — Reviews and Trust Signals</w:t>
      </w:r>
    </w:p>
    <w:p>
      <w:pPr>
        <w:pStyle w:val="FirstParagraph"/>
      </w:pPr>
      <w:r>
        <w:t xml:space="preserve">Reviews support marketplace trust after an eligible rental state. Ownership,</w:t>
      </w:r>
      <w:r>
        <w:t xml:space="preserve"> </w:t>
      </w:r>
      <w:r>
        <w:t xml:space="preserve">participation, timing, and content controls should prevent unrelated or unsafe</w:t>
      </w:r>
      <w:r>
        <w:t xml:space="preserve"> </w:t>
      </w:r>
      <w:r>
        <w:t xml:space="preserve">submissions. Reviews do not replace formal claims or disputes.</w:t>
      </w:r>
    </w:p>
    <w:bookmarkEnd w:id="96"/>
    <w:bookmarkStart w:id="97" w:name="X5334a3b325f0388719b6f1f0aaa7bf34dd83582"/>
    <w:p>
      <w:pPr>
        <w:pStyle w:val="Heading3"/>
      </w:pPr>
      <w:r>
        <w:t xml:space="preserve">Chapter 81 — Notifications in Trust Workflows</w:t>
      </w:r>
    </w:p>
    <w:p>
      <w:pPr>
        <w:pStyle w:val="FirstParagraph"/>
      </w:pPr>
      <w:r>
        <w:t xml:space="preserve">Notifications inform participants about claim, dispute, deposit, or review</w:t>
      </w:r>
      <w:r>
        <w:t xml:space="preserve"> </w:t>
      </w:r>
      <w:r>
        <w:t xml:space="preserve">state. They are not the record of authority; stored service state and audit</w:t>
      </w:r>
      <w:r>
        <w:t xml:space="preserve"> </w:t>
      </w:r>
      <w:r>
        <w:t xml:space="preserve">history control when delivery is delayed or fails.</w:t>
      </w:r>
    </w:p>
    <w:bookmarkEnd w:id="97"/>
    <w:bookmarkStart w:id="98" w:name="chapter-82--claims-and-dispute-recovery"/>
    <w:p>
      <w:pPr>
        <w:pStyle w:val="Heading3"/>
      </w:pPr>
      <w:r>
        <w:t xml:space="preserve">Chapter 82 — Claims and Dispute Recovery</w:t>
      </w:r>
    </w:p>
    <w:p>
      <w:pPr>
        <w:pStyle w:val="FirstParagraph"/>
      </w:pPr>
      <w:r>
        <w:t xml:space="preserve">On conflicts or partial failures, stop duplicate mutations, preserve all prior</w:t>
      </w:r>
      <w:r>
        <w:t xml:space="preserve"> </w:t>
      </w:r>
      <w:r>
        <w:t xml:space="preserve">evidence, reconcile related booking/payment state, and escalate to authorized</w:t>
      </w:r>
      <w:r>
        <w:t xml:space="preserve"> </w:t>
      </w:r>
      <w:r>
        <w:t xml:space="preserve">review. Recovery must not erase contested history or fabricate a financial</w:t>
      </w:r>
      <w:r>
        <w:t xml:space="preserve"> </w:t>
      </w:r>
      <w:r>
        <w:t xml:space="preserve">correction.</w:t>
      </w:r>
    </w:p>
    <w:bookmarkEnd w:id="98"/>
    <w:bookmarkEnd w:id="99"/>
    <w:bookmarkStart w:id="112" w:name="X36f01307d78c07520a7f01af6135260debd2e39"/>
    <w:p>
      <w:pPr>
        <w:pStyle w:val="Heading2"/>
      </w:pPr>
      <w:r>
        <w:t xml:space="preserve">Part IX — Checkout, Payments, and Provider Events</w:t>
      </w:r>
    </w:p>
    <w:bookmarkStart w:id="100" w:name="chapter-83--checkout-entry"/>
    <w:p>
      <w:pPr>
        <w:pStyle w:val="Heading3"/>
      </w:pPr>
      <w:r>
        <w:t xml:space="preserve">Chapter 83 — Checkout Entry</w:t>
      </w:r>
    </w:p>
    <w:p>
      <w:pPr>
        <w:pStyle w:val="FirstParagraph"/>
      </w:pPr>
      <w:r>
        <w:rPr>
          <w:rStyle w:val="VerbatimChar"/>
        </w:rPr>
        <w:t xml:space="preserve">/checkout/[bookingId]</w:t>
      </w:r>
      <w:r>
        <w:t xml:space="preserve"> </w:t>
      </w:r>
      <w:r>
        <w:t xml:space="preserve">is a guarded transaction surface linked to an</w:t>
      </w:r>
      <w:r>
        <w:t xml:space="preserve"> </w:t>
      </w:r>
      <w:r>
        <w:t xml:space="preserve">authorized booking. The server revalidates session, ownership, booking state,</w:t>
      </w:r>
      <w:r>
        <w:t xml:space="preserve"> </w:t>
      </w:r>
      <w:r>
        <w:t xml:space="preserve">amount, currency, provider mode, and payment policy before any allowed step.</w:t>
      </w:r>
    </w:p>
    <w:bookmarkEnd w:id="100"/>
    <w:bookmarkStart w:id="101" w:name="chapter-84--payment-model"/>
    <w:p>
      <w:pPr>
        <w:pStyle w:val="Heading3"/>
      </w:pPr>
      <w:r>
        <w:t xml:space="preserve">Chapter 84 — Payment Model</w:t>
      </w:r>
    </w:p>
    <w:p>
      <w:pPr>
        <w:pStyle w:val="FirstParagraph"/>
      </w:pPr>
      <w:r>
        <w:t xml:space="preserve">Payment records represent application payment state; GatewayTransaction and</w:t>
      </w:r>
      <w:r>
        <w:t xml:space="preserve"> </w:t>
      </w:r>
      <w:r>
        <w:t xml:space="preserve">webhook/reconciliation records provide provider evidence. No single UI status</w:t>
      </w:r>
      <w:r>
        <w:t xml:space="preserve"> </w:t>
      </w:r>
      <w:r>
        <w:t xml:space="preserve">or provider callback is sufficient to establish final financial truth.</w:t>
      </w:r>
    </w:p>
    <w:bookmarkEnd w:id="101"/>
    <w:bookmarkStart w:id="102" w:name="chapter-85--payment-provider-modes"/>
    <w:p>
      <w:pPr>
        <w:pStyle w:val="Heading3"/>
      </w:pPr>
      <w:r>
        <w:t xml:space="preserve">Chapter 85 — Payment Provider Modes</w:t>
      </w:r>
    </w:p>
    <w:p>
      <w:pPr>
        <w:pStyle w:val="FirstParagraph"/>
      </w:pPr>
      <w:r>
        <w:t xml:space="preserve">Repository configuration supports guarded mock/sandbox/readiness/live-mode</w:t>
      </w:r>
      <w:r>
        <w:t xml:space="preserve"> </w:t>
      </w:r>
      <w:r>
        <w:t xml:space="preserve">concepts. Variable names document the contract only. Phase 19 NO-GO controls</w:t>
      </w:r>
      <w:r>
        <w:t xml:space="preserve"> </w:t>
      </w:r>
      <w:r>
        <w:t xml:space="preserve">activation regardless of code presence or dashboard readiness.</w:t>
      </w:r>
    </w:p>
    <w:bookmarkEnd w:id="102"/>
    <w:bookmarkStart w:id="103" w:name="chapter-86--paymongo-request-safety"/>
    <w:p>
      <w:pPr>
        <w:pStyle w:val="Heading3"/>
      </w:pPr>
      <w:r>
        <w:t xml:space="preserve">Chapter 86 — PayMongo Request Safety</w:t>
      </w:r>
    </w:p>
    <w:p>
      <w:pPr>
        <w:pStyle w:val="FirstParagraph"/>
      </w:pPr>
      <w:r>
        <w:t xml:space="preserve">Permitted provider requests must use server-held credentials, trusted amount</w:t>
      </w:r>
      <w:r>
        <w:t xml:space="preserve"> </w:t>
      </w:r>
      <w:r>
        <w:t xml:space="preserve">and currency, safe idempotency, and sanitized error handling. Documentation</w:t>
      </w:r>
      <w:r>
        <w:t xml:space="preserve"> </w:t>
      </w:r>
      <w:r>
        <w:t xml:space="preserve">does not contain provider secret values or authorize live requests.</w:t>
      </w:r>
    </w:p>
    <w:bookmarkEnd w:id="103"/>
    <w:bookmarkStart w:id="104" w:name="chapter-87--webhook-reception"/>
    <w:p>
      <w:pPr>
        <w:pStyle w:val="Heading3"/>
      </w:pPr>
      <w:r>
        <w:t xml:space="preserve">Chapter 87 — Webhook Reception</w:t>
      </w:r>
    </w:p>
    <w:p>
      <w:pPr>
        <w:pStyle w:val="FirstParagraph"/>
      </w:pPr>
      <w:r>
        <w:rPr>
          <w:rStyle w:val="VerbatimChar"/>
        </w:rPr>
        <w:t xml:space="preserve">/api/webhooks/paymongo</w:t>
      </w:r>
      <w:r>
        <w:t xml:space="preserve"> </w:t>
      </w:r>
      <w:r>
        <w:t xml:space="preserve">receives provider events under signature, payload,</w:t>
      </w:r>
      <w:r>
        <w:t xml:space="preserve"> </w:t>
      </w:r>
      <w:r>
        <w:t xml:space="preserve">event identity, and replay controls. Receipt does not equal accepted mutation;</w:t>
      </w:r>
      <w:r>
        <w:t xml:space="preserve"> </w:t>
      </w:r>
      <w:r>
        <w:t xml:space="preserve">the handler validates compatibility and records safe processing evidence.</w:t>
      </w:r>
    </w:p>
    <w:bookmarkEnd w:id="104"/>
    <w:bookmarkStart w:id="105" w:name="Xea67cf583a73ebbaab7bc2d61195ed39bd6a9ff"/>
    <w:p>
      <w:pPr>
        <w:pStyle w:val="Heading3"/>
      </w:pPr>
      <w:r>
        <w:t xml:space="preserve">Chapter 88 — Webhook Signature Verification</w:t>
      </w:r>
    </w:p>
    <w:p>
      <w:pPr>
        <w:pStyle w:val="FirstParagraph"/>
      </w:pPr>
      <w:r>
        <w:t xml:space="preserve">Signature verification uses configured secret material without logging or</w:t>
      </w:r>
      <w:r>
        <w:t xml:space="preserve"> </w:t>
      </w:r>
      <w:r>
        <w:t xml:space="preserve">returning it. Invalid, malformed, duplicate, or unsupported events fail safely</w:t>
      </w:r>
      <w:r>
        <w:t xml:space="preserve"> </w:t>
      </w:r>
      <w:r>
        <w:t xml:space="preserve">and remain available for authorized investigation.</w:t>
      </w:r>
    </w:p>
    <w:bookmarkEnd w:id="105"/>
    <w:bookmarkStart w:id="106" w:name="chapter-89--webhook-idempotency"/>
    <w:p>
      <w:pPr>
        <w:pStyle w:val="Heading3"/>
      </w:pPr>
      <w:r>
        <w:t xml:space="preserve">Chapter 89 — Webhook Idempotency</w:t>
      </w:r>
    </w:p>
    <w:p>
      <w:pPr>
        <w:pStyle w:val="FirstParagraph"/>
      </w:pPr>
      <w:r>
        <w:t xml:space="preserve">Provider event identity and current financial state prevent duplicate effects.</w:t>
      </w:r>
      <w:r>
        <w:t xml:space="preserve"> </w:t>
      </w:r>
      <w:r>
        <w:t xml:space="preserve">Retries should converge on the recorded result rather than create repeated</w:t>
      </w:r>
      <w:r>
        <w:t xml:space="preserve"> </w:t>
      </w:r>
      <w:r>
        <w:t xml:space="preserve">payments, refunds, ledger entries, or notifications.</w:t>
      </w:r>
    </w:p>
    <w:bookmarkEnd w:id="106"/>
    <w:bookmarkStart w:id="107" w:name="Xda77cfa7f93e5d35330a86ea6df8964ffdc670c"/>
    <w:p>
      <w:pPr>
        <w:pStyle w:val="Heading3"/>
      </w:pPr>
      <w:r>
        <w:t xml:space="preserve">Chapter 90 — Amount and Currency Integrity</w:t>
      </w:r>
    </w:p>
    <w:p>
      <w:pPr>
        <w:pStyle w:val="FirstParagraph"/>
      </w:pPr>
      <w:r>
        <w:t xml:space="preserve">Trusted server values must match gateway and booking evidence exactly. Amount</w:t>
      </w:r>
      <w:r>
        <w:t xml:space="preserve"> </w:t>
      </w:r>
      <w:r>
        <w:t xml:space="preserve">or currency mismatches are recorded for reconciliation and must not be rounded,</w:t>
      </w:r>
      <w:r>
        <w:t xml:space="preserve"> </w:t>
      </w:r>
      <w:r>
        <w:t xml:space="preserve">silently corrected, or accepted from the client.</w:t>
      </w:r>
    </w:p>
    <w:bookmarkEnd w:id="107"/>
    <w:bookmarkStart w:id="108" w:name="chapter-91--payment-reconciliation"/>
    <w:p>
      <w:pPr>
        <w:pStyle w:val="Heading3"/>
      </w:pPr>
      <w:r>
        <w:t xml:space="preserve">Chapter 91 — Payment Reconciliation</w:t>
      </w:r>
    </w:p>
    <w:p>
      <w:pPr>
        <w:pStyle w:val="FirstParagraph"/>
      </w:pPr>
      <w:r>
        <w:t xml:space="preserve">Reconciliation compares booking/payment, gateway transaction, webhook, action,</w:t>
      </w:r>
      <w:r>
        <w:t xml:space="preserve"> </w:t>
      </w:r>
      <w:r>
        <w:t xml:space="preserve">and ledger evidence. Operators classify matches and mismatches, preserve a</w:t>
      </w:r>
      <w:r>
        <w:t xml:space="preserve"> </w:t>
      </w:r>
      <w:r>
        <w:t xml:space="preserve">sanitized reason, and escalate unresolved differences.</w:t>
      </w:r>
    </w:p>
    <w:bookmarkEnd w:id="108"/>
    <w:bookmarkStart w:id="109" w:name="chapter-92--payment-audit-trail"/>
    <w:p>
      <w:pPr>
        <w:pStyle w:val="Heading3"/>
      </w:pPr>
      <w:r>
        <w:t xml:space="preserve">Chapter 92 — Payment Audit Trail</w:t>
      </w:r>
    </w:p>
    <w:p>
      <w:pPr>
        <w:pStyle w:val="FirstParagraph"/>
      </w:pPr>
      <w:r>
        <w:t xml:space="preserve">PaymentWebhookLog, PaymentActionLog, and PaymentReconciliationLog preserve</w:t>
      </w:r>
      <w:r>
        <w:t xml:space="preserve"> </w:t>
      </w:r>
      <w:r>
        <w:t xml:space="preserve">safe financial evidence. Logs exclude signatures, keys, authorization headers,</w:t>
      </w:r>
      <w:r>
        <w:t xml:space="preserve"> </w:t>
      </w:r>
      <w:r>
        <w:t xml:space="preserve">full credentials, and unnecessary personal data.</w:t>
      </w:r>
    </w:p>
    <w:bookmarkEnd w:id="109"/>
    <w:bookmarkStart w:id="110" w:name="chapter-93--payment-failure-handling"/>
    <w:p>
      <w:pPr>
        <w:pStyle w:val="Heading3"/>
      </w:pPr>
      <w:r>
        <w:t xml:space="preserve">Chapter 93 — Payment Failure Handling</w:t>
      </w:r>
    </w:p>
    <w:p>
      <w:pPr>
        <w:pStyle w:val="FirstParagraph"/>
      </w:pPr>
      <w:r>
        <w:t xml:space="preserve">On provider, validation, or persistence failure, avoid duplicate attempts,</w:t>
      </w:r>
      <w:r>
        <w:t xml:space="preserve"> </w:t>
      </w:r>
      <w:r>
        <w:t xml:space="preserve">preserve the last reliable state, and reconcile before a permitted retry.</w:t>
      </w:r>
      <w:r>
        <w:t xml:space="preserve"> </w:t>
      </w:r>
      <w:r>
        <w:t xml:space="preserve">User-facing errors remain sanitized; internal evidence remains access-controlled.</w:t>
      </w:r>
    </w:p>
    <w:bookmarkEnd w:id="110"/>
    <w:bookmarkStart w:id="111" w:name="chapter-94--phase-19-no-go-boundary"/>
    <w:p>
      <w:pPr>
        <w:pStyle w:val="Heading3"/>
      </w:pPr>
      <w:r>
        <w:t xml:space="preserve">Chapter 94 — Phase 19 NO-GO Boundary</w:t>
      </w:r>
    </w:p>
    <w:p>
      <w:pPr>
        <w:pStyle w:val="FirstParagraph"/>
      </w:pPr>
      <w:r>
        <w:rPr>
          <w:rStyle w:val="VerbatimChar"/>
        </w:rPr>
        <w:t xml:space="preserve">PHASE19_COMPLETE_NO_GO_FROZEN</w:t>
      </w:r>
      <w:r>
        <w:t xml:space="preserve"> </w:t>
      </w:r>
      <w:r>
        <w:t xml:space="preserve">is an accepted operational prohibition.</w:t>
      </w:r>
      <w:r>
        <w:t xml:space="preserve"> </w:t>
      </w:r>
      <w:r>
        <w:t xml:space="preserve">Checkout code, training pages, smoke-test/readiness routes, or provider</w:t>
      </w:r>
      <w:r>
        <w:t xml:space="preserve"> </w:t>
      </w:r>
      <w:r>
        <w:t xml:space="preserve">configuration names cannot authorize live payment activation.</w:t>
      </w:r>
      <w:r>
        <w:t xml:space="preserve"> </w:t>
      </w:r>
      <w:r>
        <w:rPr>
          <w:rStyle w:val="VerbatimChar"/>
        </w:rPr>
        <w:t xml:space="preserve">PAYMENT_ACTIVATION: NOT_AUTHORIZED</w:t>
      </w:r>
      <w:r>
        <w:t xml:space="preserve">.</w:t>
      </w:r>
    </w:p>
    <w:bookmarkEnd w:id="111"/>
    <w:bookmarkEnd w:id="112"/>
    <w:bookmarkStart w:id="123" w:name="Xee4b7a19f0fa5697a8f03f8c70d535b82cc5f48"/>
    <w:p>
      <w:pPr>
        <w:pStyle w:val="Heading2"/>
      </w:pPr>
      <w:r>
        <w:t xml:space="preserve">Part X — Finance, Refunds, Payouts, and Settlement</w:t>
      </w:r>
    </w:p>
    <w:bookmarkStart w:id="113" w:name="chapter-95--finance-dashboard"/>
    <w:p>
      <w:pPr>
        <w:pStyle w:val="Heading3"/>
      </w:pPr>
      <w:r>
        <w:t xml:space="preserve">Chapter 95 — Finance Dashboard</w:t>
      </w:r>
    </w:p>
    <w:p>
      <w:pPr>
        <w:pStyle w:val="FirstParagraph"/>
      </w:pPr>
      <w:r>
        <w:t xml:space="preserve">Finance dashboards summarize permitted gateway, reconciliation, refund,</w:t>
      </w:r>
      <w:r>
        <w:t xml:space="preserve"> </w:t>
      </w:r>
      <w:r>
        <w:t xml:space="preserve">payout, deposit, and settlement evidence for Finance Admin. Counts and status</w:t>
      </w:r>
      <w:r>
        <w:t xml:space="preserve"> </w:t>
      </w:r>
      <w:r>
        <w:t xml:space="preserve">cards are read surfaces and do not themselves authorize financial mutation.</w:t>
      </w:r>
    </w:p>
    <w:bookmarkEnd w:id="113"/>
    <w:bookmarkStart w:id="114" w:name="chapter-96--finance-ledger"/>
    <w:p>
      <w:pPr>
        <w:pStyle w:val="Heading3"/>
      </w:pPr>
      <w:r>
        <w:t xml:space="preserve">Chapter 96 — Finance Ledger</w:t>
      </w:r>
    </w:p>
    <w:p>
      <w:pPr>
        <w:pStyle w:val="FirstParagraph"/>
      </w:pPr>
      <w:r>
        <w:t xml:space="preserve">FinanceLedger records support consistent accounting evidence tied to business</w:t>
      </w:r>
      <w:r>
        <w:t xml:space="preserve"> </w:t>
      </w:r>
      <w:r>
        <w:t xml:space="preserve">transactions. Entries must preserve amount/currency precision, source</w:t>
      </w:r>
      <w:r>
        <w:t xml:space="preserve"> </w:t>
      </w:r>
      <w:r>
        <w:t xml:space="preserve">references, and authorized creation; direct ad hoc correction is unsafe.</w:t>
      </w:r>
    </w:p>
    <w:bookmarkEnd w:id="114"/>
    <w:bookmarkStart w:id="115" w:name="chapter-97--refund-request"/>
    <w:p>
      <w:pPr>
        <w:pStyle w:val="Heading3"/>
      </w:pPr>
      <w:r>
        <w:t xml:space="preserve">Chapter 97 — Refund Request</w:t>
      </w:r>
    </w:p>
    <w:p>
      <w:pPr>
        <w:pStyle w:val="FirstParagraph"/>
      </w:pPr>
      <w:r>
        <w:t xml:space="preserve">Renter refund requests capture a request and reason within an eligible booking</w:t>
      </w:r>
      <w:r>
        <w:t xml:space="preserve"> </w:t>
      </w:r>
      <w:r>
        <w:t xml:space="preserve">state. Submission is not approval or gateway execution. Finance review checks</w:t>
      </w:r>
      <w:r>
        <w:t xml:space="preserve"> </w:t>
      </w:r>
      <w:r>
        <w:t xml:space="preserve">booking, payment, dispute, and policy evidence.</w:t>
      </w:r>
    </w:p>
    <w:bookmarkEnd w:id="115"/>
    <w:bookmarkStart w:id="116" w:name="chapter-98--refund-review"/>
    <w:p>
      <w:pPr>
        <w:pStyle w:val="Heading3"/>
      </w:pPr>
      <w:r>
        <w:t xml:space="preserve">Chapter 98 — Refund Review</w:t>
      </w:r>
    </w:p>
    <w:p>
      <w:pPr>
        <w:pStyle w:val="FirstParagraph"/>
      </w:pPr>
      <w:r>
        <w:t xml:space="preserve">Authorized finance operators classify the request, validate amount/currency</w:t>
      </w:r>
      <w:r>
        <w:t xml:space="preserve"> </w:t>
      </w:r>
      <w:r>
        <w:t xml:space="preserve">and prior provider evidence, and record a reason. Readiness/SOP routes train or</w:t>
      </w:r>
      <w:r>
        <w:t xml:space="preserve"> </w:t>
      </w:r>
      <w:r>
        <w:t xml:space="preserve">guide review but do not enable live processing.</w:t>
      </w:r>
    </w:p>
    <w:bookmarkEnd w:id="116"/>
    <w:bookmarkStart w:id="117" w:name="chapter-99--provider-payout"/>
    <w:p>
      <w:pPr>
        <w:pStyle w:val="Heading3"/>
      </w:pPr>
      <w:r>
        <w:t xml:space="preserve">Chapter 99 — Provider Payout</w:t>
      </w:r>
    </w:p>
    <w:p>
      <w:pPr>
        <w:pStyle w:val="FirstParagraph"/>
      </w:pPr>
      <w:r>
        <w:t xml:space="preserve">ProviderPayout records represent payout state for an eligible provider and</w:t>
      </w:r>
      <w:r>
        <w:t xml:space="preserve"> </w:t>
      </w:r>
      <w:r>
        <w:t xml:space="preserve">settled business basis. Provider dashboard visibility is read-only with respect</w:t>
      </w:r>
      <w:r>
        <w:t xml:space="preserve"> </w:t>
      </w:r>
      <w:r>
        <w:t xml:space="preserve">to authorization of money movement.</w:t>
      </w:r>
    </w:p>
    <w:bookmarkEnd w:id="117"/>
    <w:bookmarkStart w:id="118" w:name="chapter-100--payout-batch"/>
    <w:p>
      <w:pPr>
        <w:pStyle w:val="Heading3"/>
      </w:pPr>
      <w:r>
        <w:t xml:space="preserve">Chapter 100 — Payout Batch</w:t>
      </w:r>
    </w:p>
    <w:p>
      <w:pPr>
        <w:pStyle w:val="FirstParagraph"/>
      </w:pPr>
      <w:r>
        <w:t xml:space="preserve">PayoutBatch groups controlled payout work for finance review and evidence.</w:t>
      </w:r>
      <w:r>
        <w:t xml:space="preserve"> </w:t>
      </w:r>
      <w:r>
        <w:t xml:space="preserve">Batch presence does not mean provider transmission occurred; exact state,</w:t>
      </w:r>
      <w:r>
        <w:t xml:space="preserve"> </w:t>
      </w:r>
      <w:r>
        <w:t xml:space="preserve">approval, and external result must be verified.</w:t>
      </w:r>
    </w:p>
    <w:bookmarkEnd w:id="118"/>
    <w:bookmarkStart w:id="119" w:name="chapter-101--payout-statements"/>
    <w:p>
      <w:pPr>
        <w:pStyle w:val="Heading3"/>
      </w:pPr>
      <w:r>
        <w:t xml:space="preserve">Chapter 101 — Payout Statements</w:t>
      </w:r>
    </w:p>
    <w:p>
      <w:pPr>
        <w:pStyle w:val="FirstParagraph"/>
      </w:pPr>
      <w:r>
        <w:t xml:space="preserve">Payout statement routes present provider-scoped evidence for a payout record.</w:t>
      </w:r>
      <w:r>
        <w:t xml:space="preserve"> </w:t>
      </w:r>
      <w:r>
        <w:t xml:space="preserve">Access checks prevent cross-provider disclosure. A statement reflects stored</w:t>
      </w:r>
      <w:r>
        <w:t xml:space="preserve"> </w:t>
      </w:r>
      <w:r>
        <w:t xml:space="preserve">state and is not proof of external settlement.</w:t>
      </w:r>
    </w:p>
    <w:bookmarkEnd w:id="119"/>
    <w:bookmarkStart w:id="120" w:name="chapter-102--settlement-review"/>
    <w:p>
      <w:pPr>
        <w:pStyle w:val="Heading3"/>
      </w:pPr>
      <w:r>
        <w:t xml:space="preserve">Chapter 102 — Settlement Review</w:t>
      </w:r>
    </w:p>
    <w:p>
      <w:pPr>
        <w:pStyle w:val="FirstParagraph"/>
      </w:pPr>
      <w:r>
        <w:t xml:space="preserve">Settlement surfaces compare internal ledger/payment/payout evidence with the</w:t>
      </w:r>
      <w:r>
        <w:t xml:space="preserve"> </w:t>
      </w:r>
      <w:r>
        <w:t xml:space="preserve">available gateway state. Unmatched items remain unresolved and require</w:t>
      </w:r>
      <w:r>
        <w:t xml:space="preserve"> </w:t>
      </w:r>
      <w:r>
        <w:t xml:space="preserve">reconciliation rather than forced completion.</w:t>
      </w:r>
    </w:p>
    <w:bookmarkEnd w:id="120"/>
    <w:bookmarkStart w:id="121" w:name="X843da405bf227180cbedc175aca0d45beb9a952"/>
    <w:p>
      <w:pPr>
        <w:pStyle w:val="Heading3"/>
      </w:pPr>
      <w:r>
        <w:t xml:space="preserve">Chapter 103 — Finance Separation of Duties</w:t>
      </w:r>
    </w:p>
    <w:p>
      <w:pPr>
        <w:pStyle w:val="FirstParagraph"/>
      </w:pPr>
      <w:r>
        <w:t xml:space="preserve">Finance authority remains separate from Admin, Compliance, SOC, provider, and</w:t>
      </w:r>
      <w:r>
        <w:t xml:space="preserve"> </w:t>
      </w:r>
      <w:r>
        <w:t xml:space="preserve">renter roles. A dispute or SOC incident may provide evidence but cannot alone</w:t>
      </w:r>
      <w:r>
        <w:t xml:space="preserve"> </w:t>
      </w:r>
      <w:r>
        <w:t xml:space="preserve">approve a refund, payout, deposit, or settlement action.</w:t>
      </w:r>
    </w:p>
    <w:bookmarkEnd w:id="121"/>
    <w:bookmarkStart w:id="122" w:name="Xfb5d5a03a86d736187bd9ea618a25b1ccf11748"/>
    <w:p>
      <w:pPr>
        <w:pStyle w:val="Heading3"/>
      </w:pPr>
      <w:r>
        <w:t xml:space="preserve">Chapter 104 — Finance Failure and Escalation</w:t>
      </w:r>
    </w:p>
    <w:p>
      <w:pPr>
        <w:pStyle w:val="FirstParagraph"/>
      </w:pPr>
      <w:r>
        <w:t xml:space="preserve">Stop on signature failure, amount/currency mismatch, duplicate event,</w:t>
      </w:r>
      <w:r>
        <w:t xml:space="preserve"> </w:t>
      </w:r>
      <w:r>
        <w:t xml:space="preserve">unreconciled state, permission failure, or NO-GO conflict. Preserve sanitized</w:t>
      </w:r>
      <w:r>
        <w:t xml:space="preserve"> </w:t>
      </w:r>
      <w:r>
        <w:t xml:space="preserve">evidence and escalate; never manufacture a live compensating transaction.</w:t>
      </w:r>
    </w:p>
    <w:bookmarkEnd w:id="122"/>
    <w:bookmarkEnd w:id="123"/>
    <w:bookmarkStart w:id="134" w:name="X20c525d6febdf0b5d41e1d4c04ab6ec19323c67"/>
    <w:p>
      <w:pPr>
        <w:pStyle w:val="Heading2"/>
      </w:pPr>
      <w:r>
        <w:t xml:space="preserve">Part XI — Administration, Compliance, Support, and Release</w:t>
      </w:r>
    </w:p>
    <w:bookmarkStart w:id="124" w:name="chapter-105--admin-dashboard-scope"/>
    <w:p>
      <w:pPr>
        <w:pStyle w:val="Heading3"/>
      </w:pPr>
      <w:r>
        <w:t xml:space="preserve">Chapter 105 — Admin Dashboard Scope</w:t>
      </w:r>
    </w:p>
    <w:p>
      <w:pPr>
        <w:pStyle w:val="FirstParagraph"/>
      </w:pPr>
      <w:r>
        <w:t xml:space="preserve">The Admin dashboard aggregates authorized platform operations. Each child</w:t>
      </w:r>
      <w:r>
        <w:t xml:space="preserve"> </w:t>
      </w:r>
      <w:r>
        <w:t xml:space="preserve">route retains its own permission and service rules; broad dashboard access is</w:t>
      </w:r>
      <w:r>
        <w:t xml:space="preserve"> </w:t>
      </w:r>
      <w:r>
        <w:t xml:space="preserve">not universal mutation authority.</w:t>
      </w:r>
    </w:p>
    <w:bookmarkEnd w:id="124"/>
    <w:bookmarkStart w:id="125" w:name="chapter-106--category-administration"/>
    <w:p>
      <w:pPr>
        <w:pStyle w:val="Heading3"/>
      </w:pPr>
      <w:r>
        <w:t xml:space="preserve">Chapter 106 — Category Administration</w:t>
      </w:r>
    </w:p>
    <w:p>
      <w:pPr>
        <w:pStyle w:val="FirstParagraph"/>
      </w:pPr>
      <w:r>
        <w:t xml:space="preserve">Authorized category changes affect provider requirements and discovery.</w:t>
      </w:r>
      <w:r>
        <w:t xml:space="preserve"> </w:t>
      </w:r>
      <w:r>
        <w:t xml:space="preserve">Operators validate naming, policy, dependencies, and impact on existing</w:t>
      </w:r>
      <w:r>
        <w:t xml:space="preserve"> </w:t>
      </w:r>
      <w:r>
        <w:t xml:space="preserve">listings, and retain audit evidence for mutations.</w:t>
      </w:r>
    </w:p>
    <w:bookmarkEnd w:id="125"/>
    <w:bookmarkStart w:id="126" w:name="chapter-107--booking-administration"/>
    <w:p>
      <w:pPr>
        <w:pStyle w:val="Heading3"/>
      </w:pPr>
      <w:r>
        <w:t xml:space="preserve">Chapter 107 — Booking Administration</w:t>
      </w:r>
    </w:p>
    <w:p>
      <w:pPr>
        <w:pStyle w:val="FirstParagraph"/>
      </w:pPr>
      <w:r>
        <w:t xml:space="preserve">Admin booking views support oversight and exception handling within current</w:t>
      </w:r>
      <w:r>
        <w:t xml:space="preserve"> </w:t>
      </w:r>
      <w:r>
        <w:t xml:space="preserve">permissions. Operators must preserve participant rights, state history, and</w:t>
      </w:r>
      <w:r>
        <w:t xml:space="preserve"> </w:t>
      </w:r>
      <w:r>
        <w:t xml:space="preserve">finance/compliance boundaries rather than directly forcing incompatible state.</w:t>
      </w:r>
    </w:p>
    <w:bookmarkEnd w:id="126"/>
    <w:bookmarkStart w:id="127" w:name="chapter-108--compliance-listing-review"/>
    <w:p>
      <w:pPr>
        <w:pStyle w:val="Heading3"/>
      </w:pPr>
      <w:r>
        <w:t xml:space="preserve">Chapter 108 — Compliance Listing Review</w:t>
      </w:r>
    </w:p>
    <w:p>
      <w:pPr>
        <w:pStyle w:val="FirstParagraph"/>
      </w:pPr>
      <w:r>
        <w:t xml:space="preserve">Compliance listing routes review listing evidence against category and policy</w:t>
      </w:r>
      <w:r>
        <w:t xml:space="preserve"> </w:t>
      </w:r>
      <w:r>
        <w:t xml:space="preserve">requirements. Approval/publishing uses exact authorized transitions and</w:t>
      </w:r>
      <w:r>
        <w:t xml:space="preserve"> </w:t>
      </w:r>
      <w:r>
        <w:t xml:space="preserve">sanitized reasons; provider ownership remains intact.</w:t>
      </w:r>
    </w:p>
    <w:bookmarkEnd w:id="127"/>
    <w:bookmarkStart w:id="128" w:name="chapter-109--kyc-administration"/>
    <w:p>
      <w:pPr>
        <w:pStyle w:val="Heading3"/>
      </w:pPr>
      <w:r>
        <w:t xml:space="preserve">Chapter 109 — KYC Administration</w:t>
      </w:r>
    </w:p>
    <w:p>
      <w:pPr>
        <w:pStyle w:val="FirstParagraph"/>
      </w:pPr>
      <w:r>
        <w:t xml:space="preserve">Verification review restricts document access to authorized roles and minimum</w:t>
      </w:r>
      <w:r>
        <w:t xml:space="preserve"> </w:t>
      </w:r>
      <w:r>
        <w:t xml:space="preserve">necessary evidence. Decisions are auditable and do not expose raw documents in</w:t>
      </w:r>
      <w:r>
        <w:t xml:space="preserve"> </w:t>
      </w:r>
      <w:r>
        <w:t xml:space="preserve">general admin or support logs.</w:t>
      </w:r>
    </w:p>
    <w:bookmarkEnd w:id="128"/>
    <w:bookmarkStart w:id="129" w:name="chapter-110--support-ticket-operations"/>
    <w:p>
      <w:pPr>
        <w:pStyle w:val="Heading3"/>
      </w:pPr>
      <w:r>
        <w:t xml:space="preserve">Chapter 110 — Support Ticket Operations</w:t>
      </w:r>
    </w:p>
    <w:p>
      <w:pPr>
        <w:pStyle w:val="FirstParagraph"/>
      </w:pPr>
      <w:r>
        <w:t xml:space="preserve">SupportTicket routes organize user problems with safe identifiers, status, and</w:t>
      </w:r>
      <w:r>
        <w:t xml:space="preserve"> </w:t>
      </w:r>
      <w:r>
        <w:t xml:space="preserve">assigned follow-up. Support does not grant direct database, finance, compliance,</w:t>
      </w:r>
      <w:r>
        <w:t xml:space="preserve"> </w:t>
      </w:r>
      <w:r>
        <w:t xml:space="preserve">or SOC override authority.</w:t>
      </w:r>
    </w:p>
    <w:bookmarkEnd w:id="129"/>
    <w:bookmarkStart w:id="130" w:name="X9bd467ce2753d5652ce5270ce8ff3a56db875fd"/>
    <w:p>
      <w:pPr>
        <w:pStyle w:val="Heading3"/>
      </w:pPr>
      <w:r>
        <w:t xml:space="preserve">Chapter 111 — Feedback and Issue Management</w:t>
      </w:r>
    </w:p>
    <w:p>
      <w:pPr>
        <w:pStyle w:val="FirstParagraph"/>
      </w:pPr>
      <w:r>
        <w:t xml:space="preserve">BetaFeedback and IssueTicket records capture product evidence separate from</w:t>
      </w:r>
      <w:r>
        <w:t xml:space="preserve"> </w:t>
      </w:r>
      <w:r>
        <w:t xml:space="preserve">production incident/security cases. Classify severity and ownership, avoid</w:t>
      </w:r>
      <w:r>
        <w:t xml:space="preserve"> </w:t>
      </w:r>
      <w:r>
        <w:t xml:space="preserve">secret/personal content, and link a controlled change when required.</w:t>
      </w:r>
    </w:p>
    <w:bookmarkEnd w:id="130"/>
    <w:bookmarkStart w:id="131" w:name="chapter-112--uat-operations"/>
    <w:p>
      <w:pPr>
        <w:pStyle w:val="Heading3"/>
      </w:pPr>
      <w:r>
        <w:t xml:space="preserve">Chapter 112 — UAT Operations</w:t>
      </w:r>
    </w:p>
    <w:p>
      <w:pPr>
        <w:pStyle w:val="FirstParagraph"/>
      </w:pPr>
      <w:r>
        <w:t xml:space="preserve">UATFlow routes record controlled user-acceptance evidence. A UAT pass applies</w:t>
      </w:r>
      <w:r>
        <w:t xml:space="preserve"> </w:t>
      </w:r>
      <w:r>
        <w:t xml:space="preserve">to its exact build, environment, and scope; it does not prove production</w:t>
      </w:r>
      <w:r>
        <w:t xml:space="preserve"> </w:t>
      </w:r>
      <w:r>
        <w:t xml:space="preserve">deployment, external services, or later dirty edits.</w:t>
      </w:r>
    </w:p>
    <w:bookmarkEnd w:id="131"/>
    <w:bookmarkStart w:id="132" w:name="chapter-113--beta-and-release-readiness"/>
    <w:p>
      <w:pPr>
        <w:pStyle w:val="Heading3"/>
      </w:pPr>
      <w:r>
        <w:t xml:space="preserve">Chapter 113 — Beta and Release Readiness</w:t>
      </w:r>
    </w:p>
    <w:p>
      <w:pPr>
        <w:pStyle w:val="FirstParagraph"/>
      </w:pPr>
      <w:r>
        <w:t xml:space="preserve">Invitations, beta controls, readiness dashboards, and release versions support</w:t>
      </w:r>
      <w:r>
        <w:t xml:space="preserve"> </w:t>
      </w:r>
      <w:r>
        <w:t xml:space="preserve">staged governance.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is scoped prerequisite evidence, not deployment or</w:t>
      </w:r>
      <w:r>
        <w:t xml:space="preserve"> </w:t>
      </w:r>
      <w:r>
        <w:t xml:space="preserve">general availability authority.</w:t>
      </w:r>
    </w:p>
    <w:bookmarkEnd w:id="132"/>
    <w:bookmarkStart w:id="133" w:name="chapter-114--admin-reports-limitation"/>
    <w:p>
      <w:pPr>
        <w:pStyle w:val="Heading3"/>
      </w:pPr>
      <w:r>
        <w:t xml:space="preserve">Chapter 114 — Admin Reports Limitation</w:t>
      </w:r>
    </w:p>
    <w:p>
      <w:pPr>
        <w:pStyle w:val="FirstParagraph"/>
      </w:pPr>
      <w:r>
        <w:rPr>
          <w:rStyle w:val="VerbatimChar"/>
        </w:rPr>
        <w:t xml:space="preserve">/dashboard/admin/reports</w:t>
      </w:r>
      <w:r>
        <w:t xml:space="preserve"> </w:t>
      </w:r>
      <w:r>
        <w:t xml:space="preserve">contains implemented aggregates but placeholder CSV</w:t>
      </w:r>
      <w:r>
        <w:t xml:space="preserve"> </w:t>
      </w:r>
      <w:r>
        <w:t xml:space="preserve">export and some AI prompt metrics. The super-admin report route delegates and</w:t>
      </w:r>
      <w:r>
        <w:t xml:space="preserve"> </w:t>
      </w:r>
      <w:r>
        <w:t xml:space="preserve">inherits the limitation. Status:</w:t>
      </w:r>
      <w:r>
        <w:t xml:space="preserve"> </w:t>
      </w:r>
      <w:r>
        <w:rPr>
          <w:rStyle w:val="VerbatimChar"/>
        </w:rPr>
        <w:t xml:space="preserve">IMPLEMENTED_METRICS_WITH_PLACEHOLDER_EXPORTS</w:t>
      </w:r>
      <w:r>
        <w:t xml:space="preserve">.</w:t>
      </w:r>
    </w:p>
    <w:bookmarkEnd w:id="133"/>
    <w:bookmarkEnd w:id="134"/>
    <w:bookmarkStart w:id="145" w:name="Xe77ccca4ceb41f273f4f79f9e8e0e870d7ea4ac"/>
    <w:p>
      <w:pPr>
        <w:pStyle w:val="Heading2"/>
      </w:pPr>
      <w:r>
        <w:t xml:space="preserve">Part XII — Privacy, Audit, Support, and Data Rights</w:t>
      </w:r>
    </w:p>
    <w:bookmarkStart w:id="135" w:name="chapter-115--privacy-principles"/>
    <w:p>
      <w:pPr>
        <w:pStyle w:val="Heading3"/>
      </w:pPr>
      <w:r>
        <w:t xml:space="preserve">Chapter 115 — Privacy Principles</w:t>
      </w:r>
    </w:p>
    <w:p>
      <w:pPr>
        <w:pStyle w:val="FirstParagraph"/>
      </w:pPr>
      <w:r>
        <w:t xml:space="preserve">RENTipid documentation applies data minimization, purpose limitation,</w:t>
      </w:r>
      <w:r>
        <w:t xml:space="preserve"> </w:t>
      </w:r>
      <w:r>
        <w:t xml:space="preserve">role/subject scope, retention awareness, safe evidence, and sanitization.</w:t>
      </w:r>
      <w:r>
        <w:t xml:space="preserve"> </w:t>
      </w:r>
      <w:r>
        <w:t xml:space="preserve">Implementation evidence includes privacy services, audit stores, crypto/profile</w:t>
      </w:r>
      <w:r>
        <w:t xml:space="preserve"> </w:t>
      </w:r>
      <w:r>
        <w:t xml:space="preserve">controls, and accepted Level 5 records.</w:t>
      </w:r>
    </w:p>
    <w:bookmarkEnd w:id="135"/>
    <w:bookmarkStart w:id="136" w:name="chapter-116--consent-workflow"/>
    <w:p>
      <w:pPr>
        <w:pStyle w:val="Heading3"/>
      </w:pPr>
      <w:r>
        <w:t xml:space="preserve">Chapter 116 — Consent Workflow</w:t>
      </w:r>
    </w:p>
    <w:p>
      <w:pPr>
        <w:pStyle w:val="FirstParagraph"/>
      </w:pPr>
      <w:r>
        <w:rPr>
          <w:rStyle w:val="VerbatimChar"/>
        </w:rPr>
        <w:t xml:space="preserve">/api/privacy/consent</w:t>
      </w:r>
      <w:r>
        <w:t xml:space="preserve"> </w:t>
      </w:r>
      <w:r>
        <w:t xml:space="preserve">records an authenticated subject's permitted consent</w:t>
      </w:r>
      <w:r>
        <w:t xml:space="preserve"> </w:t>
      </w:r>
      <w:r>
        <w:t xml:space="preserve">state. The service validates the subject and request; consent records do not</w:t>
      </w:r>
      <w:r>
        <w:t xml:space="preserve"> </w:t>
      </w:r>
      <w:r>
        <w:t xml:space="preserve">grant access to unrelated data or override legal retention.</w:t>
      </w:r>
    </w:p>
    <w:bookmarkEnd w:id="136"/>
    <w:bookmarkStart w:id="137" w:name="chapter-117--correction-workflow"/>
    <w:p>
      <w:pPr>
        <w:pStyle w:val="Heading3"/>
      </w:pPr>
      <w:r>
        <w:t xml:space="preserve">Chapter 117 — Correction Workflow</w:t>
      </w:r>
    </w:p>
    <w:p>
      <w:pPr>
        <w:pStyle w:val="FirstParagraph"/>
      </w:pPr>
      <w:r>
        <w:rPr>
          <w:rStyle w:val="VerbatimChar"/>
        </w:rPr>
        <w:t xml:space="preserve">/api/privacy/correction</w:t>
      </w:r>
      <w:r>
        <w:t xml:space="preserve"> </w:t>
      </w:r>
      <w:r>
        <w:t xml:space="preserve">provides a controlled correction request path where</w:t>
      </w:r>
      <w:r>
        <w:t xml:space="preserve"> </w:t>
      </w:r>
      <w:r>
        <w:t xml:space="preserve">direct profile editing is limited or inappropriate. Identity, field scope,</w:t>
      </w:r>
      <w:r>
        <w:t xml:space="preserve"> </w:t>
      </w:r>
      <w:r>
        <w:t xml:space="preserve">review, audit, and safe response rules apply.</w:t>
      </w:r>
    </w:p>
    <w:bookmarkEnd w:id="137"/>
    <w:bookmarkStart w:id="138" w:name="chapter-118--data-export-workflow"/>
    <w:p>
      <w:pPr>
        <w:pStyle w:val="Heading3"/>
      </w:pPr>
      <w:r>
        <w:t xml:space="preserve">Chapter 118 — Data Export Workflow</w:t>
      </w:r>
    </w:p>
    <w:p>
      <w:pPr>
        <w:pStyle w:val="FirstParagraph"/>
      </w:pPr>
      <w:r>
        <w:rPr>
          <w:rStyle w:val="VerbatimChar"/>
        </w:rPr>
        <w:t xml:space="preserve">/api/privacy/export</w:t>
      </w:r>
      <w:r>
        <w:t xml:space="preserve"> </w:t>
      </w:r>
      <w:r>
        <w:t xml:space="preserve">prepares authorized subject data under identity,</w:t>
      </w:r>
      <w:r>
        <w:t xml:space="preserve"> </w:t>
      </w:r>
      <w:r>
        <w:t xml:space="preserve">scope, minimization, and secure-delivery controls. Export content must exclude</w:t>
      </w:r>
      <w:r>
        <w:t xml:space="preserve"> </w:t>
      </w:r>
      <w:r>
        <w:t xml:space="preserve">other subjects, secrets, internal credentials, and unauthorized security data.</w:t>
      </w:r>
    </w:p>
    <w:bookmarkEnd w:id="138"/>
    <w:bookmarkStart w:id="139" w:name="chapter-119--deletion-workflow"/>
    <w:p>
      <w:pPr>
        <w:pStyle w:val="Heading3"/>
      </w:pPr>
      <w:r>
        <w:t xml:space="preserve">Chapter 119 — Deletion Workflow</w:t>
      </w:r>
    </w:p>
    <w:p>
      <w:pPr>
        <w:pStyle w:val="FirstParagraph"/>
      </w:pPr>
      <w:r>
        <w:t xml:space="preserve">Deletion requests use controlled state, retention checks, and audit evidence.</w:t>
      </w:r>
      <w:r>
        <w:t xml:space="preserve"> </w:t>
      </w:r>
      <w:r>
        <w:t xml:space="preserve">Required transaction, security, legal, or dispute records may have separate</w:t>
      </w:r>
      <w:r>
        <w:t xml:space="preserve"> </w:t>
      </w:r>
      <w:r>
        <w:t xml:space="preserve">retention treatment; deletion must not corrupt referential/business integrity.</w:t>
      </w:r>
    </w:p>
    <w:bookmarkEnd w:id="139"/>
    <w:bookmarkStart w:id="140" w:name="chapter-120--auditlog"/>
    <w:p>
      <w:pPr>
        <w:pStyle w:val="Heading3"/>
      </w:pPr>
      <w:r>
        <w:t xml:space="preserve">Chapter 120 — AuditLog</w:t>
      </w:r>
    </w:p>
    <w:p>
      <w:pPr>
        <w:pStyle w:val="FirstParagraph"/>
      </w:pPr>
      <w:r>
        <w:t xml:space="preserve">AuditLog records authorized application/operator actions using safe actor,</w:t>
      </w:r>
      <w:r>
        <w:t xml:space="preserve"> </w:t>
      </w:r>
      <w:r>
        <w:t xml:space="preserve">subject, operation, result, and reason metadata. It must not become a store for</w:t>
      </w:r>
      <w:r>
        <w:t xml:space="preserve"> </w:t>
      </w:r>
      <w:r>
        <w:t xml:space="preserve">credentials, raw documents, or unbounded payloads.</w:t>
      </w:r>
    </w:p>
    <w:bookmarkEnd w:id="140"/>
    <w:bookmarkStart w:id="141" w:name="X8046ba2b497280dbef41f024a8d9f8ed272a37d"/>
    <w:p>
      <w:pPr>
        <w:pStyle w:val="Heading3"/>
      </w:pPr>
      <w:r>
        <w:t xml:space="preserve">Chapter 121 — Authentication and API Security Logs</w:t>
      </w:r>
    </w:p>
    <w:p>
      <w:pPr>
        <w:pStyle w:val="FirstParagraph"/>
      </w:pPr>
      <w:r>
        <w:t xml:space="preserve">AuthenticationSecurityLog and ApiSecurityLog preserve bounded identity/API</w:t>
      </w:r>
      <w:r>
        <w:t xml:space="preserve"> </w:t>
      </w:r>
      <w:r>
        <w:t xml:space="preserve">security evidence. Access is privileged and outputs remain sanitized so logs</w:t>
      </w:r>
      <w:r>
        <w:t xml:space="preserve"> </w:t>
      </w:r>
      <w:r>
        <w:t xml:space="preserve">do not amplify an incident or privacy exposure.</w:t>
      </w:r>
    </w:p>
    <w:bookmarkEnd w:id="141"/>
    <w:bookmarkStart w:id="142" w:name="chapter-122--ai-and-system-error-logs"/>
    <w:p>
      <w:pPr>
        <w:pStyle w:val="Heading3"/>
      </w:pPr>
      <w:r>
        <w:t xml:space="preserve">Chapter 122 — AI and System Error Logs</w:t>
      </w:r>
    </w:p>
    <w:p>
      <w:pPr>
        <w:pStyle w:val="FirstParagraph"/>
      </w:pPr>
      <w:r>
        <w:t xml:space="preserve">AIBotLog records AI policy/action evidence, while SystemErrorLog records</w:t>
      </w:r>
      <w:r>
        <w:t xml:space="preserve"> </w:t>
      </w:r>
      <w:r>
        <w:t xml:space="preserve">failures. Prompts, stack details, and provider errors require sanitization;</w:t>
      </w:r>
      <w:r>
        <w:t xml:space="preserve"> </w:t>
      </w:r>
      <w:r>
        <w:t xml:space="preserve">secrets and prohibited personal data are excluded.</w:t>
      </w:r>
    </w:p>
    <w:bookmarkEnd w:id="142"/>
    <w:bookmarkStart w:id="143" w:name="chapter-123--support-privacy-handling"/>
    <w:p>
      <w:pPr>
        <w:pStyle w:val="Heading3"/>
      </w:pPr>
      <w:r>
        <w:t xml:space="preserve">Chapter 123 — Support Privacy Handling</w:t>
      </w:r>
    </w:p>
    <w:p>
      <w:pPr>
        <w:pStyle w:val="FirstParagraph"/>
      </w:pPr>
      <w:r>
        <w:t xml:space="preserve">Support staff request the minimum diagnostic facts and use stable record IDs</w:t>
      </w:r>
      <w:r>
        <w:t xml:space="preserve"> </w:t>
      </w:r>
      <w:r>
        <w:t xml:space="preserve">rather than copying full KYC, payment, or security artifacts. Suspected</w:t>
      </w:r>
      <w:r>
        <w:t xml:space="preserve"> </w:t>
      </w:r>
      <w:r>
        <w:t xml:space="preserve">security/privacy events are escalated to the correct controlled workflow.</w:t>
      </w:r>
    </w:p>
    <w:bookmarkEnd w:id="143"/>
    <w:bookmarkStart w:id="144" w:name="Xdf63c2cfbb663e287f52ae11d73cf5a184a5411"/>
    <w:p>
      <w:pPr>
        <w:pStyle w:val="Heading3"/>
      </w:pPr>
      <w:r>
        <w:t xml:space="preserve">Chapter 124 — Privacy Failure and Recovery</w:t>
      </w:r>
    </w:p>
    <w:p>
      <w:pPr>
        <w:pStyle w:val="FirstParagraph"/>
      </w:pPr>
      <w:r>
        <w:t xml:space="preserve">On an unauthorized, incomplete, or failed privacy action, preserve prior valid</w:t>
      </w:r>
      <w:r>
        <w:t xml:space="preserve"> </w:t>
      </w:r>
      <w:r>
        <w:t xml:space="preserve">state, record a safe outcome, prevent cross-subject disclosure, and escalate</w:t>
      </w:r>
      <w:r>
        <w:t xml:space="preserve"> </w:t>
      </w:r>
      <w:r>
        <w:t xml:space="preserve">through privacy/security review. Do not bypass retention or authorization for</w:t>
      </w:r>
      <w:r>
        <w:t xml:space="preserve"> </w:t>
      </w:r>
      <w:r>
        <w:t xml:space="preserve">speed.</w:t>
      </w:r>
    </w:p>
    <w:bookmarkEnd w:id="144"/>
    <w:bookmarkEnd w:id="145"/>
    <w:bookmarkStart w:id="156" w:name="X07d407c5fa903da32d7982b56cdda8fc20b6b7b"/>
    <w:p>
      <w:pPr>
        <w:pStyle w:val="Heading2"/>
      </w:pPr>
      <w:r>
        <w:t xml:space="preserve">Part XIII — Marketing, Social, Mobile, and Public Communication</w:t>
      </w:r>
    </w:p>
    <w:bookmarkStart w:id="146" w:name="chapter-125--marketing-domain"/>
    <w:p>
      <w:pPr>
        <w:pStyle w:val="Heading3"/>
      </w:pPr>
      <w:r>
        <w:t xml:space="preserve">Chapter 125 — Marketing Domain</w:t>
      </w:r>
    </w:p>
    <w:p>
      <w:pPr>
        <w:pStyle w:val="FirstParagraph"/>
      </w:pPr>
      <w:r>
        <w:t xml:space="preserve">MarketingCampaign, MarketingPost, CampaignApproval, PromotionAsset, UTMLink,</w:t>
      </w:r>
      <w:r>
        <w:t xml:space="preserve"> </w:t>
      </w:r>
      <w:r>
        <w:t xml:space="preserve">CampaignAnalytics, ProviderPromotionOptIn, and SocialPostQueue represent the</w:t>
      </w:r>
      <w:r>
        <w:t xml:space="preserve"> </w:t>
      </w:r>
      <w:r>
        <w:t xml:space="preserve">current marketing/social domain. Model presence describes data capability, not</w:t>
      </w:r>
      <w:r>
        <w:t xml:space="preserve"> </w:t>
      </w:r>
      <w:r>
        <w:t xml:space="preserve">external account activation or publication.</w:t>
      </w:r>
    </w:p>
    <w:bookmarkEnd w:id="146"/>
    <w:bookmarkStart w:id="147" w:name="chapter-126--campaign-creation"/>
    <w:p>
      <w:pPr>
        <w:pStyle w:val="Heading3"/>
      </w:pPr>
      <w:r>
        <w:t xml:space="preserve">Chapter 126 — Campaign Creation</w:t>
      </w:r>
    </w:p>
    <w:p>
      <w:pPr>
        <w:pStyle w:val="FirstParagraph"/>
      </w:pPr>
      <w:r>
        <w:t xml:space="preserve">Authorized admin/provider workflows create campaign intent, content, audience,</w:t>
      </w:r>
      <w:r>
        <w:t xml:space="preserve"> </w:t>
      </w:r>
      <w:r>
        <w:t xml:space="preserve">timing, and related assets within their scope. Inputs require validation and</w:t>
      </w:r>
      <w:r>
        <w:t xml:space="preserve"> </w:t>
      </w:r>
      <w:r>
        <w:t xml:space="preserve">must not include provider credentials or unapproved personal data.</w:t>
      </w:r>
    </w:p>
    <w:bookmarkEnd w:id="147"/>
    <w:bookmarkStart w:id="148" w:name="chapter-127--campaign-approval"/>
    <w:p>
      <w:pPr>
        <w:pStyle w:val="Heading3"/>
      </w:pPr>
      <w:r>
        <w:t xml:space="preserve">Chapter 127 — Campaign Approval</w:t>
      </w:r>
    </w:p>
    <w:p>
      <w:pPr>
        <w:pStyle w:val="FirstParagraph"/>
      </w:pPr>
      <w:r>
        <w:t xml:space="preserve">CampaignApproval separates drafting from review/publication authority where</w:t>
      </w:r>
      <w:r>
        <w:t xml:space="preserve"> </w:t>
      </w:r>
      <w:r>
        <w:t xml:space="preserve">implemented. Review considers content, ownership, platform policy, and external</w:t>
      </w:r>
      <w:r>
        <w:t xml:space="preserve"> </w:t>
      </w:r>
      <w:r>
        <w:t xml:space="preserve">provider readiness; approval in RENTipid is not proof of external publication.</w:t>
      </w:r>
    </w:p>
    <w:bookmarkEnd w:id="148"/>
    <w:bookmarkStart w:id="149" w:name="chapter-128--social-accounts"/>
    <w:p>
      <w:pPr>
        <w:pStyle w:val="Heading3"/>
      </w:pPr>
      <w:r>
        <w:t xml:space="preserve">Chapter 128 — Social Accounts</w:t>
      </w:r>
    </w:p>
    <w:p>
      <w:pPr>
        <w:pStyle w:val="FirstParagraph"/>
      </w:pPr>
      <w:r>
        <w:t xml:space="preserve">SocialAccount records represent connection/configuration state without</w:t>
      </w:r>
      <w:r>
        <w:t xml:space="preserve"> </w:t>
      </w:r>
      <w:r>
        <w:t xml:space="preserve">documenting secret values. Users should never expose provider tokens in pages,</w:t>
      </w:r>
      <w:r>
        <w:t xml:space="preserve"> </w:t>
      </w:r>
      <w:r>
        <w:t xml:space="preserve">logs, support records, or documentation. External validity remains unverified.</w:t>
      </w:r>
    </w:p>
    <w:bookmarkEnd w:id="149"/>
    <w:bookmarkStart w:id="150" w:name="chapter-129--social-post-queue"/>
    <w:p>
      <w:pPr>
        <w:pStyle w:val="Heading3"/>
      </w:pPr>
      <w:r>
        <w:t xml:space="preserve">Chapter 129 — Social Post Queue</w:t>
      </w:r>
    </w:p>
    <w:p>
      <w:pPr>
        <w:pStyle w:val="FirstParagraph"/>
      </w:pPr>
      <w:r>
        <w:t xml:space="preserve">SocialPostQueue supports controlled scheduling/state for intended publication.</w:t>
      </w:r>
      <w:r>
        <w:t xml:space="preserve"> </w:t>
      </w:r>
      <w:r>
        <w:t xml:space="preserve">Retries must avoid duplicate posts and preserve provider error evidence in</w:t>
      </w:r>
      <w:r>
        <w:t xml:space="preserve"> </w:t>
      </w:r>
      <w:r>
        <w:t xml:space="preserve">sanitized form. Queue state is not external-post proof.</w:t>
      </w:r>
    </w:p>
    <w:bookmarkEnd w:id="150"/>
    <w:bookmarkStart w:id="151" w:name="X6d59794647b3c13cf266e5aa416b41a1fc88da3"/>
    <w:p>
      <w:pPr>
        <w:pStyle w:val="Heading3"/>
      </w:pPr>
      <w:r>
        <w:t xml:space="preserve">Chapter 130 — Promotion Assets and UTM Links</w:t>
      </w:r>
    </w:p>
    <w:p>
      <w:pPr>
        <w:pStyle w:val="FirstParagraph"/>
      </w:pPr>
      <w:r>
        <w:t xml:space="preserve">PromotionAsset and UTMLink records support attributable campaign content.</w:t>
      </w:r>
      <w:r>
        <w:t xml:space="preserve"> </w:t>
      </w:r>
      <w:r>
        <w:t xml:space="preserve">Links and public assets require safe construction, ownership, and policy review;</w:t>
      </w:r>
      <w:r>
        <w:t xml:space="preserve"> </w:t>
      </w:r>
      <w:r>
        <w:t xml:space="preserve">analytics availability depends on implemented/provider data.</w:t>
      </w:r>
    </w:p>
    <w:bookmarkEnd w:id="151"/>
    <w:bookmarkStart w:id="152" w:name="X0d448519b3751dda3df9105e27db9b2d528f30a"/>
    <w:p>
      <w:pPr>
        <w:pStyle w:val="Heading3"/>
      </w:pPr>
      <w:r>
        <w:t xml:space="preserve">Chapter 131 — Campaign Analytics Limitation</w:t>
      </w:r>
    </w:p>
    <w:p>
      <w:pPr>
        <w:pStyle w:val="FirstParagraph"/>
      </w:pPr>
      <w:r>
        <w:t xml:space="preserve">Analytics models/surfaces may hold supported data, but provider-facing campaign</w:t>
      </w:r>
      <w:r>
        <w:t xml:space="preserve"> </w:t>
      </w:r>
      <w:r>
        <w:t xml:space="preserve">analytics is marked coming soon. Documentation must not describe a complete</w:t>
      </w:r>
      <w:r>
        <w:t xml:space="preserve"> </w:t>
      </w:r>
      <w:r>
        <w:t xml:space="preserve">provider analytics product without new implementation/evidence.</w:t>
      </w:r>
    </w:p>
    <w:bookmarkEnd w:id="152"/>
    <w:bookmarkStart w:id="153" w:name="chapter-132--launch-announcements"/>
    <w:p>
      <w:pPr>
        <w:pStyle w:val="Heading3"/>
      </w:pPr>
      <w:r>
        <w:t xml:space="preserve">Chapter 132 — Launch Announcements</w:t>
      </w:r>
    </w:p>
    <w:p>
      <w:pPr>
        <w:pStyle w:val="FirstParagraph"/>
      </w:pPr>
      <w:r>
        <w:t xml:space="preserve">Launch-announcement and readiness routes support controlled communication</w:t>
      </w:r>
      <w:r>
        <w:t xml:space="preserve"> </w:t>
      </w:r>
      <w:r>
        <w:t xml:space="preserve">planning. A drafted announcement does not authorize production release,</w:t>
      </w:r>
      <w:r>
        <w:t xml:space="preserve"> </w:t>
      </w:r>
      <w:r>
        <w:t xml:space="preserve">payment activation, provider publication, or DNS change.</w:t>
      </w:r>
    </w:p>
    <w:bookmarkEnd w:id="153"/>
    <w:bookmarkStart w:id="154" w:name="chapter-133--pwa-architecture"/>
    <w:p>
      <w:pPr>
        <w:pStyle w:val="Heading3"/>
      </w:pPr>
      <w:r>
        <w:t xml:space="preserve">Chapter 133 — PWA Architecture</w:t>
      </w:r>
    </w:p>
    <w:p>
      <w:pPr>
        <w:pStyle w:val="FirstParagraph"/>
      </w:pPr>
      <w:r>
        <w:t xml:space="preserve">Manifest and service-worker/PWA tooling support installable web behavior where</w:t>
      </w:r>
      <w:r>
        <w:t xml:space="preserve"> </w:t>
      </w:r>
      <w:r>
        <w:t xml:space="preserve">the current runtime/browser permits. Packaging does not prove offline coverage,</w:t>
      </w:r>
      <w:r>
        <w:t xml:space="preserve"> </w:t>
      </w:r>
      <w:r>
        <w:t xml:space="preserve">store distribution, or production deployment. Evidence: PWA configuration and</w:t>
      </w:r>
      <w:r>
        <w:t xml:space="preserve"> </w:t>
      </w:r>
      <w:r>
        <w:t xml:space="preserve">install route.</w:t>
      </w:r>
    </w:p>
    <w:bookmarkEnd w:id="154"/>
    <w:bookmarkStart w:id="155" w:name="X48d34ef6a8ca35180e0f36c4ad4e25a91d658a3"/>
    <w:p>
      <w:pPr>
        <w:pStyle w:val="Heading3"/>
      </w:pPr>
      <w:r>
        <w:t xml:space="preserve">Chapter 134 — Capacitor and Mobile Readiness</w:t>
      </w:r>
    </w:p>
    <w:p>
      <w:pPr>
        <w:pStyle w:val="FirstParagraph"/>
      </w:pPr>
      <w:r>
        <w:t xml:space="preserve">Capacitor configuration and mobile-readiness/analytics routes support packaging</w:t>
      </w:r>
      <w:r>
        <w:t xml:space="preserve"> </w:t>
      </w:r>
      <w:r>
        <w:t xml:space="preserve">and readiness evidence. App-store publication and current mobile-provider state</w:t>
      </w:r>
      <w:r>
        <w:t xml:space="preserve"> </w:t>
      </w:r>
      <w:r>
        <w:t xml:space="preserve">are external and not proven. Evidence: mobile/PWA registry entries and GAP-012.</w:t>
      </w:r>
    </w:p>
    <w:bookmarkEnd w:id="155"/>
    <w:bookmarkEnd w:id="156"/>
    <w:bookmarkStart w:id="167" w:name="Xd22e617345045334cb27336abed800f4c3c4ded"/>
    <w:p>
      <w:pPr>
        <w:pStyle w:val="Heading2"/>
      </w:pPr>
      <w:r>
        <w:t xml:space="preserve">Part XIV — AI Assistant and Digital-Human Boundaries</w:t>
      </w:r>
    </w:p>
    <w:bookmarkStart w:id="157" w:name="chapter-135--ai-capability-scope"/>
    <w:p>
      <w:pPr>
        <w:pStyle w:val="Heading3"/>
      </w:pPr>
      <w:r>
        <w:t xml:space="preserve">Chapter 135 — AI Capability Scope</w:t>
      </w:r>
    </w:p>
    <w:p>
      <w:pPr>
        <w:pStyle w:val="FirstParagraph"/>
      </w:pPr>
      <w:r>
        <w:rPr>
          <w:rStyle w:val="VerbatimChar"/>
        </w:rPr>
        <w:t xml:space="preserve">src/lib/ai</w:t>
      </w:r>
      <w:r>
        <w:t xml:space="preserve">, the AI API, components, settings, and extracted API service</w:t>
      </w:r>
      <w:r>
        <w:t xml:space="preserve"> </w:t>
      </w:r>
      <w:r>
        <w:t xml:space="preserve">support guarded advisory/generation behavior in configured modes. AI cannot</w:t>
      </w:r>
      <w:r>
        <w:t xml:space="preserve"> </w:t>
      </w:r>
      <w:r>
        <w:t xml:space="preserve">make prohibited financial, compliance, security-response, or privileged access</w:t>
      </w:r>
      <w:r>
        <w:t xml:space="preserve"> </w:t>
      </w:r>
      <w:r>
        <w:t xml:space="preserve">decisions.</w:t>
      </w:r>
    </w:p>
    <w:bookmarkEnd w:id="157"/>
    <w:bookmarkStart w:id="158" w:name="chapter-136--ai-chat-route"/>
    <w:p>
      <w:pPr>
        <w:pStyle w:val="Heading3"/>
      </w:pPr>
      <w:r>
        <w:t xml:space="preserve">Chapter 136 — AI Chat Route</w:t>
      </w:r>
    </w:p>
    <w:p>
      <w:pPr>
        <w:pStyle w:val="FirstParagraph"/>
      </w:pPr>
      <w:r>
        <w:rPr>
          <w:rStyle w:val="VerbatimChar"/>
        </w:rPr>
        <w:t xml:space="preserve">/api/ai/chat</w:t>
      </w:r>
      <w:r>
        <w:t xml:space="preserve"> </w:t>
      </w:r>
      <w:r>
        <w:t xml:space="preserve">validates the authenticated/request context and applies the</w:t>
      </w:r>
      <w:r>
        <w:t xml:space="preserve"> </w:t>
      </w:r>
      <w:r>
        <w:t xml:space="preserve">current AI policy/provider mode. User-facing errors remain sanitized; prompts</w:t>
      </w:r>
      <w:r>
        <w:t xml:space="preserve"> </w:t>
      </w:r>
      <w:r>
        <w:t xml:space="preserve">must not be used to transmit secrets, raw KYC records, or payment credentials.</w:t>
      </w:r>
    </w:p>
    <w:bookmarkEnd w:id="158"/>
    <w:bookmarkStart w:id="159" w:name="chapter-137--ai-provider-modes"/>
    <w:p>
      <w:pPr>
        <w:pStyle w:val="Heading3"/>
      </w:pPr>
      <w:r>
        <w:t xml:space="preserve">Chapter 137 — AI Provider Modes</w:t>
      </w:r>
    </w:p>
    <w:p>
      <w:pPr>
        <w:pStyle w:val="FirstParagraph"/>
      </w:pPr>
      <w:r>
        <w:t xml:space="preserve">AI behavior may be mock, disabled, or provider-backed according to current</w:t>
      </w:r>
      <w:r>
        <w:t xml:space="preserve"> </w:t>
      </w:r>
      <w:r>
        <w:t xml:space="preserve">configuration. Environment-variable names and packages do not prove Azure</w:t>
      </w:r>
      <w:r>
        <w:t xml:space="preserve"> </w:t>
      </w:r>
      <w:r>
        <w:t xml:space="preserve">OpenAI deployment, credentials, model availability, or production use.</w:t>
      </w:r>
    </w:p>
    <w:bookmarkEnd w:id="159"/>
    <w:bookmarkStart w:id="160" w:name="chapter-138--ai-settings"/>
    <w:p>
      <w:pPr>
        <w:pStyle w:val="Heading3"/>
      </w:pPr>
      <w:r>
        <w:t xml:space="preserve">Chapter 138 — AI Settings</w:t>
      </w:r>
    </w:p>
    <w:p>
      <w:pPr>
        <w:pStyle w:val="FirstParagraph"/>
      </w:pPr>
      <w:r>
        <w:t xml:space="preserve">Admin/super-admin settings surfaces expose only authorized application policy</w:t>
      </w:r>
      <w:r>
        <w:t xml:space="preserve"> </w:t>
      </w:r>
      <w:r>
        <w:t xml:space="preserve">controls. A configuration screen cannot bypass server guardrails or establish</w:t>
      </w:r>
      <w:r>
        <w:t xml:space="preserve"> </w:t>
      </w:r>
      <w:r>
        <w:t xml:space="preserve">an external provider resource. Changes require audit and safe defaults.</w:t>
      </w:r>
    </w:p>
    <w:bookmarkEnd w:id="160"/>
    <w:bookmarkStart w:id="161" w:name="chapter-139--ai-logs"/>
    <w:p>
      <w:pPr>
        <w:pStyle w:val="Heading3"/>
      </w:pPr>
      <w:r>
        <w:t xml:space="preserve">Chapter 139 — AI Logs</w:t>
      </w:r>
    </w:p>
    <w:p>
      <w:pPr>
        <w:pStyle w:val="FirstParagraph"/>
      </w:pPr>
      <w:r>
        <w:t xml:space="preserve">AIBotLog supports review of safe AI actions, policy decisions, and outcomes.</w:t>
      </w:r>
      <w:r>
        <w:t xml:space="preserve"> </w:t>
      </w:r>
      <w:r>
        <w:t xml:space="preserve">Logs must avoid full secrets, authorization data, unnecessary personal content,</w:t>
      </w:r>
      <w:r>
        <w:t xml:space="preserve"> </w:t>
      </w:r>
      <w:r>
        <w:t xml:space="preserve">and unsafe prompt/response retention.</w:t>
      </w:r>
    </w:p>
    <w:bookmarkEnd w:id="161"/>
    <w:bookmarkStart w:id="162" w:name="chapter-140--ai-decision-boundaries"/>
    <w:p>
      <w:pPr>
        <w:pStyle w:val="Heading3"/>
      </w:pPr>
      <w:r>
        <w:t xml:space="preserve">Chapter 140 — AI Decision Boundaries</w:t>
      </w:r>
    </w:p>
    <w:p>
      <w:pPr>
        <w:pStyle w:val="FirstParagraph"/>
      </w:pPr>
      <w:r>
        <w:t xml:space="preserve">AI output is advisory or generative within the accepted policy. Human and</w:t>
      </w:r>
      <w:r>
        <w:t xml:space="preserve"> </w:t>
      </w:r>
      <w:r>
        <w:t xml:space="preserve">service authorization control listing, KYC, payment, dispute, SOC response,</w:t>
      </w:r>
      <w:r>
        <w:t xml:space="preserve"> </w:t>
      </w:r>
      <w:r>
        <w:t xml:space="preserve">role, deletion, and deployment decisions.</w:t>
      </w:r>
    </w:p>
    <w:bookmarkEnd w:id="162"/>
    <w:bookmarkStart w:id="163" w:name="X89b1e9fd936cea5811ba79ebb16c83d1891509a"/>
    <w:p>
      <w:pPr>
        <w:pStyle w:val="Heading3"/>
      </w:pPr>
      <w:r>
        <w:t xml:space="preserve">Chapter 141 — Digital-Human Presentation Boundary</w:t>
      </w:r>
    </w:p>
    <w:p>
      <w:pPr>
        <w:pStyle w:val="FirstParagraph"/>
      </w:pPr>
      <w:r>
        <w:t xml:space="preserve">The documentation contract uses “digital human” as a potential presentation</w:t>
      </w:r>
      <w:r>
        <w:t xml:space="preserve"> </w:t>
      </w:r>
      <w:r>
        <w:t xml:space="preserve">layer over the guarded AI/support interface. The evidence layer does not prove</w:t>
      </w:r>
      <w:r>
        <w:t xml:space="preserve"> </w:t>
      </w:r>
      <w:r>
        <w:t xml:space="preserve">a standalone avatar, voice, biometric, or autonomous-agent runtime; those</w:t>
      </w:r>
      <w:r>
        <w:t xml:space="preserve"> </w:t>
      </w:r>
      <w:r>
        <w:t xml:space="preserve">capabilities remain unclaimed.</w:t>
      </w:r>
    </w:p>
    <w:bookmarkEnd w:id="163"/>
    <w:bookmarkStart w:id="164" w:name="chapter-142--ai-tool-gateway"/>
    <w:p>
      <w:pPr>
        <w:pStyle w:val="Heading3"/>
      </w:pPr>
      <w:r>
        <w:t xml:space="preserve">Chapter 142 — AI Tool Gateway</w:t>
      </w:r>
    </w:p>
    <w:p>
      <w:pPr>
        <w:pStyle w:val="FirstParagraph"/>
      </w:pPr>
      <w:r>
        <w:t xml:space="preserve">Any AI-invoked tool must pass an explicit allowlist, authenticated actor,</w:t>
      </w:r>
      <w:r>
        <w:t xml:space="preserve"> </w:t>
      </w:r>
      <w:r>
        <w:t xml:space="preserve">validated input, least privilege, audit, and deterministic service guard. The</w:t>
      </w:r>
      <w:r>
        <w:t xml:space="preserve"> </w:t>
      </w:r>
      <w:r>
        <w:t xml:space="preserve">current evidence does not authorize AI to call finance, compliance, SOC</w:t>
      </w:r>
      <w:r>
        <w:t xml:space="preserve"> </w:t>
      </w:r>
      <w:r>
        <w:t xml:space="preserve">execution, database, cloud, or deployment tools autonomously.</w:t>
      </w:r>
    </w:p>
    <w:bookmarkEnd w:id="164"/>
    <w:bookmarkStart w:id="165" w:name="chapter-143--ai-support-case-handoff"/>
    <w:p>
      <w:pPr>
        <w:pStyle w:val="Heading3"/>
      </w:pPr>
      <w:r>
        <w:t xml:space="preserve">Chapter 143 — AI Support-Case Handoff</w:t>
      </w:r>
    </w:p>
    <w:p>
      <w:pPr>
        <w:pStyle w:val="FirstParagraph"/>
      </w:pPr>
      <w:r>
        <w:t xml:space="preserve">AI may assist with safe guidance or summarization where implemented, but a</w:t>
      </w:r>
      <w:r>
        <w:t xml:space="preserve"> </w:t>
      </w:r>
      <w:r>
        <w:t xml:space="preserve">support issue requiring state change is handed to the authorized support,</w:t>
      </w:r>
      <w:r>
        <w:t xml:space="preserve"> </w:t>
      </w:r>
      <w:r>
        <w:t xml:space="preserve">admin, finance, compliance, privacy, or SOC workflow. Human ownership and</w:t>
      </w:r>
      <w:r>
        <w:t xml:space="preserve"> </w:t>
      </w:r>
      <w:r>
        <w:t xml:space="preserve">stored service state remain authoritative.</w:t>
      </w:r>
    </w:p>
    <w:bookmarkEnd w:id="165"/>
    <w:bookmarkStart w:id="166" w:name="chapter-144--ai-failure-and-recovery"/>
    <w:p>
      <w:pPr>
        <w:pStyle w:val="Heading3"/>
      </w:pPr>
      <w:r>
        <w:t xml:space="preserve">Chapter 144 — AI Failure and Recovery</w:t>
      </w:r>
    </w:p>
    <w:p>
      <w:pPr>
        <w:pStyle w:val="FirstParagraph"/>
      </w:pPr>
      <w:r>
        <w:t xml:space="preserve">On provider failure, unsafe output, or policy rejection, fail closed for</w:t>
      </w:r>
      <w:r>
        <w:t xml:space="preserve"> </w:t>
      </w:r>
      <w:r>
        <w:t xml:space="preserve">prohibited actions, return a sanitized message, preserve safe audit evidence,</w:t>
      </w:r>
      <w:r>
        <w:t xml:space="preserve"> </w:t>
      </w:r>
      <w:r>
        <w:t xml:space="preserve">and offer a non-AI support path. Never expose provider keys or raw internal</w:t>
      </w:r>
      <w:r>
        <w:t xml:space="preserve"> </w:t>
      </w:r>
      <w:r>
        <w:t xml:space="preserve">errors.</w:t>
      </w:r>
    </w:p>
    <w:bookmarkEnd w:id="166"/>
    <w:bookmarkEnd w:id="167"/>
    <w:bookmarkStart w:id="180" w:name="part-xv--data-model-and-ownership"/>
    <w:p>
      <w:pPr>
        <w:pStyle w:val="Heading2"/>
      </w:pPr>
      <w:r>
        <w:t xml:space="preserve">Part XV — Data Model and Ownership</w:t>
      </w:r>
    </w:p>
    <w:bookmarkStart w:id="168" w:name="chapter-145--schema-authority"/>
    <w:p>
      <w:pPr>
        <w:pStyle w:val="Heading3"/>
      </w:pPr>
      <w:r>
        <w:t xml:space="preserve">Chapter 145 — Schema Authority</w:t>
      </w:r>
    </w:p>
    <w:p>
      <w:pPr>
        <w:pStyle w:val="FirstParagraph"/>
      </w:pPr>
      <w:r>
        <w:rPr>
          <w:rStyle w:val="VerbatimChar"/>
        </w:rPr>
        <w:t xml:space="preserve">prisma/schema.prisma</w:t>
      </w:r>
      <w:r>
        <w:t xml:space="preserve"> </w:t>
      </w:r>
      <w:r>
        <w:t xml:space="preserve">is the documented data-contract authority with 79</w:t>
      </w:r>
      <w:r>
        <w:t xml:space="preserve"> </w:t>
      </w:r>
      <w:r>
        <w:t xml:space="preserve">models and 29 enums. No database was queried. A model proves a repository</w:t>
      </w:r>
      <w:r>
        <w:t xml:space="preserve"> </w:t>
      </w:r>
      <w:r>
        <w:t xml:space="preserve">contract, not production rows, migration completion, or deployment.</w:t>
      </w:r>
    </w:p>
    <w:bookmarkEnd w:id="168"/>
    <w:bookmarkStart w:id="169" w:name="chapter-146--identity-data-domain"/>
    <w:p>
      <w:pPr>
        <w:pStyle w:val="Heading3"/>
      </w:pPr>
      <w:r>
        <w:t xml:space="preserve">Chapter 146 — Identity Data Domain</w:t>
      </w:r>
    </w:p>
    <w:p>
      <w:pPr>
        <w:pStyle w:val="FirstParagraph"/>
      </w:pPr>
      <w:r>
        <w:t xml:space="preserve">User, UserMfa, UserProfile, BusinessProfile, and AccountDeletionRequest hold</w:t>
      </w:r>
      <w:r>
        <w:t xml:space="preserve"> </w:t>
      </w:r>
      <w:r>
        <w:t xml:space="preserve">identity/account-lifecycle state. Access is subject/role scoped and protected</w:t>
      </w:r>
      <w:r>
        <w:t xml:space="preserve"> </w:t>
      </w:r>
      <w:r>
        <w:t xml:space="preserve">fields follow crypto/privacy controls.</w:t>
      </w:r>
    </w:p>
    <w:bookmarkEnd w:id="169"/>
    <w:bookmarkStart w:id="170" w:name="chapter-147--catalog-data-domain"/>
    <w:p>
      <w:pPr>
        <w:pStyle w:val="Heading3"/>
      </w:pPr>
      <w:r>
        <w:t xml:space="preserve">Chapter 147 — Catalog Data Domain</w:t>
      </w:r>
    </w:p>
    <w:p>
      <w:pPr>
        <w:pStyle w:val="FirstParagraph"/>
      </w:pPr>
      <w:r>
        <w:t xml:space="preserve">Category, CategoryRequirement, Listing, ListingPhoto, and ListingDocument</w:t>
      </w:r>
      <w:r>
        <w:t xml:space="preserve"> </w:t>
      </w:r>
      <w:r>
        <w:t xml:space="preserve">represent the catalog. Providers own listing preparation; admin/compliance</w:t>
      </w:r>
      <w:r>
        <w:t xml:space="preserve"> </w:t>
      </w:r>
      <w:r>
        <w:t xml:space="preserve">controls publication and verification according to service state.</w:t>
      </w:r>
    </w:p>
    <w:bookmarkEnd w:id="170"/>
    <w:bookmarkStart w:id="171" w:name="X7f19f59eaf715c6a1c4524e56242f31b434a58e"/>
    <w:p>
      <w:pPr>
        <w:pStyle w:val="Heading3"/>
      </w:pPr>
      <w:r>
        <w:t xml:space="preserve">Chapter 148 — Rental and Trust Data Domain</w:t>
      </w:r>
    </w:p>
    <w:p>
      <w:pPr>
        <w:pStyle w:val="FirstParagraph"/>
      </w:pPr>
      <w:r>
        <w:t xml:space="preserve">Booking, status history, agreements, inspections, turnover, claims, disputes,</w:t>
      </w:r>
      <w:r>
        <w:t xml:space="preserve"> </w:t>
      </w:r>
      <w:r>
        <w:t xml:space="preserve">deposit actions, reviews, and notifications form the rental/trust graph.</w:t>
      </w:r>
      <w:r>
        <w:t xml:space="preserve"> </w:t>
      </w:r>
      <w:r>
        <w:t xml:space="preserve">Participant scope and operator permissions govern access.</w:t>
      </w:r>
    </w:p>
    <w:bookmarkEnd w:id="171"/>
    <w:bookmarkStart w:id="172" w:name="chapter-149--verification-data-domain"/>
    <w:p>
      <w:pPr>
        <w:pStyle w:val="Heading3"/>
      </w:pPr>
      <w:r>
        <w:t xml:space="preserve">Chapter 149 — Verification Data Domain</w:t>
      </w:r>
    </w:p>
    <w:p>
      <w:pPr>
        <w:pStyle w:val="FirstParagraph"/>
      </w:pPr>
      <w:r>
        <w:t xml:space="preserve">VerificationDocument represents restricted user evidence reviewed by</w:t>
      </w:r>
      <w:r>
        <w:t xml:space="preserve"> </w:t>
      </w:r>
      <w:r>
        <w:t xml:space="preserve">authorized compliance operations. Storage, encryption/protection, retention,</w:t>
      </w:r>
      <w:r>
        <w:t xml:space="preserve"> </w:t>
      </w:r>
      <w:r>
        <w:t xml:space="preserve">and access policies apply; raw contents are not documentation evidence.</w:t>
      </w:r>
    </w:p>
    <w:bookmarkEnd w:id="172"/>
    <w:bookmarkStart w:id="173" w:name="chapter-150--finance-data-domain"/>
    <w:p>
      <w:pPr>
        <w:pStyle w:val="Heading3"/>
      </w:pPr>
      <w:r>
        <w:t xml:space="preserve">Chapter 150 — Finance Data Domain</w:t>
      </w:r>
    </w:p>
    <w:p>
      <w:pPr>
        <w:pStyle w:val="FirstParagraph"/>
      </w:pPr>
      <w:r>
        <w:t xml:space="preserve">Payment, gateway, webhook, reconciliation, action, ledger, refund, payout, and</w:t>
      </w:r>
      <w:r>
        <w:t xml:space="preserve"> </w:t>
      </w:r>
      <w:r>
        <w:t xml:space="preserve">batch records form a controlled financial evidence chain. AI and SOC cannot</w:t>
      </w:r>
      <w:r>
        <w:t xml:space="preserve"> </w:t>
      </w:r>
      <w:r>
        <w:t xml:space="preserve">autonomously mutate financial authority.</w:t>
      </w:r>
    </w:p>
    <w:bookmarkEnd w:id="173"/>
    <w:bookmarkStart w:id="174" w:name="X5ced1fa24b5f38a5ec08033c1e395daad7adeea"/>
    <w:p>
      <w:pPr>
        <w:pStyle w:val="Heading3"/>
      </w:pPr>
      <w:r>
        <w:t xml:space="preserve">Chapter 151 — Platform and Audit Data Domain</w:t>
      </w:r>
    </w:p>
    <w:p>
      <w:pPr>
        <w:pStyle w:val="FirstParagraph"/>
      </w:pPr>
      <w:r>
        <w:t xml:space="preserve">AuditLog, ApiSecurityLog, AIBotLog, SystemSetting/SystemSettings,</w:t>
      </w:r>
      <w:r>
        <w:t xml:space="preserve"> </w:t>
      </w:r>
      <w:r>
        <w:t xml:space="preserve">AuthenticationSecurityLog, and SystemErrorLog support governed platform</w:t>
      </w:r>
      <w:r>
        <w:t xml:space="preserve"> </w:t>
      </w:r>
      <w:r>
        <w:t xml:space="preserve">evidence. Payloads must remain bounded and sanitized.</w:t>
      </w:r>
    </w:p>
    <w:bookmarkEnd w:id="174"/>
    <w:bookmarkStart w:id="175" w:name="Xa21c18a4babdf6dba37a0e7703e435d475f57f4"/>
    <w:p>
      <w:pPr>
        <w:pStyle w:val="Heading3"/>
      </w:pPr>
      <w:r>
        <w:t xml:space="preserve">Chapter 152 — Marketing and Release Data Domain</w:t>
      </w:r>
    </w:p>
    <w:p>
      <w:pPr>
        <w:pStyle w:val="FirstParagraph"/>
      </w:pPr>
      <w:r>
        <w:t xml:space="preserve">Social/marketing models plus release, mobile, beta, feedback, issue, support,</w:t>
      </w:r>
      <w:r>
        <w:t xml:space="preserve"> </w:t>
      </w:r>
      <w:r>
        <w:t xml:space="preserve">and UAT models support communication and rollout workflows. External provider</w:t>
      </w:r>
      <w:r>
        <w:t xml:space="preserve"> </w:t>
      </w:r>
      <w:r>
        <w:t xml:space="preserve">and release state are not inferred from records alone.</w:t>
      </w:r>
    </w:p>
    <w:bookmarkEnd w:id="175"/>
    <w:bookmarkStart w:id="176" w:name="chapter-153--soc-telemetry-data-domain"/>
    <w:p>
      <w:pPr>
        <w:pStyle w:val="Heading3"/>
      </w:pPr>
      <w:r>
        <w:t xml:space="preserve">Chapter 153 — SOC Telemetry Data Domain</w:t>
      </w:r>
    </w:p>
    <w:p>
      <w:pPr>
        <w:pStyle w:val="FirstParagraph"/>
      </w:pPr>
      <w:r>
        <w:t xml:space="preserve">SecurityEvent, ingestion failure/checkpoint, DetectionRule, SecurityAlert,</w:t>
      </w:r>
      <w:r>
        <w:t xml:space="preserve"> </w:t>
      </w:r>
      <w:r>
        <w:t xml:space="preserve">evidence, evaluation log, and detection checkpoint models support privacy-safe</w:t>
      </w:r>
      <w:r>
        <w:t xml:space="preserve"> </w:t>
      </w:r>
      <w:r>
        <w:t xml:space="preserve">event-to-alert processing with lifecycle/environment separation.</w:t>
      </w:r>
    </w:p>
    <w:bookmarkEnd w:id="176"/>
    <w:bookmarkStart w:id="177" w:name="X8c58dc66bf2d6745a4536c4512519217b68257e"/>
    <w:p>
      <w:pPr>
        <w:pStyle w:val="Heading3"/>
      </w:pPr>
      <w:r>
        <w:t xml:space="preserve">Chapter 154 — SOC Case and Response Data Domain</w:t>
      </w:r>
    </w:p>
    <w:p>
      <w:pPr>
        <w:pStyle w:val="FirstParagraph"/>
      </w:pPr>
      <w:r>
        <w:t xml:space="preserve">Incident case/history/note/evidence/link and playbook/step/approval/grant/</w:t>
      </w:r>
      <w:r>
        <w:t xml:space="preserve"> </w:t>
      </w:r>
      <w:r>
        <w:t xml:space="preserve">execution/action models preserve the controlled investigation and reversible</w:t>
      </w:r>
      <w:r>
        <w:t xml:space="preserve"> </w:t>
      </w:r>
      <w:r>
        <w:t xml:space="preserve">response lifecycle. Server RBAC and separation of duties govern mutations.</w:t>
      </w:r>
    </w:p>
    <w:bookmarkEnd w:id="177"/>
    <w:bookmarkStart w:id="178" w:name="X6dcb7cfdb75852d0ff9c02da4301e3305683f07"/>
    <w:p>
      <w:pPr>
        <w:pStyle w:val="Heading3"/>
      </w:pPr>
      <w:r>
        <w:t xml:space="preserve">Chapter 155 — Intelligence and Geolocation Data Domain</w:t>
      </w:r>
    </w:p>
    <w:p>
      <w:pPr>
        <w:pStyle w:val="FirstParagraph"/>
      </w:pPr>
      <w:r>
        <w:t xml:space="preserve">BehavioralRiskAssessment, signals, evidence links, and geo-enrichment records</w:t>
      </w:r>
      <w:r>
        <w:t xml:space="preserve"> </w:t>
      </w:r>
      <w:r>
        <w:t xml:space="preserve">support read-oriented investigation. Privacy-safe correlation/IP handling and</w:t>
      </w:r>
      <w:r>
        <w:t xml:space="preserve"> </w:t>
      </w:r>
      <w:r>
        <w:t xml:space="preserve">authorized handoff boundaries apply.</w:t>
      </w:r>
    </w:p>
    <w:bookmarkEnd w:id="178"/>
    <w:bookmarkStart w:id="179" w:name="chapter-156--data-migration-boundary"/>
    <w:p>
      <w:pPr>
        <w:pStyle w:val="Heading3"/>
      </w:pPr>
      <w:r>
        <w:t xml:space="preserve">Chapter 156 — Data Migration Boundary</w:t>
      </w:r>
    </w:p>
    <w:p>
      <w:pPr>
        <w:pStyle w:val="FirstParagraph"/>
      </w:pPr>
      <w:r>
        <w:t xml:space="preserve">Schema and migration artifacts do not prove production migration. No database</w:t>
      </w:r>
      <w:r>
        <w:t xml:space="preserve"> </w:t>
      </w:r>
      <w:r>
        <w:t xml:space="preserve">was connected or modified during documentation.</w:t>
      </w:r>
      <w:r>
        <w:t xml:space="preserve"> </w:t>
      </w:r>
      <w:r>
        <w:rPr>
          <w:rStyle w:val="VerbatimChar"/>
        </w:rPr>
        <w:t xml:space="preserve">DATABASE_MIGRATION: PENDING_SEPARATE_OWNER_DECISION</w:t>
      </w:r>
      <w:r>
        <w:t xml:space="preserve">.</w:t>
      </w:r>
    </w:p>
    <w:bookmarkEnd w:id="179"/>
    <w:bookmarkEnd w:id="180"/>
    <w:bookmarkStart w:id="193" w:name="X7ce55f44355279f2c41651860ad2a763453cca8"/>
    <w:p>
      <w:pPr>
        <w:pStyle w:val="Heading2"/>
      </w:pPr>
      <w:r>
        <w:t xml:space="preserve">Part XVI — API, Services, Integrations, and Errors</w:t>
      </w:r>
    </w:p>
    <w:bookmarkStart w:id="181" w:name="chapter-157--root-api-inventory"/>
    <w:p>
      <w:pPr>
        <w:pStyle w:val="Heading3"/>
      </w:pPr>
      <w:r>
        <w:t xml:space="preserve">Chapter 157 — Root API Inventory</w:t>
      </w:r>
    </w:p>
    <w:p>
      <w:pPr>
        <w:pStyle w:val="FirstParagraph"/>
      </w:pPr>
      <w:r>
        <w:t xml:space="preserve">The root Next.js application contains 65 API route files across admin, AI,</w:t>
      </w:r>
      <w:r>
        <w:t xml:space="preserve"> </w:t>
      </w:r>
      <w:r>
        <w:t xml:space="preserve">auth, bookings, documents, finance, listings, payments, privacy, SOC, and</w:t>
      </w:r>
      <w:r>
        <w:t xml:space="preserve"> </w:t>
      </w:r>
      <w:r>
        <w:t xml:space="preserve">webhooks. Route presence does not grant production or mutation authority.</w:t>
      </w:r>
    </w:p>
    <w:bookmarkEnd w:id="181"/>
    <w:bookmarkStart w:id="182" w:name="chapter-158--authentication-apis"/>
    <w:p>
      <w:pPr>
        <w:pStyle w:val="Heading3"/>
      </w:pPr>
      <w:r>
        <w:t xml:space="preserve">Chapter 158 — Authentication APIs</w:t>
      </w:r>
    </w:p>
    <w:p>
      <w:pPr>
        <w:pStyle w:val="FirstParagraph"/>
      </w:pPr>
      <w:r>
        <w:rPr>
          <w:rStyle w:val="VerbatimChar"/>
        </w:rPr>
        <w:t xml:space="preserve">/api/auth/[...nextauth]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 </w:t>
      </w:r>
      <w:r>
        <w:t xml:space="preserve">establish session and</w:t>
      </w:r>
      <w:r>
        <w:t xml:space="preserve"> </w:t>
      </w:r>
      <w:r>
        <w:t xml:space="preserve">registration behavior. Inputs, privileged-role restrictions, error</w:t>
      </w:r>
      <w:r>
        <w:t xml:space="preserve"> </w:t>
      </w:r>
      <w:r>
        <w:t xml:space="preserve">sanitization, and authentication telemetry are part of their contract.</w:t>
      </w:r>
    </w:p>
    <w:bookmarkEnd w:id="182"/>
    <w:bookmarkStart w:id="183" w:name="chapter-159--marketplace-apis"/>
    <w:p>
      <w:pPr>
        <w:pStyle w:val="Heading3"/>
      </w:pPr>
      <w:r>
        <w:t xml:space="preserve">Chapter 159 — Marketplace APIs</w:t>
      </w:r>
    </w:p>
    <w:p>
      <w:pPr>
        <w:pStyle w:val="FirstParagraph"/>
      </w:pPr>
      <w:r>
        <w:t xml:space="preserve">Booking, document, listing, finance-upload, and payment routes validate</w:t>
      </w:r>
      <w:r>
        <w:t xml:space="preserve"> </w:t>
      </w:r>
      <w:r>
        <w:t xml:space="preserve">session, role, ownership, input, and state. Transitional wrappers require</w:t>
      </w:r>
      <w:r>
        <w:t xml:space="preserve"> </w:t>
      </w:r>
      <w:r>
        <w:t xml:space="preserve">classification against the extracted API before maintenance.</w:t>
      </w:r>
    </w:p>
    <w:bookmarkEnd w:id="183"/>
    <w:bookmarkStart w:id="184" w:name="chapter-160--privacy-apis"/>
    <w:p>
      <w:pPr>
        <w:pStyle w:val="Heading3"/>
      </w:pPr>
      <w:r>
        <w:t xml:space="preserve">Chapter 160 — Privacy APIs</w:t>
      </w:r>
    </w:p>
    <w:p>
      <w:pPr>
        <w:pStyle w:val="FirstParagraph"/>
      </w:pPr>
      <w:r>
        <w:t xml:space="preserve">Consent, correction, deletion, and export routes operate only for an</w:t>
      </w:r>
      <w:r>
        <w:t xml:space="preserve"> </w:t>
      </w:r>
      <w:r>
        <w:t xml:space="preserve">authorized subject and policy scope. Responses must not expose other users,</w:t>
      </w:r>
      <w:r>
        <w:t xml:space="preserve"> </w:t>
      </w:r>
      <w:r>
        <w:t xml:space="preserve">internal storage details, or secret configuration.</w:t>
      </w:r>
    </w:p>
    <w:bookmarkEnd w:id="184"/>
    <w:bookmarkStart w:id="185" w:name="chapter-161--soc-case-apis"/>
    <w:p>
      <w:pPr>
        <w:pStyle w:val="Heading3"/>
      </w:pPr>
      <w:r>
        <w:t xml:space="preserve">Chapter 161 — SOC Case APIs</w:t>
      </w:r>
    </w:p>
    <w:p>
      <w:pPr>
        <w:pStyle w:val="FirstParagraph"/>
      </w:pPr>
      <w:r>
        <w:t xml:space="preserve">Admin SOC case list/detail and assignment/evidence/notes/status child routes</w:t>
      </w:r>
      <w:r>
        <w:t xml:space="preserve"> </w:t>
      </w:r>
      <w:r>
        <w:t xml:space="preserve">implement Gate 4F case operations. Exact permissions, case state, safe evidence,</w:t>
      </w:r>
      <w:r>
        <w:t xml:space="preserve"> </w:t>
      </w:r>
      <w:r>
        <w:t xml:space="preserve">and audit history govern each mutation.</w:t>
      </w:r>
    </w:p>
    <w:bookmarkEnd w:id="185"/>
    <w:bookmarkStart w:id="186" w:name="chapter-162--soc-playbook-apis"/>
    <w:p>
      <w:pPr>
        <w:pStyle w:val="Heading3"/>
      </w:pPr>
      <w:r>
        <w:t xml:space="preserve">Chapter 162 — SOC Playbook APIs</w:t>
      </w:r>
    </w:p>
    <w:p>
      <w:pPr>
        <w:pStyle w:val="FirstParagraph"/>
      </w:pPr>
      <w:r>
        <w:t xml:space="preserve">Playbook list/detail, draft, version, review, activation, and step operations</w:t>
      </w:r>
      <w:r>
        <w:t xml:space="preserve"> </w:t>
      </w:r>
      <w:r>
        <w:t xml:space="preserve">implement the versioned Gate 4G lifecycle. Active versions require accepted</w:t>
      </w:r>
      <w:r>
        <w:t xml:space="preserve"> </w:t>
      </w:r>
      <w:r>
        <w:t xml:space="preserve">review; concurrent/stale edits must fail safely.</w:t>
      </w:r>
    </w:p>
    <w:bookmarkEnd w:id="186"/>
    <w:bookmarkStart w:id="187" w:name="chapter-163--soc-approval-apis"/>
    <w:p>
      <w:pPr>
        <w:pStyle w:val="Heading3"/>
      </w:pPr>
      <w:r>
        <w:t xml:space="preserve">Chapter 163 — SOC Approval APIs</w:t>
      </w:r>
    </w:p>
    <w:p>
      <w:pPr>
        <w:pStyle w:val="FirstParagraph"/>
      </w:pPr>
      <w:r>
        <w:t xml:space="preserve">Approval request, submit, decision, cancel, revoke, and list/detail routes</w:t>
      </w:r>
      <w:r>
        <w:t xml:space="preserve"> </w:t>
      </w:r>
      <w:r>
        <w:t xml:space="preserve">maintain requester/approver separation, time-bound scope, grant state, and</w:t>
      </w:r>
      <w:r>
        <w:t xml:space="preserve"> </w:t>
      </w:r>
      <w:r>
        <w:t xml:space="preserve">auditable outcomes.</w:t>
      </w:r>
    </w:p>
    <w:bookmarkEnd w:id="187"/>
    <w:bookmarkStart w:id="188" w:name="chapter-164--soc-response-apis"/>
    <w:p>
      <w:pPr>
        <w:pStyle w:val="Heading3"/>
      </w:pPr>
      <w:r>
        <w:t xml:space="preserve">Chapter 164 — SOC Response APIs</w:t>
      </w:r>
    </w:p>
    <w:p>
      <w:pPr>
        <w:pStyle w:val="FirstParagraph"/>
      </w:pPr>
      <w:r>
        <w:t xml:space="preserve">Response list/detail, execute, and rollback routes expose accepted reversible</w:t>
      </w:r>
      <w:r>
        <w:t xml:space="preserve"> </w:t>
      </w:r>
      <w:r>
        <w:t xml:space="preserve">Gate 4H behavior. Execution consumes valid approval, enforces freeze/scope/</w:t>
      </w:r>
      <w:r>
        <w:t xml:space="preserve"> </w:t>
      </w:r>
      <w:r>
        <w:t xml:space="preserve">idempotency/concurrency, and records sanitized results.</w:t>
      </w:r>
    </w:p>
    <w:bookmarkEnd w:id="188"/>
    <w:bookmarkStart w:id="189" w:name="X1d39dfd5a9111439363811a5858ea341e2d512b"/>
    <w:p>
      <w:pPr>
        <w:pStyle w:val="Heading3"/>
      </w:pPr>
      <w:r>
        <w:t xml:space="preserve">Chapter 165 — Dashboard and Intelligence APIs</w:t>
      </w:r>
    </w:p>
    <w:p>
      <w:pPr>
        <w:pStyle w:val="FirstParagraph"/>
      </w:pPr>
      <w:r>
        <w:t xml:space="preserve">SOC dashboard, behavioral-risk latest/history/detail, and threat-map routes</w:t>
      </w:r>
      <w:r>
        <w:t xml:space="preserve"> </w:t>
      </w:r>
      <w:r>
        <w:t xml:space="preserve">are authorized read surfaces. Test/simulation lifecycle, privacy-safe details,</w:t>
      </w:r>
      <w:r>
        <w:t xml:space="preserve"> </w:t>
      </w:r>
      <w:r>
        <w:t xml:space="preserve">and technical-detail permissions constrain output.</w:t>
      </w:r>
    </w:p>
    <w:bookmarkEnd w:id="189"/>
    <w:bookmarkStart w:id="190" w:name="chapter-166--extracted-api-and-worker"/>
    <w:p>
      <w:pPr>
        <w:pStyle w:val="Heading3"/>
      </w:pPr>
      <w:r>
        <w:t xml:space="preserve">Chapter 166 — Extracted API and Worker</w:t>
      </w:r>
    </w:p>
    <w:p>
      <w:pPr>
        <w:pStyle w:val="FirstParagraph"/>
      </w:pPr>
      <w:r>
        <w:rPr>
          <w:rStyle w:val="VerbatimChar"/>
        </w:rPr>
        <w:t xml:space="preserve">apps/api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apps/worker</w:t>
      </w:r>
      <w:r>
        <w:t xml:space="preserve"> </w:t>
      </w:r>
      <w:r>
        <w:t xml:space="preserve">are current target implementations for Azure</w:t>
      </w:r>
      <w:r>
        <w:t xml:space="preserve"> </w:t>
      </w:r>
      <w:r>
        <w:t xml:space="preserve">backend/services. Their existence does not prove provisioning, release, job</w:t>
      </w:r>
      <w:r>
        <w:t xml:space="preserve"> </w:t>
      </w:r>
      <w:r>
        <w:t xml:space="preserve">schedule, connectivity, or traffic. Root and extracted boundaries coexist.</w:t>
      </w:r>
    </w:p>
    <w:bookmarkEnd w:id="190"/>
    <w:bookmarkStart w:id="191" w:name="chapter-167--external-integrations"/>
    <w:p>
      <w:pPr>
        <w:pStyle w:val="Heading3"/>
      </w:pPr>
      <w:r>
        <w:t xml:space="preserve">Chapter 167 — External Integrations</w:t>
      </w:r>
    </w:p>
    <w:p>
      <w:pPr>
        <w:pStyle w:val="FirstParagraph"/>
      </w:pPr>
      <w:r>
        <w:t xml:space="preserve">Vercel, Azure Container Apps/PostgreSQL/Blob/Key Vault/monitoring/OpenAI/Search,</w:t>
      </w:r>
      <w:r>
        <w:t xml:space="preserve"> </w:t>
      </w:r>
      <w:r>
        <w:t xml:space="preserve">PayMongo, NextAuth, MaxMind, social providers, Capacitor, SMTP, and CI have</w:t>
      </w:r>
      <w:r>
        <w:t xml:space="preserve"> </w:t>
      </w:r>
      <w:r>
        <w:t xml:space="preserve">documented repository evidence with distinct active/target/dependent statuses.</w:t>
      </w:r>
    </w:p>
    <w:bookmarkEnd w:id="191"/>
    <w:bookmarkStart w:id="192" w:name="X1419f6b2aabd22a6b94f74004bfe583d2a8c6d8"/>
    <w:p>
      <w:pPr>
        <w:pStyle w:val="Heading3"/>
      </w:pPr>
      <w:r>
        <w:t xml:space="preserve">Chapter 168 — API Error and Recovery Contract</w:t>
      </w:r>
    </w:p>
    <w:p>
      <w:pPr>
        <w:pStyle w:val="FirstParagraph"/>
      </w:pPr>
      <w:r>
        <w:t xml:space="preserve">APIs validate early, return stable sanitized outcomes, preserve last valid</w:t>
      </w:r>
      <w:r>
        <w:t xml:space="preserve"> </w:t>
      </w:r>
      <w:r>
        <w:t xml:space="preserve">state, and record authorized evidence. Retries must respect idempotency and</w:t>
      </w:r>
      <w:r>
        <w:t xml:space="preserve"> </w:t>
      </w:r>
      <w:r>
        <w:t xml:space="preserve">cannot fabricate duplicate financial, booking, privacy, or SOC-response</w:t>
      </w:r>
      <w:r>
        <w:t xml:space="preserve"> </w:t>
      </w:r>
      <w:r>
        <w:t xml:space="preserve">effects.</w:t>
      </w:r>
    </w:p>
    <w:bookmarkEnd w:id="192"/>
    <w:bookmarkEnd w:id="193"/>
    <w:bookmarkStart w:id="204" w:name="X3a8ff2541c510cf7fcf9f8f9f02aeb2314e5b9a"/>
    <w:p>
      <w:pPr>
        <w:pStyle w:val="Heading2"/>
      </w:pPr>
      <w:r>
        <w:t xml:space="preserve">Part XVII — Security, Cryptography, and Control Framework</w:t>
      </w:r>
    </w:p>
    <w:bookmarkStart w:id="194" w:name="Xe54407495c82ec5df9e37c434358f9aa28f0c58"/>
    <w:p>
      <w:pPr>
        <w:pStyle w:val="Heading3"/>
      </w:pPr>
      <w:r>
        <w:t xml:space="preserve">Chapter 169 — Authentication and Authorization Controls</w:t>
      </w:r>
    </w:p>
    <w:p>
      <w:pPr>
        <w:pStyle w:val="FirstParagraph"/>
      </w:pPr>
      <w:r>
        <w:t xml:space="preserve">NextAuth/session handling plus page/API/service guards implement identity and</w:t>
      </w:r>
      <w:r>
        <w:t xml:space="preserve"> </w:t>
      </w:r>
      <w:r>
        <w:t xml:space="preserve">authorization. Server checks are authoritative; public registration cannot</w:t>
      </w:r>
      <w:r>
        <w:t xml:space="preserve"> </w:t>
      </w:r>
      <w:r>
        <w:t xml:space="preserve">grant privileged roles, and proxy/route/session rules must agree.</w:t>
      </w:r>
    </w:p>
    <w:bookmarkEnd w:id="194"/>
    <w:bookmarkStart w:id="195" w:name="chapter-170--least-privilege"/>
    <w:p>
      <w:pPr>
        <w:pStyle w:val="Heading3"/>
      </w:pPr>
      <w:r>
        <w:t xml:space="preserve">Chapter 170 — Least Privilege</w:t>
      </w:r>
    </w:p>
    <w:p>
      <w:pPr>
        <w:pStyle w:val="FirstParagraph"/>
      </w:pPr>
      <w:r>
        <w:t xml:space="preserve">Marketplace ownership, finance/compliance separation, and SOC Analyst/</w:t>
      </w:r>
      <w:r>
        <w:t xml:space="preserve"> </w:t>
      </w:r>
      <w:r>
        <w:t xml:space="preserve">Supervisor permission matrices restrict access to the minimum required scope.</w:t>
      </w:r>
      <w:r>
        <w:t xml:space="preserve"> </w:t>
      </w:r>
      <w:r>
        <w:t xml:space="preserve">Broad roles cannot bypass accepted dual-control constraints.</w:t>
      </w:r>
    </w:p>
    <w:bookmarkEnd w:id="195"/>
    <w:bookmarkStart w:id="196" w:name="chapter-171--input-validation"/>
    <w:p>
      <w:pPr>
        <w:pStyle w:val="Heading3"/>
      </w:pPr>
      <w:r>
        <w:t xml:space="preserve">Chapter 171 — Input Validation</w:t>
      </w:r>
    </w:p>
    <w:p>
      <w:pPr>
        <w:pStyle w:val="FirstParagraph"/>
      </w:pPr>
      <w:r>
        <w:t xml:space="preserve">Zod/domain validators and service guards reject malformed identifiers,</w:t>
      </w:r>
      <w:r>
        <w:t xml:space="preserve"> </w:t>
      </w:r>
      <w:r>
        <w:t xml:space="preserve">unsupported transitions, unsafe values, and unauthorized scope before</w:t>
      </w:r>
      <w:r>
        <w:t xml:space="preserve"> </w:t>
      </w:r>
      <w:r>
        <w:t xml:space="preserve">mutation. Safe validation outcomes avoid internal-detail leakage.</w:t>
      </w:r>
    </w:p>
    <w:bookmarkEnd w:id="196"/>
    <w:bookmarkStart w:id="197" w:name="chapter-172--upload-security"/>
    <w:p>
      <w:pPr>
        <w:pStyle w:val="Heading3"/>
      </w:pPr>
      <w:r>
        <w:t xml:space="preserve">Chapter 172 — Upload Security</w:t>
      </w:r>
    </w:p>
    <w:p>
      <w:pPr>
        <w:pStyle w:val="FirstParagraph"/>
      </w:pPr>
      <w:r>
        <w:t xml:space="preserve">Upload controls validate extension, MIME, magic/content, size, ownership, and</w:t>
      </w:r>
      <w:r>
        <w:t xml:space="preserve"> </w:t>
      </w:r>
      <w:r>
        <w:t xml:space="preserve">purpose for listing, verification, inspection, and claim evidence. Storage</w:t>
      </w:r>
      <w:r>
        <w:t xml:space="preserve"> </w:t>
      </w:r>
      <w:r>
        <w:t xml:space="preserve">errors fail safely; raw private documents remain restricted.</w:t>
      </w:r>
    </w:p>
    <w:bookmarkEnd w:id="197"/>
    <w:bookmarkStart w:id="198" w:name="chapter-173--cryptographic-protection"/>
    <w:p>
      <w:pPr>
        <w:pStyle w:val="Heading3"/>
      </w:pPr>
      <w:r>
        <w:t xml:space="preserve">Chapter 173 — Cryptographic Protection</w:t>
      </w:r>
    </w:p>
    <w:p>
      <w:pPr>
        <w:pStyle w:val="FirstParagraph"/>
      </w:pPr>
      <w:r>
        <w:t xml:space="preserve">Accepted Level 5 evidence covers encryption envelopes, key-provider concepts,</w:t>
      </w:r>
      <w:r>
        <w:t xml:space="preserve"> </w:t>
      </w:r>
      <w:r>
        <w:t xml:space="preserve">blind indexes, profile protection/rotation, and MFA encryption. Variable/key</w:t>
      </w:r>
      <w:r>
        <w:t xml:space="preserve"> </w:t>
      </w:r>
      <w:r>
        <w:t xml:space="preserve">names may be documented; values and retired key material may not.</w:t>
      </w:r>
    </w:p>
    <w:bookmarkEnd w:id="198"/>
    <w:bookmarkStart w:id="199" w:name="chapter-174--mfa-and-step-up"/>
    <w:p>
      <w:pPr>
        <w:pStyle w:val="Heading3"/>
      </w:pPr>
      <w:r>
        <w:t xml:space="preserve">Chapter 174 — MFA and Step-Up</w:t>
      </w:r>
    </w:p>
    <w:p>
      <w:pPr>
        <w:pStyle w:val="FirstParagraph"/>
      </w:pPr>
      <w:r>
        <w:t xml:space="preserve">MFA/session evidence and UserMfa support stronger identity controls where the</w:t>
      </w:r>
      <w:r>
        <w:t xml:space="preserve"> </w:t>
      </w:r>
      <w:r>
        <w:t xml:space="preserve">accepted implementation applies. Step-up does not replace role, ownership,</w:t>
      </w:r>
      <w:r>
        <w:t xml:space="preserve"> </w:t>
      </w:r>
      <w:r>
        <w:t xml:space="preserve">state, approval, or separation-of-duties checks.</w:t>
      </w:r>
    </w:p>
    <w:bookmarkEnd w:id="199"/>
    <w:bookmarkStart w:id="200" w:name="chapter-175--audit-sanitization"/>
    <w:p>
      <w:pPr>
        <w:pStyle w:val="Heading3"/>
      </w:pPr>
      <w:r>
        <w:t xml:space="preserve">Chapter 175 — Audit Sanitization</w:t>
      </w:r>
    </w:p>
    <w:p>
      <w:pPr>
        <w:pStyle w:val="FirstParagraph"/>
      </w:pPr>
      <w:r>
        <w:t xml:space="preserve">Audit, security, AI, system, payment, and SOC records use bounded safe metadata</w:t>
      </w:r>
      <w:r>
        <w:t xml:space="preserve"> </w:t>
      </w:r>
      <w:r>
        <w:t xml:space="preserve">and stable failure codes. Passwords, tokens, private keys, authorization</w:t>
      </w:r>
      <w:r>
        <w:t xml:space="preserve"> </w:t>
      </w:r>
      <w:r>
        <w:t xml:space="preserve">headers, connection strings, and raw protected evidence are excluded.</w:t>
      </w:r>
    </w:p>
    <w:bookmarkEnd w:id="200"/>
    <w:bookmarkStart w:id="201" w:name="chapter-176--payment-security"/>
    <w:p>
      <w:pPr>
        <w:pStyle w:val="Heading3"/>
      </w:pPr>
      <w:r>
        <w:t xml:space="preserve">Chapter 176 — Payment Security</w:t>
      </w:r>
    </w:p>
    <w:p>
      <w:pPr>
        <w:pStyle w:val="FirstParagraph"/>
      </w:pPr>
      <w:r>
        <w:t xml:space="preserve">Signature validation, exact amount/currency checks, idempotency,</w:t>
      </w:r>
      <w:r>
        <w:t xml:space="preserve"> </w:t>
      </w:r>
      <w:r>
        <w:t xml:space="preserve">reconciliation, role separation, and live-mode controls protect payment flows.</w:t>
      </w:r>
      <w:r>
        <w:t xml:space="preserve"> </w:t>
      </w:r>
      <w:r>
        <w:t xml:space="preserve">Phase 19 NO-GO remains the operative activation boundary.</w:t>
      </w:r>
    </w:p>
    <w:bookmarkEnd w:id="201"/>
    <w:bookmarkStart w:id="202" w:name="chapter-177--database-safety"/>
    <w:p>
      <w:pPr>
        <w:pStyle w:val="Heading3"/>
      </w:pPr>
      <w:r>
        <w:t xml:space="preserve">Chapter 177 — Database Safety</w:t>
      </w:r>
    </w:p>
    <w:p>
      <w:pPr>
        <w:pStyle w:val="FirstParagraph"/>
      </w:pPr>
      <w:r>
        <w:t xml:space="preserve">Test-database guards and explicit mutation/restore-target controls prevent</w:t>
      </w:r>
      <w:r>
        <w:t xml:space="preserve"> </w:t>
      </w:r>
      <w:r>
        <w:t xml:space="preserve">accidental production operations. These safeguards are not deployment</w:t>
      </w:r>
      <w:r>
        <w:t xml:space="preserve"> </w:t>
      </w:r>
      <w:r>
        <w:t xml:space="preserve">switches. Documentation does not connect to or change a database.</w:t>
      </w:r>
    </w:p>
    <w:bookmarkEnd w:id="202"/>
    <w:bookmarkStart w:id="203" w:name="X432252fe7cc370c0c137e5ea57df6fbee19031e"/>
    <w:p>
      <w:pPr>
        <w:pStyle w:val="Heading3"/>
      </w:pPr>
      <w:r>
        <w:t xml:space="preserve">Chapter 178 — Cloud Identity and Supply Chain</w:t>
      </w:r>
    </w:p>
    <w:p>
      <w:pPr>
        <w:pStyle w:val="FirstParagraph"/>
      </w:pPr>
      <w:r>
        <w:t xml:space="preserve">Managed-identity, Key Vault, storage RBAC, lockfiles, and CI/dependency evidence</w:t>
      </w:r>
      <w:r>
        <w:t xml:space="preserve"> </w:t>
      </w:r>
      <w:r>
        <w:t xml:space="preserve">describe intended controls. Local definitions do not prove assigned roles,</w:t>
      </w:r>
      <w:r>
        <w:t xml:space="preserve"> </w:t>
      </w:r>
      <w:r>
        <w:t xml:space="preserve">resource health, provider credentials, or deployed artifacts.</w:t>
      </w:r>
    </w:p>
    <w:bookmarkEnd w:id="203"/>
    <w:bookmarkEnd w:id="204"/>
    <w:bookmarkStart w:id="217" w:name="X52f2acbc7a3b1fbf8aa8e6ebe10b5f05200823b"/>
    <w:p>
      <w:pPr>
        <w:pStyle w:val="Heading2"/>
      </w:pPr>
      <w:r>
        <w:t xml:space="preserve">Part XVIII — SOC Telemetry, Detection, Alerts, and Intelligence</w:t>
      </w:r>
    </w:p>
    <w:bookmarkStart w:id="205" w:name="chapter-179--security-event-sources"/>
    <w:p>
      <w:pPr>
        <w:pStyle w:val="Heading3"/>
      </w:pPr>
      <w:r>
        <w:t xml:space="preserve">Chapter 179 — Security Event Sources</w:t>
      </w:r>
    </w:p>
    <w:p>
      <w:pPr>
        <w:pStyle w:val="FirstParagraph"/>
      </w:pPr>
      <w:r>
        <w:t xml:space="preserve">Supported adapters cover authentication, audit, API, AI, system errors,</w:t>
      </w:r>
      <w:r>
        <w:t xml:space="preserve"> </w:t>
      </w:r>
      <w:r>
        <w:t xml:space="preserve">payments, verification, bookings, claims, disputes, inspections, and settings</w:t>
      </w:r>
      <w:r>
        <w:t xml:space="preserve"> </w:t>
      </w:r>
      <w:r>
        <w:t xml:space="preserve">as registered. Source compatibility is validated before normalization.</w:t>
      </w:r>
    </w:p>
    <w:bookmarkEnd w:id="205"/>
    <w:bookmarkStart w:id="206" w:name="chapter-180--event-normalization"/>
    <w:p>
      <w:pPr>
        <w:pStyle w:val="Heading3"/>
      </w:pPr>
      <w:r>
        <w:t xml:space="preserve">Chapter 180 — Event Normalization</w:t>
      </w:r>
    </w:p>
    <w:p>
      <w:pPr>
        <w:pStyle w:val="FirstParagraph"/>
      </w:pPr>
      <w:r>
        <w:t xml:space="preserve">Writers/adapters create bounded SecurityEvent records with source, domain,</w:t>
      </w:r>
      <w:r>
        <w:t xml:space="preserve"> </w:t>
      </w:r>
      <w:r>
        <w:t xml:space="preserve">classification, severity, lifecycle, environment, processing state, and</w:t>
      </w:r>
      <w:r>
        <w:t xml:space="preserve"> </w:t>
      </w:r>
      <w:r>
        <w:t xml:space="preserve">privacy-safe summary/correlation fields.</w:t>
      </w:r>
    </w:p>
    <w:bookmarkEnd w:id="206"/>
    <w:bookmarkStart w:id="207" w:name="X8a847666fe1d7699aa9c5672c861a037531c903"/>
    <w:p>
      <w:pPr>
        <w:pStyle w:val="Heading3"/>
      </w:pPr>
      <w:r>
        <w:t xml:space="preserve">Chapter 181 — Lifecycle and Environment Separation</w:t>
      </w:r>
    </w:p>
    <w:p>
      <w:pPr>
        <w:pStyle w:val="FirstParagraph"/>
      </w:pP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evidence is classified explicitly. Simulation</w:t>
      </w:r>
      <w:r>
        <w:t xml:space="preserve"> </w:t>
      </w:r>
      <w:r>
        <w:t xml:space="preserve">and test data are excluded from operational views by default unless an</w:t>
      </w:r>
      <w:r>
        <w:t xml:space="preserve"> </w:t>
      </w:r>
      <w:r>
        <w:t xml:space="preserve">authorized query intentionally includes them.</w:t>
      </w:r>
    </w:p>
    <w:bookmarkEnd w:id="207"/>
    <w:bookmarkStart w:id="208" w:name="X8ab20716deaa8366bc1ce7c21239f37904f628e"/>
    <w:p>
      <w:pPr>
        <w:pStyle w:val="Heading3"/>
      </w:pPr>
      <w:r>
        <w:t xml:space="preserve">Chapter 182 — Event Idempotency and Deduplication</w:t>
      </w:r>
    </w:p>
    <w:p>
      <w:pPr>
        <w:pStyle w:val="FirstParagraph"/>
      </w:pPr>
      <w:r>
        <w:t xml:space="preserve">Source identities and configured deduplication prevent repeated ingestion and</w:t>
      </w:r>
      <w:r>
        <w:t xml:space="preserve"> </w:t>
      </w:r>
      <w:r>
        <w:t xml:space="preserve">alert amplification. Retries converge on valid event/checkpoint state and</w:t>
      </w:r>
      <w:r>
        <w:t xml:space="preserve"> </w:t>
      </w:r>
      <w:r>
        <w:t xml:space="preserve">record failures rather than silently duplicating evidence.</w:t>
      </w:r>
    </w:p>
    <w:bookmarkEnd w:id="208"/>
    <w:bookmarkStart w:id="209" w:name="chapter-183--ingestion-failure-recording"/>
    <w:p>
      <w:pPr>
        <w:pStyle w:val="Heading3"/>
      </w:pPr>
      <w:r>
        <w:t xml:space="preserve">Chapter 183 — Ingestion Failure Recording</w:t>
      </w:r>
    </w:p>
    <w:p>
      <w:pPr>
        <w:pStyle w:val="FirstParagraph"/>
      </w:pPr>
      <w:r>
        <w:t xml:space="preserve">SecurityEventIngestionFailure preserves safe processing context for recovery.</w:t>
      </w:r>
      <w:r>
        <w:t xml:space="preserve"> </w:t>
      </w:r>
      <w:r>
        <w:t xml:space="preserve">It excludes secret/raw payload leakage and links to bounded retry/checkpoint</w:t>
      </w:r>
      <w:r>
        <w:t xml:space="preserve"> </w:t>
      </w:r>
      <w:r>
        <w:t xml:space="preserve">logic so operators can distinguish recoverable from incompatible sources.</w:t>
      </w:r>
    </w:p>
    <w:bookmarkEnd w:id="209"/>
    <w:bookmarkStart w:id="210" w:name="chapter-184--detection-rule-lifecycle"/>
    <w:p>
      <w:pPr>
        <w:pStyle w:val="Heading3"/>
      </w:pPr>
      <w:r>
        <w:t xml:space="preserve">Chapter 184 — Detection Rule Lifecycle</w:t>
      </w:r>
    </w:p>
    <w:p>
      <w:pPr>
        <w:pStyle w:val="FirstParagraph"/>
      </w:pPr>
      <w:r>
        <w:t xml:space="preserve">Detection rules progress through controlled draft/initialize/update/activate/</w:t>
      </w:r>
      <w:r>
        <w:t xml:space="preserve"> </w:t>
      </w:r>
      <w:r>
        <w:t xml:space="preserve">archive states. Validation of rule definition, creator type, lifecycle, and</w:t>
      </w:r>
      <w:r>
        <w:t xml:space="preserve"> </w:t>
      </w:r>
      <w:r>
        <w:t xml:space="preserve">authorization precedes evaluation.</w:t>
      </w:r>
    </w:p>
    <w:bookmarkEnd w:id="210"/>
    <w:bookmarkStart w:id="211" w:name="chapter-185--detection-evaluation"/>
    <w:p>
      <w:pPr>
        <w:pStyle w:val="Heading3"/>
      </w:pPr>
      <w:r>
        <w:t xml:space="preserve">Chapter 185 — Detection Evaluation</w:t>
      </w:r>
    </w:p>
    <w:p>
      <w:pPr>
        <w:pStyle w:val="FirstParagraph"/>
      </w:pPr>
      <w:r>
        <w:t xml:space="preserve">The evaluator applies the supported rule contract deterministically to</w:t>
      </w:r>
      <w:r>
        <w:t xml:space="preserve"> </w:t>
      </w:r>
      <w:r>
        <w:t xml:space="preserve">compatible events and records RuleEvaluationLog outcomes. Unsupported or</w:t>
      </w:r>
      <w:r>
        <w:t xml:space="preserve"> </w:t>
      </w:r>
      <w:r>
        <w:t xml:space="preserve">invalid rules fail safely rather than creating unreviewable alerts.</w:t>
      </w:r>
    </w:p>
    <w:bookmarkEnd w:id="211"/>
    <w:bookmarkStart w:id="212" w:name="X809bf5a1474ae21b9c77d95f75ebfb4374f352b"/>
    <w:p>
      <w:pPr>
        <w:pStyle w:val="Heading3"/>
      </w:pPr>
      <w:r>
        <w:t xml:space="preserve">Chapter 186 — Alert Creation and Deduplication</w:t>
      </w:r>
    </w:p>
    <w:p>
      <w:pPr>
        <w:pStyle w:val="FirstParagraph"/>
      </w:pPr>
      <w:r>
        <w:t xml:space="preserve">Eligible rule outcomes create/reuse SecurityAlert according to configured</w:t>
      </w:r>
      <w:r>
        <w:t xml:space="preserve"> </w:t>
      </w:r>
      <w:r>
        <w:t xml:space="preserve">deduplication/correlation. Alert evidence links remain bounded and privacy-safe;</w:t>
      </w:r>
      <w:r>
        <w:t xml:space="preserve"> </w:t>
      </w:r>
      <w:r>
        <w:t xml:space="preserve">severity and confidence support review rather than autonomous punishment.</w:t>
      </w:r>
    </w:p>
    <w:bookmarkEnd w:id="212"/>
    <w:bookmarkStart w:id="213" w:name="chapter-187--alert-review"/>
    <w:p>
      <w:pPr>
        <w:pStyle w:val="Heading3"/>
      </w:pPr>
      <w:r>
        <w:t xml:space="preserve">Chapter 187 — Alert Review</w:t>
      </w:r>
    </w:p>
    <w:p>
      <w:pPr>
        <w:pStyle w:val="FirstParagraph"/>
      </w:pPr>
      <w:r>
        <w:t xml:space="preserve">Authorized SOC users review alert status, evidence, source context, lifecycle,</w:t>
      </w:r>
      <w:r>
        <w:t xml:space="preserve"> </w:t>
      </w:r>
      <w:r>
        <w:t xml:space="preserve">and related events. Review may lead to dismissal, monitoring, or incident-case</w:t>
      </w:r>
      <w:r>
        <w:t xml:space="preserve"> </w:t>
      </w:r>
      <w:r>
        <w:t xml:space="preserve">creation under exact service rules.</w:t>
      </w:r>
    </w:p>
    <w:bookmarkEnd w:id="213"/>
    <w:bookmarkStart w:id="214" w:name="X08317abad49adf2bcddf57a9a6b2a85816eb60b"/>
    <w:p>
      <w:pPr>
        <w:pStyle w:val="Heading3"/>
      </w:pPr>
      <w:r>
        <w:t xml:space="preserve">Chapter 188 — Behavioral Risk Intelligence</w:t>
      </w:r>
    </w:p>
    <w:p>
      <w:pPr>
        <w:pStyle w:val="FirstParagraph"/>
      </w:pPr>
      <w:r>
        <w:t xml:space="preserve">Behavioral risk assessments, signals, evidence links, and latest/history/detail</w:t>
      </w:r>
      <w:r>
        <w:t xml:space="preserve"> </w:t>
      </w:r>
      <w:r>
        <w:t xml:space="preserve">APIs support investigation and handoff. The capability is read-oriented and</w:t>
      </w:r>
      <w:r>
        <w:t xml:space="preserve"> </w:t>
      </w:r>
      <w:r>
        <w:t xml:space="preserve">does not autonomously block accounts, transfer money, or decide compliance.</w:t>
      </w:r>
    </w:p>
    <w:bookmarkEnd w:id="214"/>
    <w:bookmarkStart w:id="215" w:name="chapter-189--threat-map-and-geolocation"/>
    <w:p>
      <w:pPr>
        <w:pStyle w:val="Heading3"/>
      </w:pPr>
      <w:r>
        <w:t xml:space="preserve">Chapter 189 — Threat Map and Geolocation</w:t>
      </w:r>
    </w:p>
    <w:p>
      <w:pPr>
        <w:pStyle w:val="FirstParagraph"/>
      </w:pPr>
      <w:r>
        <w:t xml:space="preserve">Threat-map output uses privacy-safe geo-enrichment and provider modes such as</w:t>
      </w:r>
      <w:r>
        <w:t xml:space="preserve"> </w:t>
      </w:r>
      <w:r>
        <w:t xml:space="preserve">disabled, fixture, or database-backed where configured. Raw/private IP</w:t>
      </w:r>
      <w:r>
        <w:t xml:space="preserve"> </w:t>
      </w:r>
      <w:r>
        <w:t xml:space="preserve">handling and HMAC/correlation controls apply; provider availability is not</w:t>
      </w:r>
      <w:r>
        <w:t xml:space="preserve"> </w:t>
      </w:r>
      <w:r>
        <w:t xml:space="preserve">inferred.</w:t>
      </w:r>
    </w:p>
    <w:bookmarkEnd w:id="215"/>
    <w:bookmarkStart w:id="216" w:name="chapter-190--soc-dashboard"/>
    <w:p>
      <w:pPr>
        <w:pStyle w:val="Heading3"/>
      </w:pPr>
      <w:r>
        <w:t xml:space="preserve">Chapter 190 — SOC Dashboard</w:t>
      </w:r>
    </w:p>
    <w:p>
      <w:pPr>
        <w:pStyle w:val="FirstParagraph"/>
      </w:pPr>
      <w:r>
        <w:t xml:space="preserve">The command center presents authorized KPIs, event/alert feeds, response</w:t>
      </w:r>
      <w:r>
        <w:t xml:space="preserve"> </w:t>
      </w:r>
      <w:r>
        <w:t xml:space="preserve">summaries, lifecycle filters, simulation visibility, and intelligence links.</w:t>
      </w:r>
      <w:r>
        <w:t xml:space="preserve"> </w:t>
      </w:r>
      <w:r>
        <w:t xml:space="preserve">It is a read/coordination surface; service APIs and permissions control</w:t>
      </w:r>
      <w:r>
        <w:t xml:space="preserve"> </w:t>
      </w:r>
      <w:r>
        <w:t xml:space="preserve">mutations.</w:t>
      </w:r>
    </w:p>
    <w:bookmarkEnd w:id="216"/>
    <w:bookmarkEnd w:id="217"/>
    <w:bookmarkStart w:id="230" w:name="X829be9c7d9a07c56a9bf880a7dddcdb95da69be"/>
    <w:p>
      <w:pPr>
        <w:pStyle w:val="Heading2"/>
      </w:pPr>
      <w:r>
        <w:t xml:space="preserve">Part XIX — SOC Incident Cases, Evidence, Playbooks, and Approvals</w:t>
      </w:r>
    </w:p>
    <w:bookmarkStart w:id="218" w:name="chapter-191--incident-case-creation"/>
    <w:p>
      <w:pPr>
        <w:pStyle w:val="Heading3"/>
      </w:pPr>
      <w:r>
        <w:t xml:space="preserve">Chapter 191 — Incident Case Creation</w:t>
      </w:r>
    </w:p>
    <w:p>
      <w:pPr>
        <w:pStyle w:val="FirstParagraph"/>
      </w:pPr>
      <w:r>
        <w:t xml:space="preserve">Authorized SOC users create IncidentCase records from alerts, investigations,</w:t>
      </w:r>
      <w:r>
        <w:t xml:space="preserve"> </w:t>
      </w:r>
      <w:r>
        <w:t xml:space="preserve">or qualified manual context under Gate 4F rules. Origin, severity, actor, and</w:t>
      </w:r>
      <w:r>
        <w:t xml:space="preserve"> </w:t>
      </w:r>
      <w:r>
        <w:t xml:space="preserve">initial reason are recorded without copying raw credentials or unbounded event</w:t>
      </w:r>
      <w:r>
        <w:t xml:space="preserve"> </w:t>
      </w:r>
      <w:r>
        <w:t xml:space="preserve">payloads.</w:t>
      </w:r>
    </w:p>
    <w:bookmarkEnd w:id="218"/>
    <w:bookmarkStart w:id="219" w:name="chapter-192--case-triage"/>
    <w:p>
      <w:pPr>
        <w:pStyle w:val="Heading3"/>
      </w:pPr>
      <w:r>
        <w:t xml:space="preserve">Chapter 192 — Case Triage</w:t>
      </w:r>
    </w:p>
    <w:p>
      <w:pPr>
        <w:pStyle w:val="FirstParagraph"/>
      </w:pPr>
      <w:r>
        <w:t xml:space="preserve">Triage confirms environment/lifecycle, severity, scope, ownership, related</w:t>
      </w:r>
      <w:r>
        <w:t xml:space="preserve"> </w:t>
      </w:r>
      <w:r>
        <w:t xml:space="preserve">alerts/events, and immediate safety needs. The triager may adjust only allowed</w:t>
      </w:r>
      <w:r>
        <w:t xml:space="preserve"> </w:t>
      </w:r>
      <w:r>
        <w:t xml:space="preserve">fields and preserves history for every state change.</w:t>
      </w:r>
    </w:p>
    <w:bookmarkEnd w:id="219"/>
    <w:bookmarkStart w:id="220" w:name="chapter-193--case-assignment"/>
    <w:p>
      <w:pPr>
        <w:pStyle w:val="Heading3"/>
      </w:pPr>
      <w:r>
        <w:t xml:space="preserve">Chapter 193 — Case Assignment</w:t>
      </w:r>
    </w:p>
    <w:p>
      <w:pPr>
        <w:pStyle w:val="FirstParagraph"/>
      </w:pPr>
      <w:r>
        <w:t xml:space="preserve">Assignment/reassignment APIs enforce case permission, target eligibility, and</w:t>
      </w:r>
      <w:r>
        <w:t xml:space="preserve"> </w:t>
      </w:r>
      <w:r>
        <w:t xml:space="preserve">current state. Assignment establishes work ownership but does not grant</w:t>
      </w:r>
      <w:r>
        <w:t xml:space="preserve"> </w:t>
      </w:r>
      <w:r>
        <w:t xml:space="preserve">response execution, finance, compliance, or role-administration authority.</w:t>
      </w:r>
    </w:p>
    <w:bookmarkEnd w:id="220"/>
    <w:bookmarkStart w:id="221" w:name="chapter-194--case-notes"/>
    <w:p>
      <w:pPr>
        <w:pStyle w:val="Heading3"/>
      </w:pPr>
      <w:r>
        <w:t xml:space="preserve">Chapter 194 — Case Notes</w:t>
      </w:r>
    </w:p>
    <w:p>
      <w:pPr>
        <w:pStyle w:val="FirstParagraph"/>
      </w:pPr>
      <w:r>
        <w:t xml:space="preserve">Case notes record sanitized analysis, decisions, and follow-up using the</w:t>
      </w:r>
      <w:r>
        <w:t xml:space="preserve"> </w:t>
      </w:r>
      <w:r>
        <w:t xml:space="preserve">supported note type. They must not contain tokens, credentials, raw KYC,</w:t>
      </w:r>
      <w:r>
        <w:t xml:space="preserve"> </w:t>
      </w:r>
      <w:r>
        <w:t xml:space="preserve">unnecessary personal data, or uncontrolled copies of protected evidence.</w:t>
      </w:r>
    </w:p>
    <w:bookmarkEnd w:id="221"/>
    <w:bookmarkStart w:id="222" w:name="chapter-195--case-evidence"/>
    <w:p>
      <w:pPr>
        <w:pStyle w:val="Heading3"/>
      </w:pPr>
      <w:r>
        <w:t xml:space="preserve">Chapter 195 — Case Evidence</w:t>
      </w:r>
    </w:p>
    <w:p>
      <w:pPr>
        <w:pStyle w:val="FirstParagraph"/>
      </w:pPr>
      <w:r>
        <w:t xml:space="preserve">IncidentCaseEvidence stores bounded references and metadata under evidence</w:t>
      </w:r>
      <w:r>
        <w:t xml:space="preserve"> </w:t>
      </w:r>
      <w:r>
        <w:t xml:space="preserve">type/source controls. Access is authorized independently from a public or</w:t>
      </w:r>
      <w:r>
        <w:t xml:space="preserve"> </w:t>
      </w:r>
      <w:r>
        <w:t xml:space="preserve">marketplace route; linked evidence remains governed by its source domain.</w:t>
      </w:r>
    </w:p>
    <w:bookmarkEnd w:id="222"/>
    <w:bookmarkStart w:id="223" w:name="chapter-196--case-status-lifecycle"/>
    <w:p>
      <w:pPr>
        <w:pStyle w:val="Heading3"/>
      </w:pPr>
      <w:r>
        <w:t xml:space="preserve">Chapter 196 — Case Status Lifecycle</w:t>
      </w:r>
    </w:p>
    <w:p>
      <w:pPr>
        <w:pStyle w:val="FirstParagraph"/>
      </w:pPr>
      <w:r>
        <w:t xml:space="preserve">Cases move through open, triage/investigation, assignment, containment request,</w:t>
      </w:r>
      <w:r>
        <w:t xml:space="preserve"> </w:t>
      </w:r>
      <w:r>
        <w:t xml:space="preserve">resolution, closure, reopening, or escalation only as service guards permit.</w:t>
      </w:r>
      <w:r>
        <w:t xml:space="preserve"> </w:t>
      </w:r>
      <w:r>
        <w:t xml:space="preserve">IncidentCaseHistory preserves actor, reason, and transition evidence.</w:t>
      </w:r>
    </w:p>
    <w:bookmarkEnd w:id="223"/>
    <w:bookmarkStart w:id="224" w:name="chapter-197--playbook-drafting"/>
    <w:p>
      <w:pPr>
        <w:pStyle w:val="Heading3"/>
      </w:pPr>
      <w:r>
        <w:t xml:space="preserve">Chapter 197 — Playbook Drafting</w:t>
      </w:r>
    </w:p>
    <w:p>
      <w:pPr>
        <w:pStyle w:val="FirstParagraph"/>
      </w:pPr>
      <w:r>
        <w:t xml:space="preserve">Authorized users create a SecurityResponsePlaybook draft and ordered steps for</w:t>
      </w:r>
      <w:r>
        <w:t xml:space="preserve"> </w:t>
      </w:r>
      <w:r>
        <w:t xml:space="preserve">a defined security scenario. Draft presence does not authorize execution; step</w:t>
      </w:r>
      <w:r>
        <w:t xml:space="preserve"> </w:t>
      </w:r>
      <w:r>
        <w:t xml:space="preserve">types and scope must fit the reversible accepted baseline.</w:t>
      </w:r>
    </w:p>
    <w:bookmarkEnd w:id="224"/>
    <w:bookmarkStart w:id="225" w:name="chapter-198--playbook-versioning"/>
    <w:p>
      <w:pPr>
        <w:pStyle w:val="Heading3"/>
      </w:pPr>
      <w:r>
        <w:t xml:space="preserve">Chapter 198 — Playbook Versioning</w:t>
      </w:r>
    </w:p>
    <w:p>
      <w:pPr>
        <w:pStyle w:val="FirstParagraph"/>
      </w:pPr>
      <w:r>
        <w:t xml:space="preserve">Version creation preserves reviewed history while allowing a controlled new</w:t>
      </w:r>
      <w:r>
        <w:t xml:space="preserve"> </w:t>
      </w:r>
      <w:r>
        <w:t xml:space="preserve">draft. Edits target the intended version, and stale/concurrent changes fail</w:t>
      </w:r>
      <w:r>
        <w:t xml:space="preserve"> </w:t>
      </w:r>
      <w:r>
        <w:t xml:space="preserve">safely. Activated evidence is not overwritten in place.</w:t>
      </w:r>
    </w:p>
    <w:bookmarkEnd w:id="225"/>
    <w:bookmarkStart w:id="226" w:name="Xe7278aa6da27f0b9cee9322b5d14d70de444275"/>
    <w:p>
      <w:pPr>
        <w:pStyle w:val="Heading3"/>
      </w:pPr>
      <w:r>
        <w:t xml:space="preserve">Chapter 199 — Playbook Review and Activation</w:t>
      </w:r>
    </w:p>
    <w:p>
      <w:pPr>
        <w:pStyle w:val="FirstParagraph"/>
      </w:pPr>
      <w:r>
        <w:t xml:space="preserve">Submission, approval/rejection, and activation follow Gate 4G permissions and</w:t>
      </w:r>
      <w:r>
        <w:t xml:space="preserve"> </w:t>
      </w:r>
      <w:r>
        <w:t xml:space="preserve">review state. Activation makes an approved version eligible for later response</w:t>
      </w:r>
      <w:r>
        <w:t xml:space="preserve"> </w:t>
      </w:r>
      <w:r>
        <w:t xml:space="preserve">requests; it does not create an approval grant or execute an action.</w:t>
      </w:r>
    </w:p>
    <w:bookmarkEnd w:id="226"/>
    <w:bookmarkStart w:id="227" w:name="chapter-200--approval-request"/>
    <w:p>
      <w:pPr>
        <w:pStyle w:val="Heading3"/>
      </w:pPr>
      <w:r>
        <w:t xml:space="preserve">Chapter 200 — Approval Request</w:t>
      </w:r>
    </w:p>
    <w:p>
      <w:pPr>
        <w:pStyle w:val="FirstParagraph"/>
      </w:pPr>
      <w:r>
        <w:t xml:space="preserve">A requester selects the minimum approved playbook/action scope, target, reason,</w:t>
      </w:r>
      <w:r>
        <w:t xml:space="preserve"> </w:t>
      </w:r>
      <w:r>
        <w:t xml:space="preserve">and duration required. The service validates actor, playbook state, case</w:t>
      </w:r>
      <w:r>
        <w:t xml:space="preserve"> </w:t>
      </w:r>
      <w:r>
        <w:t xml:space="preserve">context, and reversibility before entering review.</w:t>
      </w:r>
    </w:p>
    <w:bookmarkEnd w:id="227"/>
    <w:bookmarkStart w:id="228" w:name="chapter-201--approval-decision-and-grant"/>
    <w:p>
      <w:pPr>
        <w:pStyle w:val="Heading3"/>
      </w:pPr>
      <w:r>
        <w:t xml:space="preserve">Chapter 201 — Approval Decision and Grant</w:t>
      </w:r>
    </w:p>
    <w:p>
      <w:pPr>
        <w:pStyle w:val="FirstParagraph"/>
      </w:pPr>
      <w:r>
        <w:t xml:space="preserve">An independent authorized decision creates or rejects a time-bound, scoped</w:t>
      </w:r>
      <w:r>
        <w:t xml:space="preserve"> </w:t>
      </w:r>
      <w:r>
        <w:t xml:space="preserve">grant. The requester cannot self-approve. Grant consumption, expiration,</w:t>
      </w:r>
      <w:r>
        <w:t xml:space="preserve"> </w:t>
      </w:r>
      <w:r>
        <w:t xml:space="preserve">revocation, cancellation, and decision history remain auditable.</w:t>
      </w:r>
    </w:p>
    <w:bookmarkEnd w:id="228"/>
    <w:bookmarkStart w:id="229" w:name="X5855521fa6e65eaf2ca7f5bbf5a5ac0035c5312"/>
    <w:p>
      <w:pPr>
        <w:pStyle w:val="Heading3"/>
      </w:pPr>
      <w:r>
        <w:t xml:space="preserve">Chapter 202 — Approval Failure and Concurrency</w:t>
      </w:r>
    </w:p>
    <w:p>
      <w:pPr>
        <w:pStyle w:val="FirstParagraph"/>
      </w:pPr>
      <w:r>
        <w:t xml:space="preserve">Invalid scope, expired/revoked grant, duplicate decision, requester/approver</w:t>
      </w:r>
      <w:r>
        <w:t xml:space="preserve"> </w:t>
      </w:r>
      <w:r>
        <w:t xml:space="preserve">conflict, or stale concurrent update fails closed. Preserve the prior valid</w:t>
      </w:r>
      <w:r>
        <w:t xml:space="preserve"> </w:t>
      </w:r>
      <w:r>
        <w:t xml:space="preserve">approval state and return a sanitized stable result.</w:t>
      </w:r>
    </w:p>
    <w:bookmarkEnd w:id="229"/>
    <w:bookmarkEnd w:id="230"/>
    <w:bookmarkStart w:id="243" w:name="X190bad42219ef2126f4eb0b0eaeed4962de9556"/>
    <w:p>
      <w:pPr>
        <w:pStyle w:val="Heading2"/>
      </w:pPr>
      <w:r>
        <w:t xml:space="preserve">Part XX — SOC Response, Rollback, Simulation, and Freeze</w:t>
      </w:r>
    </w:p>
    <w:bookmarkStart w:id="231" w:name="X62a83b08ae15e1bfccaba57ad3623cd433e4f37"/>
    <w:p>
      <w:pPr>
        <w:pStyle w:val="Heading3"/>
      </w:pPr>
      <w:r>
        <w:t xml:space="preserve">Chapter 203 — Reversible Response Baseline</w:t>
      </w:r>
    </w:p>
    <w:p>
      <w:pPr>
        <w:pStyle w:val="FirstParagraph"/>
      </w:pPr>
      <w:r>
        <w:t xml:space="preserve">Gate 4H accepts only the approved reversible response scope, including NOOP</w:t>
      </w:r>
      <w:r>
        <w:t xml:space="preserve"> </w:t>
      </w:r>
      <w:r>
        <w:t xml:space="preserve">simulation and reversible account restriction as evidenced. Response presence</w:t>
      </w:r>
      <w:r>
        <w:t xml:space="preserve"> </w:t>
      </w:r>
      <w:r>
        <w:t xml:space="preserve">does not authorize destructive, financial, compliance, or infrastructure</w:t>
      </w:r>
      <w:r>
        <w:t xml:space="preserve"> </w:t>
      </w:r>
      <w:r>
        <w:t xml:space="preserve">actions.</w:t>
      </w:r>
    </w:p>
    <w:bookmarkEnd w:id="231"/>
    <w:bookmarkStart w:id="232" w:name="X5b75d916ddf33e80cd841c4cb830734dae08218"/>
    <w:p>
      <w:pPr>
        <w:pStyle w:val="Heading3"/>
      </w:pPr>
      <w:r>
        <w:t xml:space="preserve">Chapter 204 — Response Execution Preconditions</w:t>
      </w:r>
    </w:p>
    <w:p>
      <w:pPr>
        <w:pStyle w:val="FirstParagraph"/>
      </w:pPr>
      <w:r>
        <w:t xml:space="preserve">Execution validates actor permission, requester/approver separation, active</w:t>
      </w:r>
      <w:r>
        <w:t xml:space="preserve"> </w:t>
      </w:r>
      <w:r>
        <w:t xml:space="preserve">playbook, compatible action, target scope, usable grant, emergency-freeze</w:t>
      </w:r>
      <w:r>
        <w:t xml:space="preserve"> </w:t>
      </w:r>
      <w:r>
        <w:t xml:space="preserve">state, idempotency key, and current resource state.</w:t>
      </w:r>
    </w:p>
    <w:bookmarkEnd w:id="232"/>
    <w:bookmarkStart w:id="233" w:name="chapter-205--grant-consumption"/>
    <w:p>
      <w:pPr>
        <w:pStyle w:val="Heading3"/>
      </w:pPr>
      <w:r>
        <w:t xml:space="preserve">Chapter 205 — Grant Consumption</w:t>
      </w:r>
    </w:p>
    <w:p>
      <w:pPr>
        <w:pStyle w:val="FirstParagraph"/>
      </w:pPr>
      <w:r>
        <w:t xml:space="preserve">A valid approval grant is consumed according to its exact time, scope, target,</w:t>
      </w:r>
      <w:r>
        <w:t xml:space="preserve"> </w:t>
      </w:r>
      <w:r>
        <w:t xml:space="preserve">and action constraints. Reuse, expiry, revocation, or mismatch prevents</w:t>
      </w:r>
      <w:r>
        <w:t xml:space="preserve"> </w:t>
      </w:r>
      <w:r>
        <w:t xml:space="preserve">execution and remains visible in sanitized approval/execution evidence.</w:t>
      </w:r>
    </w:p>
    <w:bookmarkEnd w:id="233"/>
    <w:bookmarkStart w:id="234" w:name="chapter-206--execution-state-lifecycle"/>
    <w:p>
      <w:pPr>
        <w:pStyle w:val="Heading3"/>
      </w:pPr>
      <w:r>
        <w:t xml:space="preserve">Chapter 206 — Execution State Lifecycle</w:t>
      </w:r>
    </w:p>
    <w:p>
      <w:pPr>
        <w:pStyle w:val="FirstParagraph"/>
      </w:pPr>
      <w:r>
        <w:t xml:space="preserve">SecurityResponseExecution and Action records progress through pending/running</w:t>
      </w:r>
      <w:r>
        <w:t xml:space="preserve"> </w:t>
      </w:r>
      <w:r>
        <w:t xml:space="preserve">to success/failure and, where permitted, rollback states. Partial failure is</w:t>
      </w:r>
      <w:r>
        <w:t xml:space="preserve"> </w:t>
      </w:r>
      <w:r>
        <w:t xml:space="preserve">recorded explicitly rather than promoted to success.</w:t>
      </w:r>
    </w:p>
    <w:bookmarkEnd w:id="234"/>
    <w:bookmarkStart w:id="235" w:name="chapter-207--execution-idempotency"/>
    <w:p>
      <w:pPr>
        <w:pStyle w:val="Heading3"/>
      </w:pPr>
      <w:r>
        <w:t xml:space="preserve">Chapter 207 — Execution Idempotency</w:t>
      </w:r>
    </w:p>
    <w:p>
      <w:pPr>
        <w:pStyle w:val="FirstParagraph"/>
      </w:pPr>
      <w:r>
        <w:t xml:space="preserve">Repeated requests with the same authorized identity/scope converge on the</w:t>
      </w:r>
      <w:r>
        <w:t xml:space="preserve"> </w:t>
      </w:r>
      <w:r>
        <w:t xml:space="preserve">existing execution outcome. Idempotency prevents duplicate restrictions,</w:t>
      </w:r>
      <w:r>
        <w:t xml:space="preserve"> </w:t>
      </w:r>
      <w:r>
        <w:t xml:space="preserve">audits, and side effects while allowing safe result retrieval.</w:t>
      </w:r>
    </w:p>
    <w:bookmarkEnd w:id="235"/>
    <w:bookmarkStart w:id="236" w:name="chapter-208--execution-concurrency"/>
    <w:p>
      <w:pPr>
        <w:pStyle w:val="Heading3"/>
      </w:pPr>
      <w:r>
        <w:t xml:space="preserve">Chapter 208 — Execution Concurrency</w:t>
      </w:r>
    </w:p>
    <w:p>
      <w:pPr>
        <w:pStyle w:val="FirstParagraph"/>
      </w:pPr>
      <w:r>
        <w:t xml:space="preserve">Concurrency controls prevent conflicting executions against the same protected</w:t>
      </w:r>
      <w:r>
        <w:t xml:space="preserve"> </w:t>
      </w:r>
      <w:r>
        <w:t xml:space="preserve">scope. Losing requests return controlled outcomes, and operators investigate</w:t>
      </w:r>
      <w:r>
        <w:t xml:space="preserve"> </w:t>
      </w:r>
      <w:r>
        <w:t xml:space="preserve">the authoritative execution rather than forcing parallel state.</w:t>
      </w:r>
    </w:p>
    <w:bookmarkEnd w:id="236"/>
    <w:bookmarkStart w:id="237" w:name="chapter-209--emergency-freeze"/>
    <w:p>
      <w:pPr>
        <w:pStyle w:val="Heading3"/>
      </w:pPr>
      <w:r>
        <w:t xml:space="preserve">Chapter 209 — Emergency Freeze</w:t>
      </w:r>
    </w:p>
    <w:p>
      <w:pPr>
        <w:pStyle w:val="FirstParagraph"/>
      </w:pPr>
      <w:r>
        <w:t xml:space="preserve">Emergency freeze blocks unsafe new execution while preserving visibility and</w:t>
      </w:r>
      <w:r>
        <w:t xml:space="preserve"> </w:t>
      </w:r>
      <w:r>
        <w:t xml:space="preserve">separately authorized rollback. Activation and release require the accepted</w:t>
      </w:r>
      <w:r>
        <w:t xml:space="preserve"> </w:t>
      </w:r>
      <w:r>
        <w:t xml:space="preserve">permission/process; a UI toggle alone is insufficient.</w:t>
      </w:r>
    </w:p>
    <w:bookmarkEnd w:id="237"/>
    <w:bookmarkStart w:id="238" w:name="chapter-210--rollback-preconditions"/>
    <w:p>
      <w:pPr>
        <w:pStyle w:val="Heading3"/>
      </w:pPr>
      <w:r>
        <w:t xml:space="preserve">Chapter 210 — Rollback Preconditions</w:t>
      </w:r>
    </w:p>
    <w:p>
      <w:pPr>
        <w:pStyle w:val="FirstParagraph"/>
      </w:pPr>
      <w:r>
        <w:t xml:space="preserve">Rollback requires its own permission, an eligible reversible execution, a</w:t>
      </w:r>
      <w:r>
        <w:t xml:space="preserve"> </w:t>
      </w:r>
      <w:r>
        <w:t xml:space="preserve">valid current-state comparison, and no unacceptable divergence. It cannot be</w:t>
      </w:r>
      <w:r>
        <w:t xml:space="preserve"> </w:t>
      </w:r>
      <w:r>
        <w:t xml:space="preserve">assumed from prior execution authority.</w:t>
      </w:r>
    </w:p>
    <w:bookmarkEnd w:id="238"/>
    <w:bookmarkStart w:id="239" w:name="chapter-211--divergence-protection"/>
    <w:p>
      <w:pPr>
        <w:pStyle w:val="Heading3"/>
      </w:pPr>
      <w:r>
        <w:t xml:space="preserve">Chapter 211 — Divergence Protection</w:t>
      </w:r>
    </w:p>
    <w:p>
      <w:pPr>
        <w:pStyle w:val="FirstParagraph"/>
      </w:pPr>
      <w:r>
        <w:t xml:space="preserve">Before rollback, the service compares protected before/after/current state.</w:t>
      </w:r>
      <w:r>
        <w:t xml:space="preserve"> </w:t>
      </w:r>
      <w:r>
        <w:t xml:space="preserve">Unexpected independent change causes a safe rollback refusal so recovery does</w:t>
      </w:r>
      <w:r>
        <w:t xml:space="preserve"> </w:t>
      </w:r>
      <w:r>
        <w:t xml:space="preserve">not overwrite legitimate current state.</w:t>
      </w:r>
    </w:p>
    <w:bookmarkEnd w:id="239"/>
    <w:bookmarkStart w:id="240" w:name="X371c6f0bff93f17c6a137c6969cfe0b2efe7561"/>
    <w:p>
      <w:pPr>
        <w:pStyle w:val="Heading3"/>
      </w:pPr>
      <w:r>
        <w:t xml:space="preserve">Chapter 212 — Controlled Simulation Capability</w:t>
      </w:r>
    </w:p>
    <w:p>
      <w:pPr>
        <w:pStyle w:val="FirstParagraph"/>
      </w:pPr>
      <w:r>
        <w:t xml:space="preserve">Gate 4I validates nine scenarios covering NOOP, reversible restriction, scope,</w:t>
      </w:r>
      <w:r>
        <w:t xml:space="preserve"> </w:t>
      </w:r>
      <w:r>
        <w:t xml:space="preserve">freeze, concurrency/idempotency, partial failure/recovery, divergence,</w:t>
      </w:r>
      <w:r>
        <w:t xml:space="preserve"> </w:t>
      </w:r>
      <w:r>
        <w:t xml:space="preserve">authorization/separation, and audit sanitization. Status:</w:t>
      </w:r>
      <w:r>
        <w:t xml:space="preserve"> </w:t>
      </w:r>
      <w:r>
        <w:rPr>
          <w:rStyle w:val="VerbatimChar"/>
        </w:rPr>
        <w:t xml:space="preserve">COMPLETE_AND_FROZEN</w:t>
      </w:r>
      <w:r>
        <w:t xml:space="preserve">.</w:t>
      </w:r>
    </w:p>
    <w:bookmarkEnd w:id="240"/>
    <w:bookmarkStart w:id="241" w:name="X1341c64cca854b7bbd0cdcf7b3ecaf02648e083"/>
    <w:p>
      <w:pPr>
        <w:pStyle w:val="Heading3"/>
      </w:pPr>
      <w:r>
        <w:t xml:space="preserve">Chapter 213 — Simulations Route Classification</w:t>
      </w:r>
    </w:p>
    <w:p>
      <w:pPr>
        <w:pStyle w:val="FirstParagraph"/>
      </w:pPr>
      <w:r>
        <w:rPr>
          <w:rStyle w:val="VerbatimChar"/>
        </w:rPr>
        <w:t xml:space="preserve">/dashboard/admin/security/simulations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NAVIGATION_SHELL_ONLY</w:t>
      </w:r>
      <w:r>
        <w:t xml:space="preserve"> </w:t>
      </w:r>
      <w:r>
        <w:t xml:space="preserve">with no</w:t>
      </w:r>
      <w:r>
        <w:t xml:space="preserve"> </w:t>
      </w:r>
      <w:r>
        <w:t xml:space="preserve">service/API integration. Operators use the accepted response workflow and</w:t>
      </w:r>
      <w:r>
        <w:t xml:space="preserve"> </w:t>
      </w:r>
      <w:r>
        <w:t xml:space="preserve">command-center simulation views; the tray intentionally does not create an</w:t>
      </w:r>
      <w:r>
        <w:t xml:space="preserve"> </w:t>
      </w:r>
      <w:r>
        <w:t xml:space="preserve">unapproved shortcut.</w:t>
      </w:r>
    </w:p>
    <w:bookmarkEnd w:id="241"/>
    <w:bookmarkStart w:id="242" w:name="X0ad9b79eb149dae556783180a094cd4e0a20db1"/>
    <w:p>
      <w:pPr>
        <w:pStyle w:val="Heading3"/>
      </w:pPr>
      <w:r>
        <w:t xml:space="preserve">Chapter 214 — Reports Route Classification</w:t>
      </w:r>
    </w:p>
    <w:p>
      <w:pPr>
        <w:pStyle w:val="FirstParagraph"/>
      </w:pPr>
      <w:r>
        <w:rPr>
          <w:rStyle w:val="VerbatimChar"/>
        </w:rPr>
        <w:t xml:space="preserve">/dashboard/admin/security/reports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PLANNED_NOT_IMPLEMENTED</w:t>
      </w:r>
      <w:r>
        <w:t xml:space="preserve">. Dashboard,</w:t>
      </w:r>
      <w:r>
        <w:t xml:space="preserve"> </w:t>
      </w:r>
      <w:r>
        <w:t xml:space="preserve">event, case, response, and audit reads exist, but no dedicated SOC report</w:t>
      </w:r>
      <w:r>
        <w:t xml:space="preserve"> </w:t>
      </w:r>
      <w:r>
        <w:t xml:space="preserve">generator/export API or exact approved requirement was found.</w:t>
      </w:r>
    </w:p>
    <w:bookmarkEnd w:id="242"/>
    <w:bookmarkEnd w:id="243"/>
    <w:bookmarkStart w:id="254" w:name="X60f651222996ad3d74b2929cf3aa30b9d81e2a3"/>
    <w:p>
      <w:pPr>
        <w:pStyle w:val="Heading2"/>
      </w:pPr>
      <w:r>
        <w:t xml:space="preserve">Part XXI — Maintenance, Recovery, Monitoring, and Resilience</w:t>
      </w:r>
    </w:p>
    <w:bookmarkStart w:id="244" w:name="chapter-215--maintenance-capability"/>
    <w:p>
      <w:pPr>
        <w:pStyle w:val="Heading3"/>
      </w:pPr>
      <w:r>
        <w:t xml:space="preserve">Chapter 215 — Maintenance Capability</w:t>
      </w:r>
    </w:p>
    <w:p>
      <w:pPr>
        <w:pStyle w:val="FirstParagraph"/>
      </w:pPr>
      <w:r>
        <w:t xml:space="preserve">Gate 4J accepts maintenance, technical UAT, and the SOC operations/recovery</w:t>
      </w:r>
      <w:r>
        <w:t xml:space="preserve"> </w:t>
      </w:r>
      <w:r>
        <w:t xml:space="preserve">runbook as operational capability. The standalone maintenance page is not an</w:t>
      </w:r>
      <w:r>
        <w:t xml:space="preserve"> </w:t>
      </w:r>
      <w:r>
        <w:t xml:space="preserve">accepted requirement and contains no maintenance service.</w:t>
      </w:r>
    </w:p>
    <w:bookmarkEnd w:id="244"/>
    <w:bookmarkStart w:id="245" w:name="X036ad8310bd7522ae2fbb519a0a8f1bfa007fa8"/>
    <w:p>
      <w:pPr>
        <w:pStyle w:val="Heading3"/>
      </w:pPr>
      <w:r>
        <w:t xml:space="preserve">Chapter 216 — Maintenance Route Classification</w:t>
      </w:r>
    </w:p>
    <w:p>
      <w:pPr>
        <w:pStyle w:val="FirstParagraph"/>
      </w:pPr>
      <w:r>
        <w:rPr>
          <w:rStyle w:val="VerbatimChar"/>
        </w:rPr>
        <w:t xml:space="preserve">/dashboard/admin/security/maintenance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PLANNED_NOT_IMPLEMENTED</w:t>
      </w:r>
      <w:r>
        <w:t xml:space="preserve">. It is not</w:t>
      </w:r>
      <w:r>
        <w:t xml:space="preserve"> </w:t>
      </w:r>
      <w:r>
        <w:t xml:space="preserve">a recovery console. Operators use the accepted runbook, response controls,</w:t>
      </w:r>
      <w:r>
        <w:t xml:space="preserve"> </w:t>
      </w:r>
      <w:r>
        <w:t xml:space="preserve">recovery/backfill jobs, tests, and separately authorized operational process.</w:t>
      </w:r>
    </w:p>
    <w:bookmarkEnd w:id="245"/>
    <w:bookmarkStart w:id="246" w:name="chapter-217--recovery-checkpoints"/>
    <w:p>
      <w:pPr>
        <w:pStyle w:val="Heading3"/>
      </w:pPr>
      <w:r>
        <w:t xml:space="preserve">Chapter 217 — Recovery Checkpoints</w:t>
      </w:r>
    </w:p>
    <w:p>
      <w:pPr>
        <w:pStyle w:val="FirstParagraph"/>
      </w:pPr>
      <w:r>
        <w:t xml:space="preserve">SecurityEventIngestionCheckpoint and detection checkpoints record bounded</w:t>
      </w:r>
      <w:r>
        <w:t xml:space="preserve"> </w:t>
      </w:r>
      <w:r>
        <w:t xml:space="preserve">progress so recovery can resume without replaying uncontrolled ranges. Advance</w:t>
      </w:r>
      <w:r>
        <w:t xml:space="preserve"> </w:t>
      </w:r>
      <w:r>
        <w:t xml:space="preserve">occurs only after valid processing under the current lease.</w:t>
      </w:r>
    </w:p>
    <w:bookmarkEnd w:id="246"/>
    <w:bookmarkStart w:id="247" w:name="chapter-218--worker-leases"/>
    <w:p>
      <w:pPr>
        <w:pStyle w:val="Heading3"/>
      </w:pPr>
      <w:r>
        <w:t xml:space="preserve">Chapter 218 — Worker Leases</w:t>
      </w:r>
    </w:p>
    <w:p>
      <w:pPr>
        <w:pStyle w:val="FirstParagraph"/>
      </w:pPr>
      <w:r>
        <w:t xml:space="preserve">Recovery acquires an exclusive lease before processing a bounded range. Lease</w:t>
      </w:r>
      <w:r>
        <w:t xml:space="preserve"> </w:t>
      </w:r>
      <w:r>
        <w:t xml:space="preserve">loss or conflict stops unsafe continuation; failure handling releases or</w:t>
      </w:r>
      <w:r>
        <w:t xml:space="preserve"> </w:t>
      </w:r>
      <w:r>
        <w:t xml:space="preserve">expires control without falsely advancing the checkpoint.</w:t>
      </w:r>
    </w:p>
    <w:bookmarkEnd w:id="247"/>
    <w:bookmarkStart w:id="248" w:name="chapter-219--bounded-replay"/>
    <w:p>
      <w:pPr>
        <w:pStyle w:val="Heading3"/>
      </w:pPr>
      <w:r>
        <w:t xml:space="preserve">Chapter 219 — Bounded Replay</w:t>
      </w:r>
    </w:p>
    <w:p>
      <w:pPr>
        <w:pStyle w:val="FirstParagraph"/>
      </w:pPr>
      <w:r>
        <w:t xml:space="preserve">Recovery replays an explicitly bounded source range through normal validation,</w:t>
      </w:r>
      <w:r>
        <w:t xml:space="preserve"> </w:t>
      </w:r>
      <w:r>
        <w:t xml:space="preserve">normalization, idempotency, and failure recording. It is not a raw bulk write</w:t>
      </w:r>
      <w:r>
        <w:t xml:space="preserve"> </w:t>
      </w:r>
      <w:r>
        <w:t xml:space="preserve">or production database shortcut.</w:t>
      </w:r>
    </w:p>
    <w:bookmarkEnd w:id="248"/>
    <w:bookmarkStart w:id="249" w:name="chapter-220--backfill"/>
    <w:p>
      <w:pPr>
        <w:pStyle w:val="Heading3"/>
      </w:pPr>
      <w:r>
        <w:t xml:space="preserve">Chapter 220 — Backfill</w:t>
      </w:r>
    </w:p>
    <w:p>
      <w:pPr>
        <w:pStyle w:val="FirstParagraph"/>
      </w:pPr>
      <w:r>
        <w:t xml:space="preserve">The backfill job supports controlled historical event ingestion with the same</w:t>
      </w:r>
      <w:r>
        <w:t xml:space="preserve"> </w:t>
      </w:r>
      <w:r>
        <w:t xml:space="preserve">privacy, lifecycle, deduplication, checkpoint, and safe-failure expectations.</w:t>
      </w:r>
      <w:r>
        <w:t xml:space="preserve"> </w:t>
      </w:r>
      <w:r>
        <w:t xml:space="preserve">Operator scope and environment must be explicit.</w:t>
      </w:r>
    </w:p>
    <w:bookmarkEnd w:id="249"/>
    <w:bookmarkStart w:id="250" w:name="chapter-221--response-recovery"/>
    <w:p>
      <w:pPr>
        <w:pStyle w:val="Heading3"/>
      </w:pPr>
      <w:r>
        <w:t xml:space="preserve">Chapter 221 — Response Recovery</w:t>
      </w:r>
    </w:p>
    <w:p>
      <w:pPr>
        <w:pStyle w:val="FirstParagraph"/>
      </w:pPr>
      <w:r>
        <w:t xml:space="preserve">For failed/partial response execution, preserve approval/execution/action</w:t>
      </w:r>
      <w:r>
        <w:t xml:space="preserve"> </w:t>
      </w:r>
      <w:r>
        <w:t xml:space="preserve">evidence, apply emergency freeze if authorized, inspect divergence, and use</w:t>
      </w:r>
      <w:r>
        <w:t xml:space="preserve"> </w:t>
      </w:r>
      <w:r>
        <w:t xml:space="preserve">separately authorized rollback or corrective gates. Do not rewrite history.</w:t>
      </w:r>
    </w:p>
    <w:bookmarkEnd w:id="250"/>
    <w:bookmarkStart w:id="251" w:name="chapter-222--monitoring-direction"/>
    <w:p>
      <w:pPr>
        <w:pStyle w:val="Heading3"/>
      </w:pPr>
      <w:r>
        <w:t xml:space="preserve">Chapter 222 — Monitoring Direction</w:t>
      </w:r>
    </w:p>
    <w:p>
      <w:pPr>
        <w:pStyle w:val="FirstParagraph"/>
      </w:pPr>
      <w:r>
        <w:t xml:space="preserve">Application Insights and Log Analytics definitions plus middleware describe</w:t>
      </w:r>
      <w:r>
        <w:t xml:space="preserve"> </w:t>
      </w:r>
      <w:r>
        <w:t xml:space="preserve">the monitoring target. Local code does not prove workspace provisioning,</w:t>
      </w:r>
      <w:r>
        <w:t xml:space="preserve"> </w:t>
      </w:r>
      <w:r>
        <w:t xml:space="preserve">telemetry ingestion, alert configuration, retention, or production health.</w:t>
      </w:r>
    </w:p>
    <w:bookmarkEnd w:id="251"/>
    <w:bookmarkStart w:id="252" w:name="X13306979930f6911c56be247bfb5b0c43cb3b08"/>
    <w:p>
      <w:pPr>
        <w:pStyle w:val="Heading3"/>
      </w:pPr>
      <w:r>
        <w:t xml:space="preserve">Chapter 223 — Backup and Database Recovery Boundary</w:t>
      </w:r>
    </w:p>
    <w:p>
      <w:pPr>
        <w:pStyle w:val="FirstParagraph"/>
      </w:pPr>
      <w:r>
        <w:t xml:space="preserve">Readiness/runbook artifacts may describe checkpoints and recovery intent, but</w:t>
      </w:r>
      <w:r>
        <w:t xml:space="preserve"> </w:t>
      </w:r>
      <w:r>
        <w:t xml:space="preserve">production backup state and restore viability require external authorized</w:t>
      </w:r>
      <w:r>
        <w:t xml:space="preserve"> </w:t>
      </w:r>
      <w:r>
        <w:t xml:space="preserve">verification. Database migration/restore remains separately governed.</w:t>
      </w:r>
    </w:p>
    <w:bookmarkEnd w:id="252"/>
    <w:bookmarkStart w:id="253" w:name="Xb7ae464256f407b81e9259ad81a8375f83ae68c"/>
    <w:p>
      <w:pPr>
        <w:pStyle w:val="Heading3"/>
      </w:pPr>
      <w:r>
        <w:t xml:space="preserve">Chapter 224 — Technical UAT and Historical Evidence</w:t>
      </w:r>
    </w:p>
    <w:p>
      <w:pPr>
        <w:pStyle w:val="FirstParagraph"/>
      </w:pPr>
      <w:r>
        <w:t xml:space="preserve">Gate 4J technical UAT and other accepted test reports prove their recorded</w:t>
      </w:r>
      <w:r>
        <w:t xml:space="preserve"> </w:t>
      </w:r>
      <w:r>
        <w:t xml:space="preserve">checkpoint. They do not validate unrelated current dirty edits or production</w:t>
      </w:r>
      <w:r>
        <w:t xml:space="preserve"> </w:t>
      </w:r>
      <w:r>
        <w:t xml:space="preserve">state. New changes require selected current tests in an authorized environment.</w:t>
      </w:r>
    </w:p>
    <w:bookmarkEnd w:id="253"/>
    <w:bookmarkEnd w:id="254"/>
    <w:bookmarkStart w:id="265" w:name="Xce37e96a39935c8e07bfbe1b29ab948cb324db3"/>
    <w:p>
      <w:pPr>
        <w:pStyle w:val="Heading2"/>
      </w:pPr>
      <w:r>
        <w:t xml:space="preserve">Part XXII — Architecture, Configuration, Infrastructure, and Delivery</w:t>
      </w:r>
    </w:p>
    <w:bookmarkStart w:id="255" w:name="chapter-225--vercel-frontend-direction"/>
    <w:p>
      <w:pPr>
        <w:pStyle w:val="Heading3"/>
      </w:pPr>
      <w:r>
        <w:t xml:space="preserve">Chapter 225 — Vercel Frontend Direction</w:t>
      </w:r>
    </w:p>
    <w:p>
      <w:pPr>
        <w:pStyle w:val="FirstParagraph"/>
      </w:pPr>
      <w:r>
        <w:t xml:space="preserve">The Owner-verified Vercel project identity is</w:t>
      </w:r>
      <w:r>
        <w:t xml:space="preserve"> </w:t>
      </w:r>
      <w:r>
        <w:rPr>
          <w:rStyle w:val="VerbatimChar"/>
        </w:rPr>
        <w:t xml:space="preserve">ren-tipid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jburns2372-sys-projects</w:t>
      </w:r>
      <w:r>
        <w:t xml:space="preserve">, with public domains documented in the deployment</w:t>
      </w:r>
      <w:r>
        <w:t xml:space="preserve"> </w:t>
      </w:r>
      <w:r>
        <w:t xml:space="preserve">registry. Identity evidence does not authorize deployment or prove a current</w:t>
      </w:r>
      <w:r>
        <w:t xml:space="preserve"> </w:t>
      </w:r>
      <w:r>
        <w:t xml:space="preserve">live response.</w:t>
      </w:r>
    </w:p>
    <w:bookmarkEnd w:id="255"/>
    <w:bookmarkStart w:id="256" w:name="X618a1545082d3ab5c7e5940b4d29c55d7fd35db"/>
    <w:p>
      <w:pPr>
        <w:pStyle w:val="Heading3"/>
      </w:pPr>
      <w:r>
        <w:t xml:space="preserve">Chapter 226 — Azure Backend and Services Direction</w:t>
      </w:r>
    </w:p>
    <w:p>
      <w:pPr>
        <w:pStyle w:val="FirstParagraph"/>
      </w:pPr>
      <w:r>
        <w:rPr>
          <w:rStyle w:val="VerbatimChar"/>
        </w:rPr>
        <w:t xml:space="preserve">apps/api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apps/worker</w:t>
      </w:r>
      <w:r>
        <w:t xml:space="preserve">, and Azure-target infrastructure define the backend,</w:t>
      </w:r>
      <w:r>
        <w:t xml:space="preserve"> </w:t>
      </w:r>
      <w:r>
        <w:t xml:space="preserve">worker, database, storage, identity, registry, network, and monitoring</w:t>
      </w:r>
      <w:r>
        <w:t xml:space="preserve"> </w:t>
      </w:r>
      <w:r>
        <w:t xml:space="preserve">direction.</w:t>
      </w:r>
      <w:r>
        <w:t xml:space="preserve"> </w:t>
      </w:r>
      <w:r>
        <w:rPr>
          <w:rStyle w:val="VerbatimChar"/>
        </w:rPr>
        <w:t xml:space="preserve">AZURE_PROVISIONING_OR_DEPLOYMENT_AUTHORIZED_BY_DOCUMENTATION: NO</w:t>
      </w:r>
      <w:r>
        <w:t xml:space="preserve">.</w:t>
      </w:r>
    </w:p>
    <w:bookmarkEnd w:id="256"/>
    <w:bookmarkStart w:id="257" w:name="X83d93ae8bdeb00dbcb6ba6de224e027c6fcb71a"/>
    <w:p>
      <w:pPr>
        <w:pStyle w:val="Heading3"/>
      </w:pPr>
      <w:r>
        <w:t xml:space="preserve">Chapter 227 — Partially Split Implementation</w:t>
      </w:r>
    </w:p>
    <w:p>
      <w:pPr>
        <w:pStyle w:val="FirstParagraph"/>
      </w:pPr>
      <w:r>
        <w:t xml:space="preserve">Root Next.js handlers and extracted Azure targets coexist. Runtime routing may</w:t>
      </w:r>
      <w:r>
        <w:t xml:space="preserve"> </w:t>
      </w:r>
      <w:r>
        <w:t xml:space="preserve">depend on current configuration and compatibility wrappers. Change analysis</w:t>
      </w:r>
      <w:r>
        <w:t xml:space="preserve"> </w:t>
      </w:r>
      <w:r>
        <w:t xml:space="preserve">must identify both sides and preserve authentication/data/error contracts.</w:t>
      </w:r>
    </w:p>
    <w:bookmarkEnd w:id="257"/>
    <w:bookmarkStart w:id="258" w:name="chapter-228--network-design-boundary"/>
    <w:p>
      <w:pPr>
        <w:pStyle w:val="Heading3"/>
      </w:pPr>
      <w:r>
        <w:t xml:space="preserve">Chapter 228 — Network Design Boundary</w:t>
      </w:r>
    </w:p>
    <w:p>
      <w:pPr>
        <w:pStyle w:val="FirstParagraph"/>
      </w:pPr>
      <w:r>
        <w:t xml:space="preserve">The owner-approved parallel network design recorded in the deployment registry</w:t>
      </w:r>
      <w:r>
        <w:t xml:space="preserve"> </w:t>
      </w:r>
      <w:r>
        <w:t xml:space="preserve">uses VNet</w:t>
      </w:r>
      <w:r>
        <w:t xml:space="preserve"> </w:t>
      </w:r>
      <w:r>
        <w:rPr>
          <w:rStyle w:val="VerbatimChar"/>
        </w:rPr>
        <w:t xml:space="preserve">10.219.0.0/20</w:t>
      </w:r>
      <w:r>
        <w:t xml:space="preserve">, an ACA</w:t>
      </w:r>
      <w:r>
        <w:t xml:space="preserve"> </w:t>
      </w:r>
      <w:r>
        <w:rPr>
          <w:rStyle w:val="VerbatimChar"/>
        </w:rPr>
        <w:t xml:space="preserve">/23</w:t>
      </w:r>
      <w:r>
        <w:t xml:space="preserve">, and private-endpoint</w:t>
      </w:r>
      <w:r>
        <w:t xml:space="preserve"> </w:t>
      </w:r>
      <w:r>
        <w:rPr>
          <w:rStyle w:val="VerbatimChar"/>
        </w:rPr>
        <w:t xml:space="preserve">/24</w:t>
      </w:r>
      <w:r>
        <w:t xml:space="preserve">. These are</w:t>
      </w:r>
      <w:r>
        <w:t xml:space="preserve"> </w:t>
      </w:r>
      <w:r>
        <w:t xml:space="preserve">non-secret design identifiers, not provisioning, peering, or traffic evidence.</w:t>
      </w:r>
    </w:p>
    <w:bookmarkEnd w:id="258"/>
    <w:bookmarkStart w:id="259" w:name="chapter-229--database-target"/>
    <w:p>
      <w:pPr>
        <w:pStyle w:val="Heading3"/>
      </w:pPr>
      <w:r>
        <w:t xml:space="preserve">Chapter 229 — Database Target</w:t>
      </w:r>
    </w:p>
    <w:p>
      <w:pPr>
        <w:pStyle w:val="FirstParagraph"/>
      </w:pPr>
      <w:r>
        <w:t xml:space="preserve">Prisma targets PostgreSQL and Phase 19B describes Azure PostgreSQL direction.</w:t>
      </w:r>
      <w:r>
        <w:t xml:space="preserve"> </w:t>
      </w:r>
      <w:r>
        <w:t xml:space="preserve">No production database was inspected. Migration, connection, data validation,</w:t>
      </w:r>
      <w:r>
        <w:t xml:space="preserve"> </w:t>
      </w:r>
      <w:r>
        <w:t xml:space="preserve">and cutover require a separate Owner decision and guarded plan.</w:t>
      </w:r>
    </w:p>
    <w:bookmarkEnd w:id="259"/>
    <w:bookmarkStart w:id="260" w:name="chapter-230--object-storage-target"/>
    <w:p>
      <w:pPr>
        <w:pStyle w:val="Heading3"/>
      </w:pPr>
      <w:r>
        <w:t xml:space="preserve">Chapter 230 — Object Storage Target</w:t>
      </w:r>
    </w:p>
    <w:p>
      <w:pPr>
        <w:pStyle w:val="FirstParagraph"/>
      </w:pPr>
      <w:r>
        <w:t xml:space="preserve">Azure Blob Storage, private access, managed identity/user-delegation, and RBAC</w:t>
      </w:r>
      <w:r>
        <w:t xml:space="preserve"> </w:t>
      </w:r>
      <w:r>
        <w:t xml:space="preserve">are the target direction represented by current files. Local implementation</w:t>
      </w:r>
      <w:r>
        <w:t xml:space="preserve"> </w:t>
      </w:r>
      <w:r>
        <w:t xml:space="preserve">does not prove account/container/endpoints/roles are deployed.</w:t>
      </w:r>
    </w:p>
    <w:bookmarkEnd w:id="260"/>
    <w:bookmarkStart w:id="261" w:name="chapter-231--secrets-and-key-vault"/>
    <w:p>
      <w:pPr>
        <w:pStyle w:val="Heading3"/>
      </w:pPr>
      <w:r>
        <w:t xml:space="preserve">Chapter 231 — Secrets and Key Vault</w:t>
      </w:r>
    </w:p>
    <w:p>
      <w:pPr>
        <w:pStyle w:val="FirstParagraph"/>
      </w:pPr>
      <w:r>
        <w:t xml:space="preserve">Key Vault is the target secret-provider boundary. Documentation lists only</w:t>
      </w:r>
      <w:r>
        <w:t xml:space="preserve"> </w:t>
      </w:r>
      <w:r>
        <w:t xml:space="preserve">configuration names; it excludes tokens, keys, passwords, HMAC material,</w:t>
      </w:r>
      <w:r>
        <w:t xml:space="preserve"> </w:t>
      </w:r>
      <w:r>
        <w:t xml:space="preserve">connection strings, SAS values, and secret-bearing URLs.</w:t>
      </w:r>
    </w:p>
    <w:bookmarkEnd w:id="261"/>
    <w:bookmarkStart w:id="262" w:name="chapter-232--environment-contracts"/>
    <w:p>
      <w:pPr>
        <w:pStyle w:val="Heading3"/>
      </w:pPr>
      <w:r>
        <w:t xml:space="preserve">Chapter 232 — Environment Contracts</w:t>
      </w:r>
    </w:p>
    <w:p>
      <w:pPr>
        <w:pStyle w:val="FirstParagraph"/>
      </w:pPr>
      <w:r>
        <w:t xml:space="preserve">Runtime routing, auth/data, Azure, payment, security/SOC, CI, and provider</w:t>
      </w:r>
      <w:r>
        <w:t xml:space="preserve"> </w:t>
      </w:r>
      <w:r>
        <w:t xml:space="preserve">configuration names form the environment contract. The 52 code references and</w:t>
      </w:r>
      <w:r>
        <w:t xml:space="preserve"> </w:t>
      </w:r>
      <w:r>
        <w:t xml:space="preserve">19 template names require review; no missing value is invented.</w:t>
      </w:r>
    </w:p>
    <w:bookmarkEnd w:id="262"/>
    <w:bookmarkStart w:id="263" w:name="Xa31964f40f9bbfc18011cbb2480df1e52d97ca2"/>
    <w:p>
      <w:pPr>
        <w:pStyle w:val="Heading3"/>
      </w:pPr>
      <w:r>
        <w:t xml:space="preserve">Chapter 233 — Terraform and Deployment Control</w:t>
      </w:r>
    </w:p>
    <w:p>
      <w:pPr>
        <w:pStyle w:val="FirstParagraph"/>
      </w:pPr>
      <w:r>
        <w:t xml:space="preserve">Terraform is desired-state code. No plan or apply occurred. Provisioning,</w:t>
      </w:r>
      <w:r>
        <w:t xml:space="preserve"> </w:t>
      </w:r>
      <w:r>
        <w:t xml:space="preserve">deployment, migration, traffic, DNS, and production operations require exact</w:t>
      </w:r>
      <w:r>
        <w:t xml:space="preserve"> </w:t>
      </w:r>
      <w:r>
        <w:t xml:space="preserve">authorization, external verification, rollback, and evidence.</w:t>
      </w:r>
    </w:p>
    <w:bookmarkEnd w:id="263"/>
    <w:bookmarkStart w:id="264" w:name="chapter-234--superseded-aws-architecture"/>
    <w:p>
      <w:pPr>
        <w:pStyle w:val="Heading3"/>
      </w:pPr>
      <w:r>
        <w:t xml:space="preserve">Chapter 234 — Superseded AWS Architecture</w:t>
      </w:r>
    </w:p>
    <w:p>
      <w:pPr>
        <w:pStyle w:val="FirstParagraph"/>
      </w:pPr>
      <w:r>
        <w:t xml:space="preserve">AWS/PM2 documents and AWS-named readiness routes remain historical artifacts</w:t>
      </w:r>
      <w:r>
        <w:t xml:space="preserve"> </w:t>
      </w:r>
      <w:r>
        <w:t xml:space="preserve">classified</w:t>
      </w:r>
      <w:r>
        <w:t xml:space="preserve"> </w:t>
      </w:r>
      <w:r>
        <w:rPr>
          <w:rStyle w:val="VerbatimChar"/>
        </w:rPr>
        <w:t xml:space="preserve">SUPERSEDED_ARCHITECTURE_HISTORY</w:t>
      </w:r>
      <w:r>
        <w:t xml:space="preserve">. They are not the current target</w:t>
      </w:r>
      <w:r>
        <w:t xml:space="preserve"> </w:t>
      </w:r>
      <w:r>
        <w:t xml:space="preserve">and must not be restored as architecture authority without a new decision.</w:t>
      </w:r>
    </w:p>
    <w:bookmarkEnd w:id="264"/>
    <w:bookmarkEnd w:id="265"/>
    <w:bookmarkStart w:id="274" w:name="X31254ebc732fcc47644ad74ed6874eb263aa06c"/>
    <w:p>
      <w:pPr>
        <w:pStyle w:val="Heading2"/>
      </w:pPr>
      <w:r>
        <w:t xml:space="preserve">Part XXIII — Testing, Governance, Phase Status, and Release Control</w:t>
      </w:r>
    </w:p>
    <w:bookmarkStart w:id="266" w:name="chapter-235--test-inventory"/>
    <w:p>
      <w:pPr>
        <w:pStyle w:val="Heading3"/>
      </w:pPr>
      <w:r>
        <w:t xml:space="preserve">Chapter 235 — Test Inventory</w:t>
      </w:r>
    </w:p>
    <w:p>
      <w:pPr>
        <w:pStyle w:val="FirstParagraph"/>
      </w:pPr>
      <w:r>
        <w:t xml:space="preserve">The evidence layer inventories 142 test/spec files: 135 security, three</w:t>
      </w:r>
      <w:r>
        <w:t xml:space="preserve"> </w:t>
      </w:r>
      <w:r>
        <w:t xml:space="preserve">checkout/payment-pilot, three end-to-end, and one privacy. File presence is not</w:t>
      </w:r>
      <w:r>
        <w:t xml:space="preserve"> </w:t>
      </w:r>
      <w:r>
        <w:t xml:space="preserve">a current pass; accepted reports record exact historical results.</w:t>
      </w:r>
    </w:p>
    <w:bookmarkEnd w:id="266"/>
    <w:bookmarkStart w:id="267" w:name="chapter-236--test-environment-safety"/>
    <w:p>
      <w:pPr>
        <w:pStyle w:val="Heading3"/>
      </w:pPr>
      <w:r>
        <w:t xml:space="preserve">Chapter 236 — Test Environment Safety</w:t>
      </w:r>
    </w:p>
    <w:p>
      <w:pPr>
        <w:pStyle w:val="FirstParagraph"/>
      </w:pPr>
      <w:r>
        <w:t xml:space="preserve">Database-backed tests require the local test-database guard and explicit</w:t>
      </w:r>
      <w:r>
        <w:t xml:space="preserve"> </w:t>
      </w:r>
      <w:r>
        <w:t xml:space="preserve">non-production target. Production databases are never test targets. Test,</w:t>
      </w:r>
      <w:r>
        <w:t xml:space="preserve"> </w:t>
      </w:r>
      <w:r>
        <w:t xml:space="preserve">simulation, and live security events remain classified separately.</w:t>
      </w:r>
    </w:p>
    <w:bookmarkEnd w:id="267"/>
    <w:bookmarkStart w:id="268" w:name="chapter-237--validation-selection"/>
    <w:p>
      <w:pPr>
        <w:pStyle w:val="Heading3"/>
      </w:pPr>
      <w:r>
        <w:t xml:space="preserve">Chapter 237 — Validation Selection</w:t>
      </w:r>
    </w:p>
    <w:p>
      <w:pPr>
        <w:pStyle w:val="FirstParagraph"/>
      </w:pPr>
      <w:r>
        <w:t xml:space="preserve">Select tests from affected routes, services, models, roles, states,</w:t>
      </w:r>
      <w:r>
        <w:t xml:space="preserve"> </w:t>
      </w:r>
      <w:r>
        <w:t xml:space="preserve">integrations, security/privacy controls, and recovery paths. Record the exact</w:t>
      </w:r>
      <w:r>
        <w:t xml:space="preserve"> </w:t>
      </w:r>
      <w:r>
        <w:t xml:space="preserve">artifact, environment class, command, outcome, and limitation.</w:t>
      </w:r>
    </w:p>
    <w:bookmarkEnd w:id="268"/>
    <w:bookmarkStart w:id="269" w:name="chapter-238--phase-status-authority"/>
    <w:p>
      <w:pPr>
        <w:pStyle w:val="Heading3"/>
      </w:pPr>
      <w:r>
        <w:t xml:space="preserve">Chapter 238 — Phase Status Authority</w:t>
      </w:r>
    </w:p>
    <w:p>
      <w:pPr>
        <w:pStyle w:val="FirstParagraph"/>
      </w:pPr>
      <w:r>
        <w:t xml:space="preserve">Formal freeze/closure outranks final accepted evidence, historical reports,</w:t>
      </w:r>
      <w:r>
        <w:t xml:space="preserve"> </w:t>
      </w:r>
      <w:r>
        <w:t xml:space="preserve">and plans for phase status. Current code remains the authority for current</w:t>
      </w:r>
      <w:r>
        <w:t xml:space="preserve"> </w:t>
      </w:r>
      <w:r>
        <w:t xml:space="preserve">implementation. Conflicts stay disclosed in the source register.</w:t>
      </w:r>
    </w:p>
    <w:bookmarkEnd w:id="269"/>
    <w:bookmarkStart w:id="270" w:name="chapter-239--phase-4-and-level-5-freeze"/>
    <w:p>
      <w:pPr>
        <w:pStyle w:val="Heading3"/>
      </w:pPr>
      <w:r>
        <w:t xml:space="preserve">Chapter 239 — Phase 4 and Level 5 Freeze</w:t>
      </w:r>
    </w:p>
    <w:p>
      <w:pPr>
        <w:pStyle w:val="FirstParagraph"/>
      </w:pPr>
      <w:r>
        <w:t xml:space="preserve">Incident cases, playbooks/approvals, reversible response, controlled</w:t>
      </w:r>
      <w:r>
        <w:t xml:space="preserve"> </w:t>
      </w:r>
      <w:r>
        <w:t xml:space="preserve">simulation, maintenance/UAT, Level 5, behavioral intelligence, and threat map</w:t>
      </w:r>
      <w:r>
        <w:t xml:space="preserve"> </w:t>
      </w:r>
      <w:r>
        <w:t xml:space="preserve">retain their accepted/frozen classifications. Optional routes do not reopen</w:t>
      </w:r>
      <w:r>
        <w:t xml:space="preserve"> </w:t>
      </w:r>
      <w:r>
        <w:t xml:space="preserve">them.</w:t>
      </w:r>
    </w:p>
    <w:bookmarkEnd w:id="270"/>
    <w:bookmarkStart w:id="271" w:name="chapter-240--phase-19-status"/>
    <w:p>
      <w:pPr>
        <w:pStyle w:val="Heading3"/>
      </w:pPr>
      <w:r>
        <w:t xml:space="preserve">Chapter 240 — Phase 19 Status</w:t>
      </w:r>
    </w:p>
    <w:p>
      <w:pPr>
        <w:pStyle w:val="FirstParagraph"/>
      </w:pPr>
      <w:r>
        <w:t xml:space="preserve">Phase 19 is</w:t>
      </w:r>
      <w:r>
        <w:t xml:space="preserve"> </w:t>
      </w:r>
      <w:r>
        <w:rPr>
          <w:rStyle w:val="VerbatimChar"/>
        </w:rPr>
        <w:t xml:space="preserve">PHASE19_COMPLETE_NO_GO_FROZEN</w:t>
      </w:r>
      <w:r>
        <w:t xml:space="preserve">. The phase is complete as a</w:t>
      </w:r>
      <w:r>
        <w:t xml:space="preserve"> </w:t>
      </w:r>
      <w:r>
        <w:t xml:space="preserve">decision/evidence program while live payment activation is prohibited. Any</w:t>
      </w:r>
      <w:r>
        <w:t xml:space="preserve"> </w:t>
      </w:r>
      <w:r>
        <w:t xml:space="preserve">future activation needs an explicit new gate.</w:t>
      </w:r>
    </w:p>
    <w:bookmarkEnd w:id="271"/>
    <w:bookmarkStart w:id="272" w:name="chapter-241--phase-19b-status"/>
    <w:p>
      <w:pPr>
        <w:pStyle w:val="Heading3"/>
      </w:pPr>
      <w:r>
        <w:t xml:space="preserve">Chapter 241 — Phase 19B Status</w:t>
      </w:r>
    </w:p>
    <w:p>
      <w:pPr>
        <w:pStyle w:val="FirstParagraph"/>
      </w:pPr>
      <w:r>
        <w:rPr>
          <w:rStyle w:val="VerbatimChar"/>
        </w:rPr>
        <w:t xml:space="preserve">PHASE19B_COMPLETE_WITH_SEPARATE_OWNER_DECISIONS_RESERVED</w:t>
      </w:r>
      <w:r>
        <w:t xml:space="preserve"> </w:t>
      </w:r>
      <w:r>
        <w:t xml:space="preserve">preserves the</w:t>
      </w:r>
      <w:r>
        <w:t xml:space="preserve"> </w:t>
      </w:r>
      <w:r>
        <w:t xml:space="preserve">Vercel/Azure direction and completed documentation/readiness decisions without</w:t>
      </w:r>
      <w:r>
        <w:t xml:space="preserve"> </w:t>
      </w:r>
      <w:r>
        <w:t xml:space="preserve">claiming deployment. Database migration and operational cutovers remain</w:t>
      </w:r>
      <w:r>
        <w:t xml:space="preserve"> </w:t>
      </w:r>
      <w:r>
        <w:t xml:space="preserve">reserved.</w:t>
      </w:r>
    </w:p>
    <w:bookmarkEnd w:id="272"/>
    <w:bookmarkStart w:id="273" w:name="X009f6bb95df425cb3744635d0e4033bbe2a9073"/>
    <w:p>
      <w:pPr>
        <w:pStyle w:val="Heading3"/>
      </w:pPr>
      <w:r>
        <w:t xml:space="preserve">Chapter 242 — Release and Change Governance</w:t>
      </w:r>
    </w:p>
    <w:p>
      <w:pPr>
        <w:pStyle w:val="FirstParagraph"/>
      </w:pPr>
      <w:r>
        <w:t xml:space="preserve">A release/change requires exact scope, artifact, approvals, tests, privacy and</w:t>
      </w:r>
      <w:r>
        <w:t xml:space="preserve"> </w:t>
      </w:r>
      <w:r>
        <w:t xml:space="preserve">security review, configuration validation, migration/cutover authority,</w:t>
      </w:r>
      <w:r>
        <w:t xml:space="preserve"> </w:t>
      </w:r>
      <w:r>
        <w:t xml:space="preserve">rollback, monitoring, evidence, and documentation updates. Readiness labels do</w:t>
      </w:r>
      <w:r>
        <w:t xml:space="preserve"> </w:t>
      </w:r>
      <w:r>
        <w:t xml:space="preserve">not replace these controls.</w:t>
      </w:r>
    </w:p>
    <w:bookmarkEnd w:id="273"/>
    <w:bookmarkEnd w:id="274"/>
    <w:bookmarkStart w:id="281" w:name="X18cd624fe81989305dd0ef03358b653c04e3fb1"/>
    <w:p>
      <w:pPr>
        <w:pStyle w:val="Heading2"/>
      </w:pPr>
      <w:r>
        <w:t xml:space="preserve">Part XXIV — Training, Handover, Limitations, and Future Change</w:t>
      </w:r>
    </w:p>
    <w:bookmarkStart w:id="275" w:name="chapter-243--user-training"/>
    <w:p>
      <w:pPr>
        <w:pStyle w:val="Heading3"/>
      </w:pPr>
      <w:r>
        <w:t xml:space="preserve">Chapter 243 — User Training</w:t>
      </w:r>
    </w:p>
    <w:p>
      <w:pPr>
        <w:pStyle w:val="FirstParagraph"/>
      </w:pPr>
      <w:r>
        <w:t xml:space="preserve">Train users by role and journey: identity/KYC, listing discovery, booking,</w:t>
      </w:r>
      <w:r>
        <w:t xml:space="preserve"> </w:t>
      </w:r>
      <w:r>
        <w:t xml:space="preserve">agreement, inspection, claim/dispute, privacy, and support. Emphasize server</w:t>
      </w:r>
      <w:r>
        <w:t xml:space="preserve"> </w:t>
      </w:r>
      <w:r>
        <w:t xml:space="preserve">state, safe evidence, known limitations, and live-payment prohibition.</w:t>
      </w:r>
    </w:p>
    <w:bookmarkEnd w:id="275"/>
    <w:bookmarkStart w:id="276" w:name="chapter-244--operator-training"/>
    <w:p>
      <w:pPr>
        <w:pStyle w:val="Heading3"/>
      </w:pPr>
      <w:r>
        <w:t xml:space="preserve">Chapter 244 — Operator Training</w:t>
      </w:r>
    </w:p>
    <w:p>
      <w:pPr>
        <w:pStyle w:val="FirstParagraph"/>
      </w:pPr>
      <w:r>
        <w:t xml:space="preserve">Train Admin, Finance, Compliance, Support, SOC, and Super Admin separately.</w:t>
      </w:r>
      <w:r>
        <w:t xml:space="preserve"> </w:t>
      </w:r>
      <w:r>
        <w:t xml:space="preserve">Exercises must preserve least privilege, separation of duties, sanitized audit,</w:t>
      </w:r>
      <w:r>
        <w:t xml:space="preserve"> </w:t>
      </w:r>
      <w:r>
        <w:t xml:space="preserve">NO-GO boundaries, and non-production safety.</w:t>
      </w:r>
    </w:p>
    <w:bookmarkEnd w:id="276"/>
    <w:bookmarkStart w:id="277" w:name="chapter-245--developer-onboarding"/>
    <w:p>
      <w:pPr>
        <w:pStyle w:val="Heading3"/>
      </w:pPr>
      <w:r>
        <w:t xml:space="preserve">Chapter 245 — Developer Onboarding</w:t>
      </w:r>
    </w:p>
    <w:p>
      <w:pPr>
        <w:pStyle w:val="FirstParagraph"/>
      </w:pPr>
      <w:r>
        <w:t xml:space="preserve">Developers begin with baseline/dirty-work ownership, source authority,</w:t>
      </w:r>
      <w:r>
        <w:t xml:space="preserve"> </w:t>
      </w:r>
      <w:r>
        <w:t xml:space="preserve">architecture layering, route/service/model maps, test guards, status vocabulary,</w:t>
      </w:r>
      <w:r>
        <w:t xml:space="preserve"> </w:t>
      </w:r>
      <w:r>
        <w:t xml:space="preserve">and separately governed decisions. They must classify transitional handlers</w:t>
      </w:r>
      <w:r>
        <w:t xml:space="preserve"> </w:t>
      </w:r>
      <w:r>
        <w:t xml:space="preserve">before editing.</w:t>
      </w:r>
    </w:p>
    <w:bookmarkEnd w:id="277"/>
    <w:bookmarkStart w:id="278" w:name="chapter-246--known-limitations"/>
    <w:p>
      <w:pPr>
        <w:pStyle w:val="Heading3"/>
      </w:pPr>
      <w:r>
        <w:t xml:space="preserve">Chapter 246 — Known Limitations</w:t>
      </w:r>
    </w:p>
    <w:p>
      <w:pPr>
        <w:pStyle w:val="FirstParagraph"/>
      </w:pPr>
      <w:r>
        <w:t xml:space="preserve">Material limitations include three SOC route shells, profile edit, provider</w:t>
      </w:r>
      <w:r>
        <w:t xml:space="preserve"> </w:t>
      </w:r>
      <w:r>
        <w:t xml:space="preserve">analytics, admin report exports, payment NO-GO, deployment/database boundaries,</w:t>
      </w:r>
      <w:r>
        <w:t xml:space="preserve"> </w:t>
      </w:r>
      <w:r>
        <w:t xml:space="preserve">transitional APIs, environment-name alignment, external provider/mobile state,</w:t>
      </w:r>
      <w:r>
        <w:t xml:space="preserve"> </w:t>
      </w:r>
      <w:r>
        <w:t xml:space="preserve">historical status conflict, and dirty-tree test scope.</w:t>
      </w:r>
    </w:p>
    <w:bookmarkEnd w:id="278"/>
    <w:bookmarkStart w:id="279" w:name="chapter-247--future-change-intake"/>
    <w:p>
      <w:pPr>
        <w:pStyle w:val="Heading3"/>
      </w:pPr>
      <w:r>
        <w:t xml:space="preserve">Chapter 247 — Future Change Intake</w:t>
      </w:r>
    </w:p>
    <w:p>
      <w:pPr>
        <w:pStyle w:val="FirstParagraph"/>
      </w:pPr>
      <w:r>
        <w:t xml:space="preserve">Future work begins with an exact accepted requirement and classification of</w:t>
      </w:r>
      <w:r>
        <w:t xml:space="preserve"> </w:t>
      </w:r>
      <w:r>
        <w:t xml:space="preserve">current capability, affected evidence, risk, permissions, data, states,</w:t>
      </w:r>
      <w:r>
        <w:t xml:space="preserve"> </w:t>
      </w:r>
      <w:r>
        <w:t xml:space="preserve">external decisions, tests, rollback, and documentation. Speculative route</w:t>
      </w:r>
      <w:r>
        <w:t xml:space="preserve"> </w:t>
      </w:r>
      <w:r>
        <w:t xml:space="preserve">names are not requirements.</w:t>
      </w:r>
    </w:p>
    <w:bookmarkEnd w:id="279"/>
    <w:bookmarkStart w:id="280" w:name="X6336737c5ac181bb939a81555afc44c6c4c4c99"/>
    <w:p>
      <w:pPr>
        <w:pStyle w:val="Heading3"/>
      </w:pPr>
      <w:r>
        <w:t xml:space="preserve">Chapter 248 — Formal Handover and Reopen Criteria</w:t>
      </w:r>
    </w:p>
    <w:p>
      <w:pPr>
        <w:pStyle w:val="FirstParagraph"/>
      </w:pPr>
      <w:r>
        <w:t xml:space="preserve">The final package hands over evidence, procedures, diagrams, claim index,</w:t>
      </w:r>
      <w:r>
        <w:t xml:space="preserve"> </w:t>
      </w:r>
      <w:r>
        <w:t xml:space="preserve">validation, hashes, renders/tooling status, archive, and reserved decisions. A</w:t>
      </w:r>
      <w:r>
        <w:t xml:space="preserve"> </w:t>
      </w:r>
      <w:r>
        <w:t xml:space="preserve">freeze reopens only for an approved factual change, identified defect,</w:t>
      </w:r>
      <w:r>
        <w:t xml:space="preserve"> </w:t>
      </w:r>
      <w:r>
        <w:t xml:space="preserve">security/privacy correction, or newly authorized operational decision.</w:t>
      </w:r>
    </w:p>
    <w:bookmarkEnd w:id="280"/>
    <w:bookmarkEnd w:id="281"/>
    <w:bookmarkStart w:id="282" w:name="appendix-a--route-and-screen-index"/>
    <w:p>
      <w:pPr>
        <w:pStyle w:val="Heading2"/>
      </w:pPr>
      <w:r>
        <w:t xml:space="preserve">Appendix A — Route and Screen Index</w:t>
      </w:r>
    </w:p>
    <w:p>
      <w:pPr>
        <w:pStyle w:val="FirstParagraph"/>
      </w:pPr>
      <w:r>
        <w:t xml:space="preserve">The authoritative route registry inventories 163 pages by public, account,</w:t>
      </w:r>
      <w:r>
        <w:t xml:space="preserve"> </w:t>
      </w:r>
      <w:r>
        <w:t xml:space="preserve">auth, marketplace, dashboard role, admin SOC, and super-admin groups:</w:t>
      </w:r>
      <w:r>
        <w:t xml:space="preserve"> </w:t>
      </w:r>
      <w:r>
        <w:rPr>
          <w:rStyle w:val="VerbatimChar"/>
        </w:rPr>
        <w:t xml:space="preserve">../00-WORKING-REGISTRIES/RENTipid_ROUTE_AND_SCREEN_REGISTRY.md</w:t>
      </w:r>
      <w:r>
        <w:t xml:space="preserve">. Presence does</w:t>
      </w:r>
      <w:r>
        <w:t xml:space="preserve"> </w:t>
      </w:r>
      <w:r>
        <w:t xml:space="preserve">not prove completion; explicit route limitations control simulations, reports,</w:t>
      </w:r>
      <w:r>
        <w:t xml:space="preserve"> </w:t>
      </w:r>
      <w:r>
        <w:t xml:space="preserve">maintenance, profile edit, provider analytics, and admin report exports.</w:t>
      </w:r>
    </w:p>
    <w:bookmarkEnd w:id="282"/>
    <w:bookmarkStart w:id="283" w:name="appendix-b--role-and-permission-matrix"/>
    <w:p>
      <w:pPr>
        <w:pStyle w:val="Heading2"/>
      </w:pPr>
      <w:r>
        <w:t xml:space="preserve">Appendix B — Role and Permission Matrix</w:t>
      </w:r>
    </w:p>
    <w:p>
      <w:pPr>
        <w:pStyle w:val="FirstParagraph"/>
      </w:pPr>
      <w:r>
        <w:t xml:space="preserve">Guest, Renter, Individual Provider, Business Provider, Admin, Finance Admin,</w:t>
      </w:r>
      <w:r>
        <w:t xml:space="preserve"> </w:t>
      </w:r>
      <w:r>
        <w:t xml:space="preserve">Compliance Admin, SOC Analyst, SOC Supervisor, and Super Admin boundaries are</w:t>
      </w:r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../00-WORKING-REGISTRIES/RENTipid_ROLE_AND_PERMISSION_REGISTRY.md</w:t>
      </w:r>
      <w:r>
        <w:t xml:space="preserve">.</w:t>
      </w:r>
      <w:r>
        <w:t xml:space="preserve"> </w:t>
      </w:r>
      <w:r>
        <w:t xml:space="preserve">Server authorization and separation of duties are mandatory.</w:t>
      </w:r>
    </w:p>
    <w:bookmarkEnd w:id="283"/>
    <w:bookmarkStart w:id="284" w:name="X8b26f331340dcdd4611e4f1684acda73cc9e172"/>
    <w:p>
      <w:pPr>
        <w:pStyle w:val="Heading2"/>
      </w:pPr>
      <w:r>
        <w:t xml:space="preserve">Appendix C — Database Model and Enum Index</w:t>
      </w:r>
    </w:p>
    <w:p>
      <w:pPr>
        <w:pStyle w:val="FirstParagraph"/>
      </w:pPr>
      <w:r>
        <w:t xml:space="preserve">The data registry groups all 79 Prisma models and lists all 29 enums:</w:t>
      </w:r>
      <w:r>
        <w:t xml:space="preserve"> </w:t>
      </w:r>
      <w:r>
        <w:rPr>
          <w:rStyle w:val="VerbatimChar"/>
        </w:rPr>
        <w:t xml:space="preserve">../00-WORKING-REGISTRIES/RENTipid_DATABASE_AND_DATA_OWNERSHIP_REGISTRY.md</w:t>
      </w:r>
      <w:r>
        <w:t xml:space="preserve">.</w:t>
      </w:r>
      <w:r>
        <w:t xml:space="preserve"> </w:t>
      </w:r>
      <w:r>
        <w:t xml:space="preserve">It records ownership and privacy boundaries without production rows.</w:t>
      </w:r>
    </w:p>
    <w:bookmarkEnd w:id="284"/>
    <w:bookmarkStart w:id="285" w:name="appendix-d--api-and-service-index"/>
    <w:p>
      <w:pPr>
        <w:pStyle w:val="Heading2"/>
      </w:pPr>
      <w:r>
        <w:t xml:space="preserve">Appendix D — API and Service Index</w:t>
      </w:r>
    </w:p>
    <w:p>
      <w:pPr>
        <w:pStyle w:val="FirstParagraph"/>
      </w:pPr>
      <w:r>
        <w:t xml:space="preserve">The API registry groups 65 root API route files and their primary service</w:t>
      </w:r>
      <w:r>
        <w:t xml:space="preserve"> </w:t>
      </w:r>
      <w:r>
        <w:t xml:space="preserve">families:</w:t>
      </w:r>
      <w:r>
        <w:t xml:space="preserve"> </w:t>
      </w:r>
      <w:r>
        <w:rPr>
          <w:rStyle w:val="VerbatimChar"/>
        </w:rPr>
        <w:t xml:space="preserve">../00-WORKING-REGISTRIES/RENTipid_API_AND_SERVICE_REGISTRY.md</w:t>
      </w:r>
      <w:r>
        <w:t xml:space="preserve">.</w:t>
      </w:r>
      <w:r>
        <w:t xml:space="preserve"> </w:t>
      </w:r>
      <w:r>
        <w:t xml:space="preserve">POST/API presence is not deployment or operational authority.</w:t>
      </w:r>
    </w:p>
    <w:bookmarkEnd w:id="285"/>
    <w:bookmarkStart w:id="286" w:name="appendix-e--configuration-name-index"/>
    <w:p>
      <w:pPr>
        <w:pStyle w:val="Heading2"/>
      </w:pPr>
      <w:r>
        <w:t xml:space="preserve">Appendix E — Configuration Name Index</w:t>
      </w:r>
    </w:p>
    <w:p>
      <w:pPr>
        <w:pStyle w:val="FirstParagraph"/>
      </w:pPr>
      <w:r>
        <w:t xml:space="preserve">The configuration registry lists permitted variable names by runtime, auth/</w:t>
      </w:r>
      <w:r>
        <w:t xml:space="preserve"> </w:t>
      </w:r>
      <w:r>
        <w:t xml:space="preserve">data, Azure, payment, security/SOC, CI, and provider category:</w:t>
      </w:r>
      <w:r>
        <w:t xml:space="preserve"> </w:t>
      </w:r>
      <w:r>
        <w:rPr>
          <w:rStyle w:val="VerbatimChar"/>
        </w:rPr>
        <w:t xml:space="preserve">../00-WORKING-REGISTRIES/RENTipid_CONFIGURATION_AND_ENVIRONMENT_REGISTRY.md</w:t>
      </w:r>
      <w:r>
        <w:t xml:space="preserve">.</w:t>
      </w:r>
      <w:r>
        <w:t xml:space="preserve"> </w:t>
      </w:r>
      <w:r>
        <w:t xml:space="preserve">Values remain excluded.</w:t>
      </w:r>
    </w:p>
    <w:bookmarkEnd w:id="286"/>
    <w:bookmarkStart w:id="287" w:name="appendix-f--workflow-and-state-index"/>
    <w:p>
      <w:pPr>
        <w:pStyle w:val="Heading2"/>
      </w:pPr>
      <w:r>
        <w:t xml:space="preserve">Appendix F — Workflow and State Index</w:t>
      </w:r>
    </w:p>
    <w:p>
      <w:pPr>
        <w:pStyle w:val="FirstParagraph"/>
      </w:pPr>
      <w:r>
        <w:t xml:space="preserve">The workflow registry maps registration, marketplace, finance, privacy, SOC,</w:t>
      </w:r>
      <w:r>
        <w:t xml:space="preserve"> </w:t>
      </w:r>
      <w:r>
        <w:t xml:space="preserve">release, Phase 19, and Phase 19B transitions:</w:t>
      </w:r>
      <w:r>
        <w:t xml:space="preserve"> </w:t>
      </w:r>
      <w:r>
        <w:rPr>
          <w:rStyle w:val="VerbatimChar"/>
        </w:rPr>
        <w:t xml:space="preserve">../00-WORKING-REGISTRIES/RENTipid_WORKFLOW_AND_STATE_TRANSITION_REGISTRY.md</w:t>
      </w:r>
      <w:r>
        <w:t xml:space="preserve">.</w:t>
      </w:r>
      <w:r>
        <w:t xml:space="preserve"> </w:t>
      </w:r>
      <w:r>
        <w:t xml:space="preserve">Service guards outrank UI labels.</w:t>
      </w:r>
    </w:p>
    <w:bookmarkEnd w:id="287"/>
    <w:bookmarkStart w:id="288" w:name="X13d8d7f026b0a253b3dc019a11644a5a29660dc"/>
    <w:p>
      <w:pPr>
        <w:pStyle w:val="Heading2"/>
      </w:pPr>
      <w:r>
        <w:t xml:space="preserve">Appendix G — Audit and Security Event Index</w:t>
      </w:r>
    </w:p>
    <w:p>
      <w:pPr>
        <w:pStyle w:val="FirstParagraph"/>
      </w:pPr>
      <w:r>
        <w:t xml:space="preserve">The audit/event registry defines audit stores, safe treatment, event sources,</w:t>
      </w:r>
      <w:r>
        <w:t xml:space="preserve"> </w:t>
      </w:r>
      <w:r>
        <w:t xml:space="preserve">lifecycle/environment, idempotency, privacy, failures, checkpoints, and the</w:t>
      </w:r>
      <w:r>
        <w:t xml:space="preserve"> </w:t>
      </w:r>
      <w:r>
        <w:t xml:space="preserve">report/export distinction:</w:t>
      </w:r>
      <w:r>
        <w:t xml:space="preserve"> </w:t>
      </w:r>
      <w:r>
        <w:rPr>
          <w:rStyle w:val="VerbatimChar"/>
        </w:rPr>
        <w:t xml:space="preserve">../00-WORKING-REGISTRIES/RENTipid_AUDIT_AND_SECURITY_EVENT_REGISTRY.md</w:t>
      </w:r>
      <w:r>
        <w:t xml:space="preserve">.</w:t>
      </w:r>
    </w:p>
    <w:bookmarkEnd w:id="288"/>
    <w:bookmarkStart w:id="289" w:name="appendix-h--security-control-index"/>
    <w:p>
      <w:pPr>
        <w:pStyle w:val="Heading2"/>
      </w:pPr>
      <w:r>
        <w:t xml:space="preserve">Appendix H — Security Control Index</w:t>
      </w:r>
    </w:p>
    <w:p>
      <w:pPr>
        <w:pStyle w:val="FirstParagraph"/>
      </w:pPr>
      <w:r>
        <w:t xml:space="preserve">The security registry maps authentication, authorization, least privilege,</w:t>
      </w:r>
      <w:r>
        <w:t xml:space="preserve"> </w:t>
      </w:r>
      <w:r>
        <w:t xml:space="preserve">uploads, telemetry, response, crypto, MFA, payment, database, cloud-identity,</w:t>
      </w:r>
      <w:r>
        <w:t xml:space="preserve"> </w:t>
      </w:r>
      <w:r>
        <w:t xml:space="preserve">supply-chain, AI, and privacy controls:</w:t>
      </w:r>
      <w:r>
        <w:t xml:space="preserve"> </w:t>
      </w:r>
      <w:r>
        <w:rPr>
          <w:rStyle w:val="VerbatimChar"/>
        </w:rPr>
        <w:t xml:space="preserve">../00-WORKING-REGISTRIES/RENTipid_SECURITY_CONTROL_REGISTRY.md</w:t>
      </w:r>
      <w:r>
        <w:t xml:space="preserve">.</w:t>
      </w:r>
    </w:p>
    <w:bookmarkEnd w:id="289"/>
    <w:bookmarkStart w:id="290" w:name="appendix-i--test-and-validation-index"/>
    <w:p>
      <w:pPr>
        <w:pStyle w:val="Heading2"/>
      </w:pPr>
      <w:r>
        <w:t xml:space="preserve">Appendix I — Test and Validation Index</w:t>
      </w:r>
    </w:p>
    <w:p>
      <w:pPr>
        <w:pStyle w:val="FirstParagraph"/>
      </w:pPr>
      <w:r>
        <w:t xml:space="preserve">The test registry records 142 test/spec files and canonical accepted suites:</w:t>
      </w:r>
      <w:r>
        <w:t xml:space="preserve"> </w:t>
      </w:r>
      <w:r>
        <w:rPr>
          <w:rStyle w:val="VerbatimChar"/>
        </w:rPr>
        <w:t xml:space="preserve">../00-WORKING-REGISTRIES/RENTipid_TEST_AND_VALIDATION_EVIDENCE_REGISTRY.md</w:t>
      </w:r>
      <w:r>
        <w:t xml:space="preserve">.</w:t>
      </w:r>
      <w:r>
        <w:t xml:space="preserve"> </w:t>
      </w:r>
      <w:r>
        <w:t xml:space="preserve">Historical checkpoint and dirty-tree limitations remain explicit.</w:t>
      </w:r>
    </w:p>
    <w:bookmarkEnd w:id="290"/>
    <w:bookmarkStart w:id="291" w:name="appendix-j--phase-and-freeze-index"/>
    <w:p>
      <w:pPr>
        <w:pStyle w:val="Heading2"/>
      </w:pPr>
      <w:r>
        <w:t xml:space="preserve">Appendix J — Phase and Freeze Index</w:t>
      </w:r>
    </w:p>
    <w:p>
      <w:pPr>
        <w:pStyle w:val="FirstParagraph"/>
      </w:pPr>
      <w:r>
        <w:t xml:space="preserve">The canonical phase/freeze register is</w:t>
      </w:r>
      <w:r>
        <w:t xml:space="preserve"> </w:t>
      </w:r>
      <w:r>
        <w:rPr>
          <w:rStyle w:val="VerbatimChar"/>
        </w:rPr>
        <w:t xml:space="preserve">../07-PHASE-HISTORY-AND-FREEZE/RENTipid_PHASE_COMPLETION_AND_FREEZE_REGISTER.md</w:t>
      </w:r>
      <w:r>
        <w:t xml:space="preserve">.</w:t>
      </w:r>
      <w:r>
        <w:t xml:space="preserve"> </w:t>
      </w:r>
      <w:r>
        <w:t xml:space="preserve">It preserves Phase 19 NO-GO, Phase 19B reserved decisions, and formal reopen</w:t>
      </w:r>
      <w:r>
        <w:t xml:space="preserve"> </w:t>
      </w:r>
      <w:r>
        <w:t xml:space="preserve">criteria.</w:t>
      </w:r>
    </w:p>
    <w:bookmarkEnd w:id="291"/>
    <w:bookmarkStart w:id="292" w:name="appendix-k--status-vocabulary"/>
    <w:p>
      <w:pPr>
        <w:pStyle w:val="Heading2"/>
      </w:pPr>
      <w:r>
        <w:t xml:space="preserve">Appendix K — Status Vocabulary</w:t>
      </w:r>
    </w:p>
    <w:p>
      <w:pPr>
        <w:pStyle w:val="FirstParagraph"/>
      </w:pPr>
      <w:r>
        <w:t xml:space="preserve">Canonical meanings and forbidden promotions are in</w:t>
      </w:r>
      <w:r>
        <w:t xml:space="preserve"> </w:t>
      </w:r>
      <w:r>
        <w:rPr>
          <w:rStyle w:val="VerbatimChar"/>
        </w:rPr>
        <w:t xml:space="preserve">../00-WORKING-REGISTRIES/RENTipid_STATUS_TERMINOLOGY_AND_CLASSIFICATION_REGISTRY.md</w:t>
      </w:r>
      <w:r>
        <w:t xml:space="preserve">.</w:t>
      </w:r>
      <w:r>
        <w:t xml:space="preserve"> </w:t>
      </w:r>
      <w:r>
        <w:t xml:space="preserve">Architecture direction and transition state remain separate.</w:t>
      </w:r>
    </w:p>
    <w:bookmarkEnd w:id="292"/>
    <w:bookmarkStart w:id="293" w:name="appendix-l--known-gaps-and-limitations"/>
    <w:p>
      <w:pPr>
        <w:pStyle w:val="Heading2"/>
      </w:pPr>
      <w:r>
        <w:t xml:space="preserve">Appendix L — Known Gaps and Limitations</w:t>
      </w:r>
    </w:p>
    <w:p>
      <w:pPr>
        <w:pStyle w:val="FirstParagraph"/>
      </w:pPr>
      <w:r>
        <w:t xml:space="preserve">GAP-001 through GAP-018 are maintained in</w:t>
      </w:r>
      <w:r>
        <w:t xml:space="preserve"> </w:t>
      </w:r>
      <w:r>
        <w:rPr>
          <w:rStyle w:val="VerbatimChar"/>
        </w:rPr>
        <w:t xml:space="preserve">../00-WORKING-REGISTRIES/RENTipid_KNOWN_GAP_AND_LIMITATION_REGISTRY.md</w:t>
      </w:r>
      <w:r>
        <w:t xml:space="preserve">.</w:t>
      </w:r>
      <w:r>
        <w:t xml:space="preserve"> </w:t>
      </w:r>
      <w:r>
        <w:t xml:space="preserve">Limitations are disclosed without incorrectly reopening approved phases.</w:t>
      </w:r>
    </w:p>
    <w:bookmarkEnd w:id="293"/>
    <w:bookmarkStart w:id="294" w:name="X87aa1a066e75033ac0dfedd625b510b5b145cb4"/>
    <w:p>
      <w:pPr>
        <w:pStyle w:val="Heading2"/>
      </w:pPr>
      <w:r>
        <w:t xml:space="preserve">Appendix M — Architecture Decision Summary</w:t>
      </w:r>
    </w:p>
    <w:p>
      <w:pPr>
        <w:pStyle w:val="FirstParagraph"/>
      </w:pPr>
      <w:r>
        <w:t xml:space="preserve">Authoritative direction:</w:t>
      </w:r>
      <w:r>
        <w:t xml:space="preserve"> </w:t>
      </w:r>
      <w:r>
        <w:rPr>
          <w:rStyle w:val="VerbatimChar"/>
        </w:rPr>
        <w:t xml:space="preserve">VERCEL_FRONTEND_WITH_AZURE_BACKEND_AND_SERVICES</w:t>
      </w:r>
      <w:r>
        <w:t xml:space="preserve">. Current repository state:</w:t>
      </w:r>
      <w:r>
        <w:t xml:space="preserve"> </w:t>
      </w:r>
      <w:r>
        <w:rPr>
          <w:rStyle w:val="VerbatimChar"/>
        </w:rPr>
        <w:t xml:space="preserve">PARTIALLY_SPLIT_IMPLEMENTATION</w:t>
      </w:r>
      <w:r>
        <w:t xml:space="preserve">. Azure provisioning/deployment authorization:</w:t>
      </w:r>
      <w:r>
        <w:t xml:space="preserve"> </w:t>
      </w:r>
      <w:r>
        <w:rPr>
          <w:rStyle w:val="VerbatimChar"/>
        </w:rPr>
        <w:t xml:space="preserve">NO</w:t>
      </w:r>
      <w:r>
        <w:t xml:space="preserve">. AWS/PM2:</w:t>
      </w:r>
      <w:r>
        <w:t xml:space="preserve"> </w:t>
      </w:r>
      <w:r>
        <w:rPr>
          <w:rStyle w:val="VerbatimChar"/>
        </w:rPr>
        <w:t xml:space="preserve">SUPERSEDED_ARCHITECTURE_HISTORY</w:t>
      </w:r>
      <w:r>
        <w:t xml:space="preserve">.</w:t>
      </w:r>
    </w:p>
    <w:bookmarkEnd w:id="294"/>
    <w:bookmarkStart w:id="295" w:name="X54e9238db8f6a3c220b344481dfc64b7b12b705"/>
    <w:p>
      <w:pPr>
        <w:pStyle w:val="Heading2"/>
      </w:pPr>
      <w:r>
        <w:t xml:space="preserve">Appendix N — Evidence and Traceability Map</w:t>
      </w:r>
    </w:p>
    <w:p>
      <w:pPr>
        <w:pStyle w:val="FirstParagraph"/>
      </w:pPr>
      <w:r>
        <w:t xml:space="preserve">Major claims map to repository paths, symbols, routes, models, tests, or</w:t>
      </w:r>
      <w:r>
        <w:t xml:space="preserve"> </w:t>
      </w:r>
      <w:r>
        <w:t xml:space="preserve">accepted reports in</w:t>
      </w:r>
      <w:r>
        <w:t xml:space="preserve"> </w:t>
      </w:r>
      <w:r>
        <w:rPr>
          <w:rStyle w:val="VerbatimChar"/>
        </w:rPr>
        <w:t xml:space="preserve">../11-EVIDENCE-AND-VALIDATION/RENTipid_DOCUMENTATION_EVIDENCE_INDEX.md</w:t>
      </w:r>
      <w:r>
        <w:t xml:space="preserve">.</w:t>
      </w:r>
      <w:r>
        <w:t xml:space="preserve"> </w:t>
      </w:r>
      <w:r>
        <w:t xml:space="preserve">Unsupported major claims are not permitted.</w:t>
      </w:r>
    </w:p>
    <w:bookmarkEnd w:id="295"/>
    <w:bookmarkStart w:id="296" w:name="X20b288320c9962acb97bf2305af3831f3e29e3c"/>
    <w:p>
      <w:pPr>
        <w:pStyle w:val="Heading2"/>
      </w:pPr>
      <w:r>
        <w:t xml:space="preserve">Appendix O — Handover, Reopen, and Decision Checklist</w:t>
      </w:r>
    </w:p>
    <w:p>
      <w:pPr>
        <w:pStyle w:val="FirstParagraph"/>
      </w:pPr>
      <w:r>
        <w:t xml:space="preserve">Before reopening documentation or a frozen capability, identify the exact</w:t>
      </w:r>
      <w:r>
        <w:t xml:space="preserve"> </w:t>
      </w:r>
      <w:r>
        <w:t xml:space="preserve">approved requirement, affected evidence IDs/chapters, status change, roles,</w:t>
      </w:r>
      <w:r>
        <w:t xml:space="preserve"> </w:t>
      </w:r>
      <w:r>
        <w:t xml:space="preserve">data, security/privacy, tests, rollback, operational authority, and approver.</w:t>
      </w:r>
      <w:r>
        <w:t xml:space="preserve"> </w:t>
      </w:r>
      <w:r>
        <w:t xml:space="preserve">Database migration, payment activation, deployment, traffic, and DNS decisions</w:t>
      </w:r>
      <w:r>
        <w:t xml:space="preserve"> </w:t>
      </w:r>
      <w:r>
        <w:t xml:space="preserve">remain separately governed until explicitly changed.</w:t>
      </w:r>
    </w:p>
    <w:bookmarkEnd w:id="296"/>
    <w:bookmarkEnd w:id="2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RENTipid Complete Master Manual</dc:title>
  <dc:creator>RENTipid</dc:creator>
  <cp:keywords/>
  <dcterms:created xsi:type="dcterms:W3CDTF">2026-07-31T15:08:39Z</dcterms:created>
  <dcterms:modified xsi:type="dcterms:W3CDTF">2026-07-31T15:08:39Z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2026-07-31</vt:lpwstr>
  </property>
</Properties>
</file>