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Municipal Budget Healthcare Impact Dashboard – Master Prompt</w:t>
      </w:r>
    </w:p>
    <w:p>
      <w:pPr>
        <w:pStyle w:val="Heading2"/>
      </w:pPr>
      <w:r>
        <w:t>Core Prompt</w:t>
      </w:r>
    </w:p>
    <w:p>
      <w:r>
        <w:t>Build a comprehensive, council-ready web-based dashboard (single-page application, pure HTML/CSS/JavaScript in one file) designed for use during live municipal budget discussions.</w:t>
      </w:r>
    </w:p>
    <w:p>
      <w:r>
        <w:t>Target Audience:</w:t>
      </w:r>
    </w:p>
    <w:p>
      <w:pPr>
        <w:pStyle w:val="ListBullet"/>
      </w:pPr>
      <w:r>
        <w:t>City Manager</w:t>
      </w:r>
    </w:p>
    <w:p>
      <w:pPr>
        <w:pStyle w:val="ListBullet"/>
      </w:pPr>
      <w:r>
        <w:t>Finance Director</w:t>
      </w:r>
    </w:p>
    <w:p>
      <w:pPr>
        <w:pStyle w:val="ListBullet"/>
      </w:pPr>
      <w:r>
        <w:t>City Council</w:t>
      </w:r>
    </w:p>
    <w:p>
      <w:r>
        <w:t>The tool must frame healthcare cost growth in terms that public employers use:</w:t>
      </w:r>
    </w:p>
    <w:p>
      <w:pPr>
        <w:pStyle w:val="ListBullet"/>
      </w:pPr>
      <w:r>
        <w:t>General Fund pressure</w:t>
      </w:r>
    </w:p>
    <w:p>
      <w:pPr>
        <w:pStyle w:val="ListBullet"/>
      </w:pPr>
      <w:r>
        <w:t>Tax rate implications (per $100 valuation)</w:t>
      </w:r>
    </w:p>
    <w:p>
      <w:pPr>
        <w:pStyle w:val="ListBullet"/>
      </w:pPr>
      <w:r>
        <w:t>Household impact</w:t>
      </w:r>
    </w:p>
    <w:p>
      <w:pPr>
        <w:pStyle w:val="ListBullet"/>
      </w:pPr>
      <w:r>
        <w:t>Reserve policy impact</w:t>
      </w:r>
    </w:p>
    <w:p>
      <w:pPr>
        <w:pStyle w:val="ListBullet"/>
      </w:pPr>
      <w:r>
        <w:t>Service tradeoffs (FTE equivalents)</w:t>
      </w:r>
    </w:p>
    <w:p>
      <w:pPr>
        <w:pStyle w:val="ListBullet"/>
      </w:pPr>
      <w:r>
        <w:t>Multi-year outlook</w:t>
      </w:r>
    </w:p>
    <w:p>
      <w:r>
        <w:t>This is not a simple calculator. It should function as a strategic budget modeling dashboard used in a council workshop.</w:t>
      </w:r>
    </w:p>
    <w:p>
      <w:pPr>
        <w:pStyle w:val="Heading2"/>
      </w:pPr>
      <w:r>
        <w:t>Functional Requirements</w:t>
      </w:r>
    </w:p>
    <w:p>
      <w:pPr>
        <w:pStyle w:val="Heading3"/>
      </w:pPr>
      <w:r>
        <w:t>1. Inputs (Single Screen, Structured Sections)</w:t>
      </w:r>
    </w:p>
    <w:p>
      <w:pPr>
        <w:pStyle w:val="Heading4"/>
      </w:pPr>
      <w:r>
        <w:t>Budget Fundamentals</w:t>
      </w:r>
    </w:p>
    <w:p>
      <w:pPr>
        <w:pStyle w:val="ListBullet"/>
      </w:pPr>
      <w:r>
        <w:t>General Fund operating budget ($)</w:t>
      </w:r>
    </w:p>
    <w:p>
      <w:pPr>
        <w:pStyle w:val="ListBullet"/>
      </w:pPr>
      <w:r>
        <w:t>Annual General Fund growth assumption (%)</w:t>
      </w:r>
    </w:p>
    <w:p>
      <w:pPr>
        <w:pStyle w:val="ListBullet"/>
      </w:pPr>
      <w:r>
        <w:t>Beginning unassigned fund balance ($)</w:t>
      </w:r>
    </w:p>
    <w:p>
      <w:pPr>
        <w:pStyle w:val="ListBullet"/>
      </w:pPr>
      <w:r>
        <w:t>Reserve policy target (% of GF)</w:t>
      </w:r>
    </w:p>
    <w:p>
      <w:pPr>
        <w:pStyle w:val="Heading4"/>
      </w:pPr>
      <w:r>
        <w:t>Tax Base</w:t>
      </w:r>
    </w:p>
    <w:p>
      <w:pPr>
        <w:pStyle w:val="ListBullet"/>
      </w:pPr>
      <w:r>
        <w:t>Total taxable value ($)</w:t>
      </w:r>
    </w:p>
    <w:p>
      <w:pPr>
        <w:pStyle w:val="ListBullet"/>
      </w:pPr>
      <w:r>
        <w:t>Annual taxable value growth (%)</w:t>
      </w:r>
    </w:p>
    <w:p>
      <w:pPr>
        <w:pStyle w:val="ListBullet"/>
      </w:pPr>
      <w:r>
        <w:t>Current M&amp;O tax rate (per $100 valuation)</w:t>
      </w:r>
    </w:p>
    <w:p>
      <w:pPr>
        <w:pStyle w:val="ListBullet"/>
      </w:pPr>
      <w:r>
        <w:t>Median taxable home value ($)</w:t>
      </w:r>
    </w:p>
    <w:p>
      <w:pPr>
        <w:pStyle w:val="ListBullet"/>
      </w:pPr>
      <w:r>
        <w:t>% of increase funded through M&amp;O (default 100%)</w:t>
      </w:r>
    </w:p>
    <w:p>
      <w:pPr>
        <w:pStyle w:val="Heading4"/>
      </w:pPr>
      <w:r>
        <w:t>Healthcare Baseline</w:t>
      </w:r>
    </w:p>
    <w:p>
      <w:pPr>
        <w:pStyle w:val="ListBullet"/>
      </w:pPr>
      <w:r>
        <w:t>Benefit-eligible employee count</w:t>
      </w:r>
    </w:p>
    <w:p>
      <w:pPr>
        <w:pStyle w:val="ListBullet"/>
      </w:pPr>
      <w:r>
        <w:t>Input mode selector (Total employer spend OR Per-employee annual cost)</w:t>
      </w:r>
    </w:p>
    <w:p>
      <w:pPr>
        <w:pStyle w:val="ListBullet"/>
      </w:pPr>
      <w:r>
        <w:t>Employer healthcare spend ($)</w:t>
      </w:r>
    </w:p>
    <w:p>
      <w:pPr>
        <w:pStyle w:val="ListBullet"/>
      </w:pPr>
      <w:r>
        <w:t>Healthcare trend assumptions for 3 scenarios (A: Status Quo, B: Improved, C: Target)</w:t>
      </w:r>
    </w:p>
    <w:p>
      <w:pPr>
        <w:pStyle w:val="Heading4"/>
      </w:pPr>
      <w:r>
        <w:t>Service Translation</w:t>
      </w:r>
    </w:p>
    <w:p>
      <w:pPr>
        <w:pStyle w:val="ListBullet"/>
      </w:pPr>
      <w:r>
        <w:t>Fully loaded cost per FTE ($)</w:t>
      </w:r>
    </w:p>
    <w:p>
      <w:pPr>
        <w:pStyle w:val="ListBullet"/>
      </w:pPr>
      <w:r>
        <w:t>Customizable service unit label (e.g., 'Police Officers')</w:t>
      </w:r>
    </w:p>
    <w:p>
      <w:pPr>
        <w:pStyle w:val="Heading4"/>
      </w:pPr>
      <w:r>
        <w:t>Projection Horizon</w:t>
      </w:r>
    </w:p>
    <w:p>
      <w:pPr>
        <w:pStyle w:val="ListBullet"/>
      </w:pPr>
      <w:r>
        <w:t>3, 5, or 10 years</w:t>
      </w:r>
    </w:p>
    <w:p>
      <w:pPr>
        <w:pStyle w:val="Heading3"/>
      </w:pPr>
      <w:r>
        <w:t>2. Calculations</w:t>
      </w:r>
    </w:p>
    <w:p>
      <w:pPr>
        <w:pStyle w:val="ListBullet"/>
      </w:pPr>
      <w:r>
        <w:t>Project healthcare spend over time</w:t>
      </w:r>
    </w:p>
    <w:p>
      <w:pPr>
        <w:pStyle w:val="ListBullet"/>
      </w:pPr>
      <w:r>
        <w:t>Calculate next-year increase</w:t>
      </w:r>
    </w:p>
    <w:p>
      <w:pPr>
        <w:pStyle w:val="ListBullet"/>
      </w:pPr>
      <w:r>
        <w:t>Calculate required tax rate increase (per $100)</w:t>
      </w:r>
    </w:p>
    <w:p>
      <w:pPr>
        <w:pStyle w:val="ListBullet"/>
      </w:pPr>
      <w:r>
        <w:t>Calculate annual household impact</w:t>
      </w:r>
    </w:p>
    <w:p>
      <w:pPr>
        <w:pStyle w:val="ListBullet"/>
      </w:pPr>
      <w:r>
        <w:t>Calculate service tradeoff equivalent</w:t>
      </w:r>
    </w:p>
    <w:p>
      <w:pPr>
        <w:pStyle w:val="ListBullet"/>
      </w:pPr>
      <w:r>
        <w:t>Model reserve drawdown if tax rate is held flat</w:t>
      </w:r>
    </w:p>
    <w:p>
      <w:pPr>
        <w:pStyle w:val="ListBullet"/>
      </w:pPr>
      <w:r>
        <w:t>Detect when reserves fall below policy floor</w:t>
      </w:r>
    </w:p>
    <w:p>
      <w:pPr>
        <w:pStyle w:val="ListBullet"/>
      </w:pPr>
      <w:r>
        <w:t>Show multi-year healthcare as % of General Fund</w:t>
      </w:r>
    </w:p>
    <w:p>
      <w:r>
        <w:t>All formulas must follow standard municipal finance logic.</w:t>
      </w:r>
    </w:p>
    <w:p>
      <w:pPr>
        <w:pStyle w:val="Heading3"/>
      </w:pPr>
      <w:r>
        <w:t>3. KPI Tiles (Top Dashboard Section)</w:t>
      </w:r>
    </w:p>
    <w:p>
      <w:pPr>
        <w:pStyle w:val="ListBullet"/>
      </w:pPr>
      <w:r>
        <w:t>Healthcare as % of General Fund (current and projected)</w:t>
      </w:r>
    </w:p>
    <w:p>
      <w:pPr>
        <w:pStyle w:val="ListBullet"/>
      </w:pPr>
      <w:r>
        <w:t>Next-Year Healthcare Increase ($)</w:t>
      </w:r>
    </w:p>
    <w:p>
      <w:pPr>
        <w:pStyle w:val="ListBullet"/>
      </w:pPr>
      <w:r>
        <w:t>Tax Rate Impact (per $100)</w:t>
      </w:r>
    </w:p>
    <w:p>
      <w:pPr>
        <w:pStyle w:val="ListBullet"/>
      </w:pPr>
      <w:r>
        <w:t>Household Impact ($/year)</w:t>
      </w:r>
    </w:p>
    <w:p>
      <w:pPr>
        <w:pStyle w:val="ListBullet"/>
      </w:pPr>
      <w:r>
        <w:t>Service Tradeoff Equivalent</w:t>
      </w:r>
    </w:p>
    <w:p>
      <w:pPr>
        <w:pStyle w:val="ListBullet"/>
      </w:pPr>
      <w:r>
        <w:t>Reserve Position vs Policy</w:t>
      </w:r>
    </w:p>
    <w:p>
      <w:r>
        <w:t>Each tile must include a bold value, contextual subtext, and a visual flag (Green / Amber / Red).</w:t>
      </w:r>
    </w:p>
    <w:p>
      <w:pPr>
        <w:pStyle w:val="Heading3"/>
      </w:pPr>
      <w:r>
        <w:t>4. Visualizations (Council-Ready)</w:t>
      </w:r>
    </w:p>
    <w:p>
      <w:pPr>
        <w:pStyle w:val="ListBullet"/>
      </w:pPr>
      <w:r>
        <w:t>Line chart: Healthcare vs General Fund projection</w:t>
      </w:r>
    </w:p>
    <w:p>
      <w:pPr>
        <w:pStyle w:val="ListBullet"/>
      </w:pPr>
      <w:r>
        <w:t>Bar chart: Tax rate &amp; household impact by scenario</w:t>
      </w:r>
    </w:p>
    <w:p>
      <w:pPr>
        <w:pStyle w:val="ListBullet"/>
      </w:pPr>
      <w:r>
        <w:t>Line chart: Reserve trajectory with policy floor line</w:t>
      </w:r>
    </w:p>
    <w:p>
      <w:pPr>
        <w:pStyle w:val="ListBullet"/>
      </w:pPr>
      <w:r>
        <w:t>Budget gap bridge chart for next-year pressure</w:t>
      </w:r>
    </w:p>
    <w:p>
      <w:r>
        <w:t>Charts must use high-contrast styling and remain readable on projector screens.</w:t>
      </w:r>
    </w:p>
    <w:p>
      <w:pPr>
        <w:pStyle w:val="Heading3"/>
      </w:pPr>
      <w:r>
        <w:t>5. Read-Aloud Summary Generator</w:t>
      </w:r>
    </w:p>
    <w:p>
      <w:r>
        <w:t>Include a dynamically generated paragraph that summarizes the impact in plain English, references the active scenario, mentions tax rate increase, household impact, service tradeoff, and reserve timeline. It must be suitable for live council discussion.</w:t>
      </w:r>
    </w:p>
    <w:p>
      <w:pPr>
        <w:pStyle w:val="Heading2"/>
      </w:pPr>
      <w:r>
        <w:t>Design Requirements</w:t>
      </w:r>
    </w:p>
    <w:p>
      <w:pPr>
        <w:pStyle w:val="ListBullet"/>
      </w:pPr>
      <w:r>
        <w:t>Dark theme with strong contrast</w:t>
      </w:r>
    </w:p>
    <w:p>
      <w:pPr>
        <w:pStyle w:val="ListBullet"/>
      </w:pPr>
      <w:r>
        <w:t>No dark fonts on dark backgrounds</w:t>
      </w:r>
    </w:p>
    <w:p>
      <w:pPr>
        <w:pStyle w:val="ListBullet"/>
      </w:pPr>
      <w:r>
        <w:t>Primary text must be pure white</w:t>
      </w:r>
    </w:p>
    <w:p>
      <w:pPr>
        <w:pStyle w:val="ListBullet"/>
      </w:pPr>
      <w:r>
        <w:t>Strong borders and visual separation</w:t>
      </w:r>
    </w:p>
    <w:p>
      <w:pPr>
        <w:pStyle w:val="ListBullet"/>
      </w:pPr>
      <w:r>
        <w:t>Professional government-grade aesthetic</w:t>
      </w:r>
    </w:p>
    <w:p>
      <w:pPr>
        <w:pStyle w:val="ListBullet"/>
      </w:pPr>
      <w:r>
        <w:t>Single self-contained HTML file</w:t>
      </w:r>
    </w:p>
    <w:p>
      <w:pPr>
        <w:pStyle w:val="ListBullet"/>
      </w:pPr>
      <w:r>
        <w:t>No external frameworks</w:t>
      </w:r>
    </w:p>
    <w:p>
      <w:pPr>
        <w:pStyle w:val="Heading2"/>
      </w:pPr>
      <w:r>
        <w:t>UX Requirements</w:t>
      </w:r>
    </w:p>
    <w:p>
      <w:pPr>
        <w:pStyle w:val="ListBullet"/>
      </w:pPr>
      <w:r>
        <w:t>Auto-recalculate on input change</w:t>
      </w:r>
    </w:p>
    <w:p>
      <w:pPr>
        <w:pStyle w:val="ListBullet"/>
      </w:pPr>
      <w:r>
        <w:t>Scenario preset dropdown</w:t>
      </w:r>
    </w:p>
    <w:p>
      <w:pPr>
        <w:pStyle w:val="ListBullet"/>
      </w:pPr>
      <w:r>
        <w:t>Reset button</w:t>
      </w:r>
    </w:p>
    <w:p>
      <w:pPr>
        <w:pStyle w:val="ListBullet"/>
      </w:pPr>
      <w:r>
        <w:t>Clear section dividers</w:t>
      </w:r>
    </w:p>
    <w:p>
      <w:pPr>
        <w:pStyle w:val="ListBullet"/>
      </w:pPr>
      <w:r>
        <w:t>Structured layout for workshop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