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tbl>
      <w:tblPr>
        <w:tblStyle w:val="TableNormal"/>
        <w:bidiVisual w:val="0"/>
        <w:tblW w:w="0" w:type="auto"/>
        <w:tblLook w:val="06A0" w:firstRow="1" w:lastRow="0" w:firstColumn="1" w:lastColumn="0" w:noHBand="1" w:noVBand="1"/>
      </w:tblPr>
      <w:tblGrid>
        <w:gridCol w:w="1365"/>
        <w:gridCol w:w="7995"/>
      </w:tblGrid>
      <w:tr w:rsidR="74C4A79D" w:rsidTr="74C4A79D" w14:paraId="0806BFF7">
        <w:trPr>
          <w:trHeight w:val="300"/>
        </w:trPr>
        <w:tc>
          <w:tcPr>
            <w:tcW w:w="1365" w:type="dxa"/>
            <w:tcBorders>
              <w:top w:val="single" w:color="C4C7C5" w:sz="6"/>
              <w:left w:val="single" w:color="C4C7C5" w:sz="6"/>
              <w:bottom w:val="single" w:color="C4C7C5" w:sz="6"/>
              <w:right w:val="single" w:color="C4C7C5" w:sz="6"/>
            </w:tcBorders>
            <w:shd w:val="clear" w:color="auto" w:fill="D9E2F3"/>
            <w:tcMar>
              <w:top w:w="120" w:type="dxa"/>
              <w:left w:w="180" w:type="dxa"/>
              <w:bottom w:w="120" w:type="dxa"/>
              <w:right w:w="180" w:type="dxa"/>
            </w:tcMar>
            <w:vAlign w:val="center"/>
          </w:tcPr>
          <w:p w:rsidR="74C4A79D" w:rsidP="74C4A79D" w:rsidRDefault="74C4A79D" w14:paraId="7258F652" w14:textId="769ACD13">
            <w:pPr>
              <w:spacing w:before="0" w:beforeAutospacing="off" w:after="0" w:afterAutospacing="off"/>
            </w:pPr>
            <w:r w:rsidRPr="74C4A79D" w:rsidR="74C4A79D">
              <w:rPr>
                <w:b w:val="1"/>
                <w:bCs w:val="1"/>
                <w:color w:val="1F1F1F"/>
              </w:rPr>
              <w:t>Field</w:t>
            </w:r>
          </w:p>
        </w:tc>
        <w:tc>
          <w:tcPr>
            <w:tcW w:w="7995" w:type="dxa"/>
            <w:tcBorders>
              <w:top w:val="single" w:color="C4C7C5" w:sz="6"/>
              <w:left w:val="single" w:color="C4C7C5" w:sz="6"/>
              <w:bottom w:val="single" w:color="C4C7C5" w:sz="6"/>
              <w:right w:val="single" w:color="C4C7C5" w:sz="6"/>
            </w:tcBorders>
            <w:shd w:val="clear" w:color="auto" w:fill="D9E2F3"/>
            <w:tcMar>
              <w:top w:w="120" w:type="dxa"/>
              <w:left w:w="180" w:type="dxa"/>
              <w:bottom w:w="120" w:type="dxa"/>
              <w:right w:w="180" w:type="dxa"/>
            </w:tcMar>
            <w:vAlign w:val="center"/>
          </w:tcPr>
          <w:p w:rsidR="74C4A79D" w:rsidP="74C4A79D" w:rsidRDefault="74C4A79D" w14:paraId="34F5AE74" w14:textId="6E48A69C">
            <w:pPr>
              <w:spacing w:before="0" w:beforeAutospacing="off" w:after="0" w:afterAutospacing="off"/>
            </w:pPr>
            <w:r w:rsidRPr="74C4A79D" w:rsidR="74C4A79D">
              <w:rPr>
                <w:b w:val="1"/>
                <w:bCs w:val="1"/>
                <w:color w:val="1F1F1F"/>
              </w:rPr>
              <w:t>Description</w:t>
            </w:r>
          </w:p>
        </w:tc>
      </w:tr>
      <w:tr w:rsidR="74C4A79D" w:rsidTr="74C4A79D" w14:paraId="201F8368">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2AF590DB" w14:textId="147E87E8">
            <w:pPr>
              <w:spacing w:before="0" w:beforeAutospacing="off" w:after="0" w:afterAutospacing="off"/>
            </w:pPr>
            <w:r w:rsidRPr="74C4A79D" w:rsidR="74C4A79D">
              <w:rPr>
                <w:b w:val="1"/>
                <w:bCs w:val="1"/>
                <w:color w:val="1F1F1F"/>
              </w:rPr>
              <w:t>ID</w:t>
            </w:r>
          </w:p>
        </w:tc>
        <w:tc>
          <w:tcPr>
            <w:tcW w:w="79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1FB02AC8" w14:textId="31BC4766">
            <w:pPr>
              <w:spacing w:before="0" w:beforeAutospacing="off" w:after="0" w:afterAutospacing="off"/>
            </w:pPr>
            <w:r w:rsidRPr="74C4A79D" w:rsidR="74C4A79D">
              <w:rPr>
                <w:color w:val="1F1F1F"/>
              </w:rPr>
              <w:t>UC-005</w:t>
            </w:r>
          </w:p>
        </w:tc>
      </w:tr>
      <w:tr w:rsidR="74C4A79D" w:rsidTr="74C4A79D" w14:paraId="1C6C45B5">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4E93E845" w14:textId="5E653416">
            <w:pPr>
              <w:spacing w:before="0" w:beforeAutospacing="off" w:after="0" w:afterAutospacing="off"/>
            </w:pPr>
            <w:r w:rsidRPr="74C4A79D" w:rsidR="74C4A79D">
              <w:rPr>
                <w:b w:val="1"/>
                <w:bCs w:val="1"/>
                <w:color w:val="1F1F1F"/>
              </w:rPr>
              <w:t>Name</w:t>
            </w:r>
          </w:p>
        </w:tc>
        <w:tc>
          <w:tcPr>
            <w:tcW w:w="79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5EF481C4" w14:textId="43F8AF5E">
            <w:pPr>
              <w:spacing w:before="0" w:beforeAutospacing="off" w:after="0" w:afterAutospacing="off"/>
            </w:pPr>
            <w:r w:rsidRPr="74C4A79D" w:rsidR="74C4A79D">
              <w:rPr>
                <w:color w:val="1F1F1F"/>
              </w:rPr>
              <w:t>Process Vehicle Exit and Charge Account</w:t>
            </w:r>
          </w:p>
        </w:tc>
      </w:tr>
      <w:tr w:rsidR="74C4A79D" w:rsidTr="74C4A79D" w14:paraId="50868369">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79CD06FA" w14:textId="6D74C992">
            <w:pPr>
              <w:spacing w:before="0" w:beforeAutospacing="off" w:after="0" w:afterAutospacing="off"/>
            </w:pPr>
            <w:r w:rsidRPr="74C4A79D" w:rsidR="74C4A79D">
              <w:rPr>
                <w:b w:val="1"/>
                <w:bCs w:val="1"/>
                <w:color w:val="1F1F1F"/>
              </w:rPr>
              <w:t>Short Description</w:t>
            </w:r>
          </w:p>
        </w:tc>
        <w:tc>
          <w:tcPr>
            <w:tcW w:w="79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218DE5F6" w14:textId="25D2D1C0">
            <w:pPr>
              <w:spacing w:before="0" w:beforeAutospacing="off" w:after="0" w:afterAutospacing="off"/>
            </w:pPr>
            <w:r w:rsidRPr="74C4A79D" w:rsidR="74C4A79D">
              <w:rPr>
                <w:color w:val="1F1F1F"/>
              </w:rPr>
              <w:t>This use case describes the automated process of a vehicle exiting an entry-and-exit-based parking lot. The system calculates the total fee based on parking duration and vehicle type, applies any relevant discounts, charges the customer's account, and opens the exit gate.</w:t>
            </w:r>
          </w:p>
        </w:tc>
      </w:tr>
      <w:tr w:rsidR="74C4A79D" w:rsidTr="74C4A79D" w14:paraId="3AAEAA32">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1F713244" w14:textId="19B36F83">
            <w:pPr>
              <w:spacing w:before="0" w:beforeAutospacing="off" w:after="0" w:afterAutospacing="off"/>
            </w:pPr>
            <w:r w:rsidRPr="74C4A79D" w:rsidR="74C4A79D">
              <w:rPr>
                <w:b w:val="1"/>
                <w:bCs w:val="1"/>
                <w:color w:val="1F1F1F"/>
              </w:rPr>
              <w:t>Goal</w:t>
            </w:r>
          </w:p>
        </w:tc>
        <w:tc>
          <w:tcPr>
            <w:tcW w:w="79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63A8CE89" w14:textId="6E36F914">
            <w:pPr>
              <w:spacing w:before="0" w:beforeAutospacing="off" w:after="0" w:afterAutospacing="off"/>
            </w:pPr>
            <w:r w:rsidRPr="74C4A79D" w:rsidR="74C4A79D">
              <w:rPr>
                <w:color w:val="1F1F1F"/>
              </w:rPr>
              <w:t>To accurately calculate the parking fee, successfully charge the customer's account, and allow the vehicle to exit the lot securely and efficiently.</w:t>
            </w:r>
          </w:p>
        </w:tc>
      </w:tr>
      <w:tr w:rsidR="74C4A79D" w:rsidTr="74C4A79D" w14:paraId="3EB735AF">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3E444030" w14:textId="2C35B3BC">
            <w:pPr>
              <w:spacing w:before="0" w:beforeAutospacing="off" w:after="0" w:afterAutospacing="off"/>
            </w:pPr>
            <w:r w:rsidRPr="74C4A79D" w:rsidR="74C4A79D">
              <w:rPr>
                <w:b w:val="1"/>
                <w:bCs w:val="1"/>
                <w:color w:val="1F1F1F"/>
              </w:rPr>
              <w:t>Preconditions</w:t>
            </w:r>
          </w:p>
        </w:tc>
        <w:tc>
          <w:tcPr>
            <w:tcW w:w="79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3394C2B2" w14:textId="33185D3E">
            <w:pPr>
              <w:spacing w:before="0" w:beforeAutospacing="off" w:after="0" w:afterAutospacing="off"/>
            </w:pPr>
            <w:r w:rsidRPr="74C4A79D" w:rsidR="74C4A79D">
              <w:rPr>
                <w:color w:val="1F1F1F"/>
              </w:rPr>
              <w:t>• The customer has a registered account and a valid vehicle permit.</w:t>
            </w:r>
          </w:p>
          <w:p w:rsidR="74C4A79D" w:rsidP="74C4A79D" w:rsidRDefault="74C4A79D" w14:paraId="5BA464E8" w14:textId="4B5208B3">
            <w:pPr>
              <w:spacing w:before="0" w:beforeAutospacing="off" w:after="0" w:afterAutospacing="off"/>
            </w:pPr>
          </w:p>
          <w:p w:rsidR="74C4A79D" w:rsidP="74C4A79D" w:rsidRDefault="74C4A79D" w14:paraId="3DF88B58" w14:textId="6C10603D">
            <w:pPr>
              <w:spacing w:before="0" w:beforeAutospacing="off" w:after="0" w:afterAutospacing="off"/>
            </w:pPr>
            <w:r w:rsidRPr="74C4A79D" w:rsidR="74C4A79D">
              <w:rPr>
                <w:color w:val="1F1F1F"/>
              </w:rPr>
              <w:t>• The vehicle is currently parked in an entry-and-exit-based parking lot.</w:t>
            </w:r>
          </w:p>
          <w:p w:rsidR="74C4A79D" w:rsidP="74C4A79D" w:rsidRDefault="74C4A79D" w14:paraId="5FE53A95" w14:textId="14DE0189">
            <w:pPr>
              <w:spacing w:before="0" w:beforeAutospacing="off" w:after="0" w:afterAutospacing="off"/>
            </w:pPr>
          </w:p>
          <w:p w:rsidR="74C4A79D" w:rsidP="74C4A79D" w:rsidRDefault="74C4A79D" w14:paraId="6693246E" w14:textId="4D8F3024">
            <w:pPr>
              <w:spacing w:before="0" w:beforeAutospacing="off" w:after="0" w:afterAutospacing="off"/>
            </w:pPr>
            <w:r w:rsidRPr="74C4A79D" w:rsidR="74C4A79D">
              <w:rPr>
                <w:color w:val="1F1F1F"/>
              </w:rPr>
              <w:t>• The system has an open, active parking session (a recorded entry timestamp) for the permit.</w:t>
            </w:r>
          </w:p>
        </w:tc>
      </w:tr>
      <w:tr w:rsidR="74C4A79D" w:rsidTr="74C4A79D" w14:paraId="6B1A6DE4">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2DB96F7F" w14:textId="7DD63FB2">
            <w:pPr>
              <w:spacing w:before="0" w:beforeAutospacing="off" w:after="0" w:afterAutospacing="off"/>
            </w:pPr>
            <w:r w:rsidRPr="74C4A79D" w:rsidR="74C4A79D">
              <w:rPr>
                <w:b w:val="1"/>
                <w:bCs w:val="1"/>
                <w:color w:val="1F1F1F"/>
              </w:rPr>
              <w:t>Success End Condition</w:t>
            </w:r>
          </w:p>
        </w:tc>
        <w:tc>
          <w:tcPr>
            <w:tcW w:w="79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34FFDEEA" w14:textId="7C361CCD">
            <w:pPr>
              <w:spacing w:before="0" w:beforeAutospacing="off" w:after="0" w:afterAutospacing="off"/>
            </w:pPr>
            <w:r w:rsidRPr="74C4A79D" w:rsidR="74C4A79D">
              <w:rPr>
                <w:color w:val="1F1F1F"/>
              </w:rPr>
              <w:t>The parking fee is accurately calculated and charged to the account, the parking session is marked as "Completed" in the database, and the exit gate opens.</w:t>
            </w:r>
          </w:p>
        </w:tc>
      </w:tr>
      <w:tr w:rsidR="74C4A79D" w:rsidTr="74C4A79D" w14:paraId="04C178D5">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2779CADD" w14:textId="40AEEF3F">
            <w:pPr>
              <w:spacing w:before="0" w:beforeAutospacing="off" w:after="0" w:afterAutospacing="off"/>
            </w:pPr>
            <w:r w:rsidRPr="74C4A79D" w:rsidR="74C4A79D">
              <w:rPr>
                <w:b w:val="1"/>
                <w:bCs w:val="1"/>
                <w:color w:val="1F1F1F"/>
              </w:rPr>
              <w:t>Fail End Condition</w:t>
            </w:r>
          </w:p>
        </w:tc>
        <w:tc>
          <w:tcPr>
            <w:tcW w:w="79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619E2B8F" w14:textId="139C639A">
            <w:pPr>
              <w:spacing w:before="0" w:beforeAutospacing="off" w:after="0" w:afterAutospacing="off"/>
            </w:pPr>
            <w:r w:rsidRPr="74C4A79D" w:rsidR="74C4A79D">
              <w:rPr>
                <w:color w:val="1F1F1F"/>
              </w:rPr>
              <w:t>The account is not charged, the session remains open, and the exit gate remains closed (requiring Parking Office intervention).</w:t>
            </w:r>
          </w:p>
        </w:tc>
      </w:tr>
      <w:tr w:rsidR="74C4A79D" w:rsidTr="74C4A79D" w14:paraId="2D4708D2">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79C5024D" w14:textId="2CED440D">
            <w:pPr>
              <w:spacing w:before="0" w:beforeAutospacing="off" w:after="0" w:afterAutospacing="off"/>
            </w:pPr>
            <w:r w:rsidRPr="74C4A79D" w:rsidR="74C4A79D">
              <w:rPr>
                <w:b w:val="1"/>
                <w:bCs w:val="1"/>
                <w:color w:val="1F1F1F"/>
              </w:rPr>
              <w:t>Stakeholder</w:t>
            </w:r>
          </w:p>
        </w:tc>
        <w:tc>
          <w:tcPr>
            <w:tcW w:w="79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34D968A8" w14:textId="0F065FAD">
            <w:pPr>
              <w:spacing w:before="0" w:beforeAutospacing="off" w:after="0" w:afterAutospacing="off"/>
            </w:pPr>
            <w:r w:rsidRPr="74C4A79D" w:rsidR="74C4A79D">
              <w:rPr>
                <w:b w:val="1"/>
                <w:bCs w:val="1"/>
                <w:color w:val="1F1F1F"/>
              </w:rPr>
              <w:t>Primary:</w:t>
            </w:r>
            <w:r w:rsidRPr="74C4A79D" w:rsidR="74C4A79D">
              <w:rPr>
                <w:color w:val="1F1F1F"/>
              </w:rPr>
              <w:t xml:space="preserve"> Customer (Driver)</w:t>
            </w:r>
          </w:p>
          <w:p w:rsidR="74C4A79D" w:rsidP="74C4A79D" w:rsidRDefault="74C4A79D" w14:paraId="66235756" w14:textId="2C7D9DBC">
            <w:pPr>
              <w:spacing w:before="0" w:beforeAutospacing="off" w:after="0" w:afterAutospacing="off"/>
            </w:pPr>
          </w:p>
          <w:p w:rsidR="74C4A79D" w:rsidP="74C4A79D" w:rsidRDefault="74C4A79D" w14:paraId="63A31FCE" w14:textId="4F29B311">
            <w:pPr>
              <w:spacing w:before="0" w:beforeAutospacing="off" w:after="0" w:afterAutospacing="off"/>
            </w:pPr>
            <w:r w:rsidRPr="74C4A79D" w:rsidR="74C4A79D">
              <w:rPr>
                <w:b w:val="1"/>
                <w:bCs w:val="1"/>
                <w:color w:val="1F1F1F"/>
              </w:rPr>
              <w:t>Secondary:</w:t>
            </w:r>
            <w:r w:rsidRPr="74C4A79D" w:rsidR="74C4A79D">
              <w:rPr>
                <w:color w:val="1F1F1F"/>
              </w:rPr>
              <w:t xml:space="preserve"> Lot Scanner (Hardware), Parking Office (Admin/Support)</w:t>
            </w:r>
          </w:p>
        </w:tc>
      </w:tr>
      <w:tr w:rsidR="74C4A79D" w:rsidTr="74C4A79D" w14:paraId="12C73C96">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0B274978" w14:textId="62FA34B0">
            <w:pPr>
              <w:spacing w:before="0" w:beforeAutospacing="off" w:after="0" w:afterAutospacing="off"/>
            </w:pPr>
            <w:r w:rsidRPr="74C4A79D" w:rsidR="74C4A79D">
              <w:rPr>
                <w:b w:val="1"/>
                <w:bCs w:val="1"/>
                <w:color w:val="1F1F1F"/>
              </w:rPr>
              <w:t>Trigger</w:t>
            </w:r>
          </w:p>
        </w:tc>
        <w:tc>
          <w:tcPr>
            <w:tcW w:w="79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21731879" w14:textId="462EB779">
            <w:pPr>
              <w:spacing w:before="0" w:beforeAutospacing="off" w:after="0" w:afterAutospacing="off"/>
            </w:pPr>
            <w:r w:rsidRPr="74C4A79D" w:rsidR="74C4A79D">
              <w:rPr>
                <w:color w:val="1F1F1F"/>
              </w:rPr>
              <w:t>The customer drives up to the exit gate and the Lot Scanner reads their permit.</w:t>
            </w:r>
          </w:p>
        </w:tc>
      </w:tr>
      <w:tr w:rsidR="74C4A79D" w:rsidTr="74C4A79D" w14:paraId="026CBD4D">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425AB282" w14:textId="0B0454E6">
            <w:pPr>
              <w:spacing w:before="0" w:beforeAutospacing="off" w:after="0" w:afterAutospacing="off"/>
            </w:pPr>
            <w:r w:rsidRPr="74C4A79D" w:rsidR="74C4A79D">
              <w:rPr>
                <w:b w:val="1"/>
                <w:bCs w:val="1"/>
                <w:color w:val="1F1F1F"/>
              </w:rPr>
              <w:t>Normal Flow</w:t>
            </w:r>
          </w:p>
        </w:tc>
        <w:tc>
          <w:tcPr>
            <w:tcW w:w="79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30EFC5D4" w14:textId="6A08DCCD">
            <w:pPr>
              <w:spacing w:before="0" w:beforeAutospacing="off" w:after="0" w:afterAutospacing="off"/>
            </w:pPr>
            <w:r w:rsidRPr="74C4A79D" w:rsidR="74C4A79D">
              <w:rPr>
                <w:color w:val="1F1F1F"/>
              </w:rPr>
              <w:t>1. The Lot Scanner reads the permit ID and transmits it to the main system.</w:t>
            </w:r>
          </w:p>
          <w:p w:rsidR="74C4A79D" w:rsidP="74C4A79D" w:rsidRDefault="74C4A79D" w14:paraId="62FBFE3D" w14:textId="50716078">
            <w:pPr>
              <w:spacing w:before="0" w:beforeAutospacing="off" w:after="0" w:afterAutospacing="off"/>
            </w:pPr>
          </w:p>
          <w:p w:rsidR="74C4A79D" w:rsidP="74C4A79D" w:rsidRDefault="74C4A79D" w14:paraId="41B2B861" w14:textId="73F19A87">
            <w:pPr>
              <w:spacing w:before="0" w:beforeAutospacing="off" w:after="0" w:afterAutospacing="off"/>
            </w:pPr>
            <w:r w:rsidRPr="74C4A79D" w:rsidR="74C4A79D">
              <w:rPr>
                <w:color w:val="1F1F1F"/>
              </w:rPr>
              <w:t>2. The system retrieves the active parking session (entry time) for the provided permit.</w:t>
            </w:r>
          </w:p>
          <w:p w:rsidR="74C4A79D" w:rsidP="74C4A79D" w:rsidRDefault="74C4A79D" w14:paraId="6BCB1DF6" w14:textId="2BCADF5A">
            <w:pPr>
              <w:spacing w:before="0" w:beforeAutospacing="off" w:after="0" w:afterAutospacing="off"/>
            </w:pPr>
          </w:p>
          <w:p w:rsidR="74C4A79D" w:rsidP="74C4A79D" w:rsidRDefault="74C4A79D" w14:paraId="5CABFC51" w14:textId="2F3BDD35">
            <w:pPr>
              <w:spacing w:before="0" w:beforeAutospacing="off" w:after="0" w:afterAutospacing="off"/>
            </w:pPr>
            <w:r w:rsidRPr="74C4A79D" w:rsidR="74C4A79D">
              <w:rPr>
                <w:color w:val="1F1F1F"/>
              </w:rPr>
              <w:t>3. The system calculates the total duration the vehicle was parked.</w:t>
            </w:r>
          </w:p>
          <w:p w:rsidR="74C4A79D" w:rsidP="74C4A79D" w:rsidRDefault="74C4A79D" w14:paraId="0DE1CF36" w14:textId="08DDC853">
            <w:pPr>
              <w:spacing w:before="0" w:beforeAutospacing="off" w:after="0" w:afterAutospacing="off"/>
            </w:pPr>
          </w:p>
          <w:p w:rsidR="74C4A79D" w:rsidP="74C4A79D" w:rsidRDefault="74C4A79D" w14:paraId="7E592406" w14:textId="0BB04FC7">
            <w:pPr>
              <w:spacing w:before="0" w:beforeAutospacing="off" w:after="0" w:afterAutospacing="off"/>
            </w:pPr>
            <w:r w:rsidRPr="74C4A79D" w:rsidR="74C4A79D">
              <w:rPr>
                <w:color w:val="1F1F1F"/>
              </w:rPr>
              <w:t>4. The system retrieves the pricing structure for the specific parking lot to calculate the base fee.</w:t>
            </w:r>
          </w:p>
          <w:p w:rsidR="74C4A79D" w:rsidP="74C4A79D" w:rsidRDefault="74C4A79D" w14:paraId="73D97446" w14:textId="0CF827D7">
            <w:pPr>
              <w:spacing w:before="0" w:beforeAutospacing="off" w:after="0" w:afterAutospacing="off"/>
            </w:pPr>
          </w:p>
          <w:p w:rsidR="74C4A79D" w:rsidP="74C4A79D" w:rsidRDefault="74C4A79D" w14:paraId="5C019644" w14:textId="6247AA01">
            <w:pPr>
              <w:spacing w:before="0" w:beforeAutospacing="off" w:after="0" w:afterAutospacing="off"/>
            </w:pPr>
            <w:r w:rsidRPr="74C4A79D" w:rsidR="74C4A79D">
              <w:rPr>
                <w:color w:val="1F1F1F"/>
              </w:rPr>
              <w:t>5. The system checks the vehicle's profile and confirms it is a standard vehicle (no discounts apply).</w:t>
            </w:r>
          </w:p>
          <w:p w:rsidR="74C4A79D" w:rsidP="74C4A79D" w:rsidRDefault="74C4A79D" w14:paraId="5371B242" w14:textId="7211C3B0">
            <w:pPr>
              <w:spacing w:before="0" w:beforeAutospacing="off" w:after="0" w:afterAutospacing="off"/>
            </w:pPr>
          </w:p>
          <w:p w:rsidR="74C4A79D" w:rsidP="74C4A79D" w:rsidRDefault="74C4A79D" w14:paraId="23B63E61" w14:textId="3A7D0C5A">
            <w:pPr>
              <w:spacing w:before="0" w:beforeAutospacing="off" w:after="0" w:afterAutospacing="off"/>
            </w:pPr>
            <w:r w:rsidRPr="74C4A79D" w:rsidR="74C4A79D">
              <w:rPr>
                <w:color w:val="1F1F1F"/>
              </w:rPr>
              <w:t>6. The system charges the calculated final fee to the customer’s registered account.</w:t>
            </w:r>
          </w:p>
          <w:p w:rsidR="74C4A79D" w:rsidP="74C4A79D" w:rsidRDefault="74C4A79D" w14:paraId="284ED811" w14:textId="30E33AF0">
            <w:pPr>
              <w:spacing w:before="0" w:beforeAutospacing="off" w:after="0" w:afterAutospacing="off"/>
            </w:pPr>
          </w:p>
          <w:p w:rsidR="74C4A79D" w:rsidP="74C4A79D" w:rsidRDefault="74C4A79D" w14:paraId="74C5E15E" w14:textId="720691EE">
            <w:pPr>
              <w:spacing w:before="0" w:beforeAutospacing="off" w:after="0" w:afterAutospacing="off"/>
            </w:pPr>
            <w:r w:rsidRPr="74C4A79D" w:rsidR="74C4A79D">
              <w:rPr>
                <w:color w:val="1F1F1F"/>
              </w:rPr>
              <w:t>7. The system signals the physical gate to open.</w:t>
            </w:r>
          </w:p>
          <w:p w:rsidR="74C4A79D" w:rsidP="74C4A79D" w:rsidRDefault="74C4A79D" w14:paraId="0A856107" w14:textId="5062710E">
            <w:pPr>
              <w:spacing w:before="0" w:beforeAutospacing="off" w:after="0" w:afterAutospacing="off"/>
            </w:pPr>
          </w:p>
          <w:p w:rsidR="74C4A79D" w:rsidP="74C4A79D" w:rsidRDefault="74C4A79D" w14:paraId="67018EB5" w14:textId="68718784">
            <w:pPr>
              <w:spacing w:before="0" w:beforeAutospacing="off" w:after="0" w:afterAutospacing="off"/>
            </w:pPr>
            <w:r w:rsidRPr="74C4A79D" w:rsidR="74C4A79D">
              <w:rPr>
                <w:color w:val="1F1F1F"/>
              </w:rPr>
              <w:t>8. The customer exits, and the system closes the parking session.</w:t>
            </w:r>
          </w:p>
        </w:tc>
      </w:tr>
      <w:tr w:rsidR="74C4A79D" w:rsidTr="74C4A79D" w14:paraId="2DFE72CB">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21C4854B" w14:textId="541C3414">
            <w:pPr>
              <w:spacing w:before="0" w:beforeAutospacing="off" w:after="0" w:afterAutospacing="off"/>
            </w:pPr>
            <w:r w:rsidRPr="74C4A79D" w:rsidR="74C4A79D">
              <w:rPr>
                <w:b w:val="1"/>
                <w:bCs w:val="1"/>
                <w:color w:val="1F1F1F"/>
              </w:rPr>
              <w:t>Alternative Flow</w:t>
            </w:r>
          </w:p>
        </w:tc>
        <w:tc>
          <w:tcPr>
            <w:tcW w:w="79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09C1B0EF" w14:textId="6984E4DA">
            <w:pPr>
              <w:spacing w:before="0" w:beforeAutospacing="off" w:after="0" w:afterAutospacing="off"/>
            </w:pPr>
            <w:r w:rsidRPr="74C4A79D" w:rsidR="74C4A79D">
              <w:rPr>
                <w:b w:val="1"/>
                <w:bCs w:val="1"/>
                <w:color w:val="1F1F1F"/>
              </w:rPr>
              <w:t>Alternative Flow A (Compact Car Discount):</w:t>
            </w:r>
            <w:r w:rsidRPr="74C4A79D" w:rsidR="74C4A79D">
              <w:rPr>
                <w:color w:val="1F1F1F"/>
              </w:rPr>
              <w:t xml:space="preserve"> In Step 5, the system identifies the vehicle profile as a "Compact Car." The system applies the predefined compact car discount (e.g., 20% off) to the base fee, then resumes at Step 6.</w:t>
            </w:r>
          </w:p>
          <w:p w:rsidR="74C4A79D" w:rsidP="74C4A79D" w:rsidRDefault="74C4A79D" w14:paraId="3406F2C5" w14:textId="55769E63">
            <w:pPr>
              <w:spacing w:before="0" w:beforeAutospacing="off" w:after="0" w:afterAutospacing="off"/>
            </w:pPr>
          </w:p>
          <w:p w:rsidR="74C4A79D" w:rsidP="74C4A79D" w:rsidRDefault="74C4A79D" w14:paraId="7CF1326E" w14:textId="4CCFBEC3">
            <w:pPr>
              <w:spacing w:before="0" w:beforeAutospacing="off" w:after="0" w:afterAutospacing="off"/>
            </w:pPr>
          </w:p>
          <w:p w:rsidR="74C4A79D" w:rsidP="74C4A79D" w:rsidRDefault="74C4A79D" w14:paraId="46EB1FB1" w14:textId="4B2BFEA0">
            <w:pPr>
              <w:spacing w:before="0" w:beforeAutospacing="off" w:after="0" w:afterAutospacing="off"/>
            </w:pPr>
            <w:r w:rsidRPr="74C4A79D" w:rsidR="74C4A79D">
              <w:rPr>
                <w:b w:val="1"/>
                <w:bCs w:val="1"/>
                <w:color w:val="1F1F1F"/>
              </w:rPr>
              <w:t>Alternative Flow B (Missing Entry Record):</w:t>
            </w:r>
            <w:r w:rsidRPr="74C4A79D" w:rsidR="74C4A79D">
              <w:rPr>
                <w:color w:val="1F1F1F"/>
              </w:rPr>
              <w:t xml:space="preserve"> In Step 2, the system cannot find an entry timestamp. The system applies the lot's default "Maximum Daily Charge" instead of an hourly rate, then resumes at Step 5.</w:t>
            </w:r>
          </w:p>
          <w:p w:rsidR="74C4A79D" w:rsidP="74C4A79D" w:rsidRDefault="74C4A79D" w14:paraId="71307E95" w14:textId="75AC1B49">
            <w:pPr>
              <w:spacing w:before="0" w:beforeAutospacing="off" w:after="0" w:afterAutospacing="off"/>
            </w:pPr>
          </w:p>
          <w:p w:rsidR="74C4A79D" w:rsidP="74C4A79D" w:rsidRDefault="74C4A79D" w14:paraId="37F44078" w14:textId="4DE76FFE">
            <w:pPr>
              <w:spacing w:before="0" w:beforeAutospacing="off" w:after="0" w:afterAutospacing="off"/>
            </w:pPr>
          </w:p>
          <w:p w:rsidR="74C4A79D" w:rsidP="74C4A79D" w:rsidRDefault="74C4A79D" w14:paraId="6B26211C" w14:textId="3866A4FF">
            <w:pPr>
              <w:spacing w:before="0" w:beforeAutospacing="off" w:after="0" w:afterAutospacing="off"/>
            </w:pPr>
            <w:r w:rsidRPr="74C4A79D" w:rsidR="74C4A79D">
              <w:rPr>
                <w:b w:val="1"/>
                <w:bCs w:val="1"/>
                <w:color w:val="1F1F1F"/>
              </w:rPr>
              <w:t>Alternative Flow C (Unreadable Permit):</w:t>
            </w:r>
            <w:r w:rsidRPr="74C4A79D" w:rsidR="74C4A79D">
              <w:rPr>
                <w:color w:val="1F1F1F"/>
              </w:rPr>
              <w:t xml:space="preserve"> In Step 1, the scanner cannot read the permit. After three failed attempts, the system alerts the Parking Office for manual override. The flow halts until admin intervention.</w:t>
            </w:r>
          </w:p>
        </w:tc>
      </w:tr>
      <w:tr w:rsidR="74C4A79D" w:rsidTr="74C4A79D" w14:paraId="1140A164">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6DEEE34D" w14:textId="4B6A23F0">
            <w:pPr>
              <w:spacing w:before="0" w:beforeAutospacing="off" w:after="0" w:afterAutospacing="off"/>
            </w:pPr>
            <w:r w:rsidRPr="74C4A79D" w:rsidR="74C4A79D">
              <w:rPr>
                <w:b w:val="1"/>
                <w:bCs w:val="1"/>
                <w:color w:val="1F1F1F"/>
              </w:rPr>
              <w:t>Includes</w:t>
            </w:r>
          </w:p>
        </w:tc>
        <w:tc>
          <w:tcPr>
            <w:tcW w:w="79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167D7CE5" w14:textId="42865F0C">
            <w:pPr>
              <w:spacing w:before="0" w:beforeAutospacing="off" w:after="0" w:afterAutospacing="off"/>
            </w:pPr>
            <w:r w:rsidRPr="74C4A79D" w:rsidR="74C4A79D">
              <w:rPr>
                <w:color w:val="1F1F1F"/>
              </w:rPr>
              <w:t>• UC-012: Calculate Parking Fee (sub-process for the math)</w:t>
            </w:r>
          </w:p>
          <w:p w:rsidR="74C4A79D" w:rsidP="74C4A79D" w:rsidRDefault="74C4A79D" w14:paraId="5AA2A855" w14:textId="1DD7502A">
            <w:pPr>
              <w:spacing w:before="0" w:beforeAutospacing="off" w:after="0" w:afterAutospacing="off"/>
            </w:pPr>
          </w:p>
          <w:p w:rsidR="74C4A79D" w:rsidP="74C4A79D" w:rsidRDefault="74C4A79D" w14:paraId="34634F8E" w14:textId="41947B7D">
            <w:pPr>
              <w:spacing w:before="0" w:beforeAutospacing="off" w:after="0" w:afterAutospacing="off"/>
            </w:pPr>
            <w:r w:rsidRPr="74C4A79D" w:rsidR="74C4A79D">
              <w:rPr>
                <w:color w:val="1F1F1F"/>
              </w:rPr>
              <w:t>• UC-013: Process Payment (sub-process for account charging)</w:t>
            </w:r>
          </w:p>
        </w:tc>
      </w:tr>
      <w:tr w:rsidR="74C4A79D" w:rsidTr="74C4A79D" w14:paraId="3C5CCC9F">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5797F423" w14:textId="6D3382D6">
            <w:pPr>
              <w:spacing w:before="0" w:beforeAutospacing="off" w:after="0" w:afterAutospacing="off"/>
            </w:pPr>
            <w:r w:rsidRPr="74C4A79D" w:rsidR="74C4A79D">
              <w:rPr>
                <w:b w:val="1"/>
                <w:bCs w:val="1"/>
                <w:color w:val="1F1F1F"/>
              </w:rPr>
              <w:t>Frequency of Use</w:t>
            </w:r>
          </w:p>
        </w:tc>
        <w:tc>
          <w:tcPr>
            <w:tcW w:w="79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25F750B2" w14:textId="72593975">
            <w:pPr>
              <w:spacing w:before="0" w:beforeAutospacing="off" w:after="0" w:afterAutospacing="off"/>
            </w:pPr>
            <w:r w:rsidRPr="74C4A79D" w:rsidR="74C4A79D">
              <w:rPr>
                <w:color w:val="1F1F1F"/>
              </w:rPr>
              <w:t>High frequency; hundreds to thousands of times per day depending on lot capacity and university class schedules.</w:t>
            </w:r>
          </w:p>
        </w:tc>
      </w:tr>
      <w:tr w:rsidR="74C4A79D" w:rsidTr="74C4A79D" w14:paraId="02911403">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2CDF0ACC" w14:textId="46D49155">
            <w:pPr>
              <w:spacing w:before="0" w:beforeAutospacing="off" w:after="0" w:afterAutospacing="off"/>
            </w:pPr>
            <w:r w:rsidRPr="74C4A79D" w:rsidR="74C4A79D">
              <w:rPr>
                <w:b w:val="1"/>
                <w:bCs w:val="1"/>
                <w:color w:val="1F1F1F"/>
              </w:rPr>
              <w:t>Constraints and Special Requirements</w:t>
            </w:r>
          </w:p>
        </w:tc>
        <w:tc>
          <w:tcPr>
            <w:tcW w:w="79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51245CE8" w14:textId="0ED47DE2">
            <w:pPr>
              <w:spacing w:before="0" w:beforeAutospacing="off" w:after="0" w:afterAutospacing="off"/>
            </w:pPr>
            <w:r w:rsidRPr="74C4A79D" w:rsidR="74C4A79D">
              <w:rPr>
                <w:color w:val="1F1F1F"/>
              </w:rPr>
              <w:t>The entire process (from scanning to gate opening) must execute in under 3 seconds to prevent traffic congestion at the exit. The system requires an active connection to the university billing subsystem.</w:t>
            </w:r>
          </w:p>
        </w:tc>
      </w:tr>
      <w:tr w:rsidR="74C4A79D" w:rsidTr="74C4A79D" w14:paraId="77C23794">
        <w:trPr>
          <w:trHeight w:val="300"/>
        </w:trPr>
        <w:tc>
          <w:tcPr>
            <w:tcW w:w="13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28481C38" w14:textId="4B309996">
            <w:pPr>
              <w:spacing w:before="0" w:beforeAutospacing="off" w:after="0" w:afterAutospacing="off"/>
            </w:pPr>
            <w:r w:rsidRPr="74C4A79D" w:rsidR="74C4A79D">
              <w:rPr>
                <w:b w:val="1"/>
                <w:bCs w:val="1"/>
                <w:color w:val="1F1F1F"/>
              </w:rPr>
              <w:t>Assumptions</w:t>
            </w:r>
          </w:p>
        </w:tc>
        <w:tc>
          <w:tcPr>
            <w:tcW w:w="79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4C4A79D" w:rsidP="74C4A79D" w:rsidRDefault="74C4A79D" w14:paraId="1AE0E4EB" w14:textId="243D0DB6">
            <w:pPr>
              <w:spacing w:before="0" w:beforeAutospacing="off" w:after="0" w:afterAutospacing="off"/>
            </w:pPr>
            <w:r w:rsidRPr="74C4A79D" w:rsidR="74C4A79D">
              <w:rPr>
                <w:color w:val="1F1F1F"/>
              </w:rPr>
              <w:t>The physical gate hardware and scanner are functioning and connected to the central network. The customer has sufficient funds or billing authorization on their account.</w:t>
            </w:r>
          </w:p>
        </w:tc>
      </w:tr>
    </w:tbl>
    <w:p w:rsidR="74C4A79D" w:rsidRDefault="74C4A79D" w14:paraId="0CEF2A3D" w14:textId="62F95534"/>
    <w:p w:rsidR="0CC9707D" w:rsidP="74C4A79D" w:rsidRDefault="0CC9707D" w14:paraId="5C177F7D" w14:textId="654BB98A">
      <w:pPr>
        <w:pStyle w:val="Heading2"/>
      </w:pPr>
      <w:r w:rsidR="0CC9707D">
        <w:rPr/>
        <w:t>Reflection:</w:t>
      </w:r>
    </w:p>
    <w:p w:rsidR="10EC19D1" w:rsidP="74C4A79D" w:rsidRDefault="10EC19D1" w14:paraId="0B2F128F" w14:textId="7B3F8D34">
      <w:pPr>
        <w:spacing w:before="240" w:beforeAutospacing="off" w:after="240" w:afterAutospacing="off"/>
      </w:pPr>
      <w:r w:rsidRPr="74C4A79D" w:rsidR="10EC19D1">
        <w:rPr>
          <w:rFonts w:ascii="Calibri" w:hAnsi="Calibri" w:eastAsia="Calibri" w:cs="Calibri"/>
          <w:noProof w:val="0"/>
          <w:sz w:val="24"/>
          <w:szCs w:val="24"/>
          <w:lang w:val="en-US"/>
        </w:rPr>
        <w:t xml:space="preserve">Coming from a background focused on secure software development and automation scripting, I found it </w:t>
      </w:r>
      <w:r w:rsidRPr="74C4A79D" w:rsidR="10EC19D1">
        <w:rPr>
          <w:rFonts w:ascii="Calibri" w:hAnsi="Calibri" w:eastAsia="Calibri" w:cs="Calibri"/>
          <w:noProof w:val="0"/>
          <w:sz w:val="24"/>
          <w:szCs w:val="24"/>
          <w:lang w:val="en-US"/>
        </w:rPr>
        <w:t>relatively easy</w:t>
      </w:r>
      <w:r w:rsidRPr="74C4A79D" w:rsidR="10EC19D1">
        <w:rPr>
          <w:rFonts w:ascii="Calibri" w:hAnsi="Calibri" w:eastAsia="Calibri" w:cs="Calibri"/>
          <w:noProof w:val="0"/>
          <w:sz w:val="24"/>
          <w:szCs w:val="24"/>
          <w:lang w:val="en-US"/>
        </w:rPr>
        <w:t xml:space="preserve"> to </w:t>
      </w:r>
      <w:r w:rsidRPr="74C4A79D" w:rsidR="10EC19D1">
        <w:rPr>
          <w:rFonts w:ascii="Calibri" w:hAnsi="Calibri" w:eastAsia="Calibri" w:cs="Calibri"/>
          <w:noProof w:val="0"/>
          <w:sz w:val="24"/>
          <w:szCs w:val="24"/>
          <w:lang w:val="en-US"/>
        </w:rPr>
        <w:t>identify</w:t>
      </w:r>
      <w:r w:rsidRPr="74C4A79D" w:rsidR="10EC19D1">
        <w:rPr>
          <w:rFonts w:ascii="Calibri" w:hAnsi="Calibri" w:eastAsia="Calibri" w:cs="Calibri"/>
          <w:noProof w:val="0"/>
          <w:sz w:val="24"/>
          <w:szCs w:val="24"/>
          <w:lang w:val="en-US"/>
        </w:rPr>
        <w:t xml:space="preserve"> the technical system boundaries and the necessary low-level interactions, such as how a </w:t>
      </w:r>
      <w:r w:rsidRPr="74C4A79D" w:rsidR="10EC19D1">
        <w:rPr>
          <w:rFonts w:ascii="Calibri" w:hAnsi="Calibri" w:eastAsia="Calibri" w:cs="Calibri"/>
          <w:noProof w:val="0"/>
          <w:sz w:val="24"/>
          <w:szCs w:val="24"/>
          <w:lang w:val="en-US"/>
        </w:rPr>
        <w:t>lot</w:t>
      </w:r>
      <w:r w:rsidRPr="74C4A79D" w:rsidR="10EC19D1">
        <w:rPr>
          <w:rFonts w:ascii="Calibri" w:hAnsi="Calibri" w:eastAsia="Calibri" w:cs="Calibri"/>
          <w:noProof w:val="0"/>
          <w:sz w:val="24"/>
          <w:szCs w:val="24"/>
          <w:lang w:val="en-US"/>
        </w:rPr>
        <w:t xml:space="preserve"> scanner communicates with a centralized billing database. However, I found it more difficult to restrain myself from over-engineering the technical "how" and instead focus purely on the "what" and "who" </w:t>
      </w:r>
      <w:r w:rsidRPr="74C4A79D" w:rsidR="10EC19D1">
        <w:rPr>
          <w:rFonts w:ascii="Calibri" w:hAnsi="Calibri" w:eastAsia="Calibri" w:cs="Calibri"/>
          <w:noProof w:val="0"/>
          <w:sz w:val="24"/>
          <w:szCs w:val="24"/>
          <w:lang w:val="en-US"/>
        </w:rPr>
        <w:t>required</w:t>
      </w:r>
      <w:r w:rsidRPr="74C4A79D" w:rsidR="10EC19D1">
        <w:rPr>
          <w:rFonts w:ascii="Calibri" w:hAnsi="Calibri" w:eastAsia="Calibri" w:cs="Calibri"/>
          <w:noProof w:val="0"/>
          <w:sz w:val="24"/>
          <w:szCs w:val="24"/>
          <w:lang w:val="en-US"/>
        </w:rPr>
        <w:t xml:space="preserve"> for the use case diagram. Stepping back to define the external actors without </w:t>
      </w:r>
      <w:r w:rsidRPr="74C4A79D" w:rsidR="10EC19D1">
        <w:rPr>
          <w:rFonts w:ascii="Calibri" w:hAnsi="Calibri" w:eastAsia="Calibri" w:cs="Calibri"/>
          <w:noProof w:val="0"/>
          <w:sz w:val="24"/>
          <w:szCs w:val="24"/>
          <w:lang w:val="en-US"/>
        </w:rPr>
        <w:t>immediately</w:t>
      </w:r>
      <w:r w:rsidRPr="74C4A79D" w:rsidR="10EC19D1">
        <w:rPr>
          <w:rFonts w:ascii="Calibri" w:hAnsi="Calibri" w:eastAsia="Calibri" w:cs="Calibri"/>
          <w:noProof w:val="0"/>
          <w:sz w:val="24"/>
          <w:szCs w:val="24"/>
          <w:lang w:val="en-US"/>
        </w:rPr>
        <w:t xml:space="preserve"> diving into the backend data structures was an adjustment.</w:t>
      </w:r>
    </w:p>
    <w:p w:rsidR="10EC19D1" w:rsidP="74C4A79D" w:rsidRDefault="10EC19D1" w14:paraId="5A46095F" w14:textId="44F23971">
      <w:pPr>
        <w:spacing w:before="240" w:beforeAutospacing="off" w:after="240" w:afterAutospacing="off"/>
      </w:pPr>
      <w:r w:rsidRPr="74C4A79D" w:rsidR="10EC19D1">
        <w:rPr>
          <w:rFonts w:ascii="Calibri" w:hAnsi="Calibri" w:eastAsia="Calibri" w:cs="Calibri"/>
          <w:noProof w:val="0"/>
          <w:sz w:val="24"/>
          <w:szCs w:val="24"/>
          <w:lang w:val="en-US"/>
        </w:rPr>
        <w:t>Mapping out the core business requirements before drawing any relationships was incredibly helpful. Breaking the system down into discrete, modular actions made populating the use case template much more manageable. Relying on structured modeling tools and iterative drafting also helped streamline the visual layout before committing to the final design.</w:t>
      </w:r>
    </w:p>
    <w:p w:rsidR="10EC19D1" w:rsidP="74C4A79D" w:rsidRDefault="10EC19D1" w14:paraId="5B8B3A2F" w14:textId="14BC664C">
      <w:pPr>
        <w:spacing w:before="240" w:beforeAutospacing="off" w:after="240" w:afterAutospacing="off"/>
      </w:pPr>
      <w:r w:rsidRPr="74C4A79D" w:rsidR="10EC19D1">
        <w:rPr>
          <w:rFonts w:ascii="Calibri" w:hAnsi="Calibri" w:eastAsia="Calibri" w:cs="Calibri"/>
          <w:noProof w:val="0"/>
          <w:sz w:val="24"/>
          <w:szCs w:val="24"/>
          <w:lang w:val="en-US"/>
        </w:rPr>
        <w:t xml:space="preserve">Before starting, I wish I had a firmer grasp on exactly how granular the alternative flows needed to be in the written documentation. In </w:t>
      </w:r>
      <w:r w:rsidRPr="74C4A79D" w:rsidR="10EC19D1">
        <w:rPr>
          <w:rFonts w:ascii="Calibri" w:hAnsi="Calibri" w:eastAsia="Calibri" w:cs="Calibri"/>
          <w:noProof w:val="0"/>
          <w:sz w:val="24"/>
          <w:szCs w:val="24"/>
          <w:lang w:val="en-US"/>
        </w:rPr>
        <w:t>previous</w:t>
      </w:r>
      <w:r w:rsidRPr="74C4A79D" w:rsidR="10EC19D1">
        <w:rPr>
          <w:rFonts w:ascii="Calibri" w:hAnsi="Calibri" w:eastAsia="Calibri" w:cs="Calibri"/>
          <w:noProof w:val="0"/>
          <w:sz w:val="24"/>
          <w:szCs w:val="24"/>
          <w:lang w:val="en-US"/>
        </w:rPr>
        <w:t xml:space="preserve"> software projects, tracking edge cases could spiral indefinitely. Realizing early on that a high-level use case description primarily needs to capture core business logic deviations</w:t>
      </w:r>
      <w:r w:rsidRPr="74C4A79D" w:rsidR="22DA82AC">
        <w:rPr>
          <w:rFonts w:ascii="Calibri" w:hAnsi="Calibri" w:eastAsia="Calibri" w:cs="Calibri"/>
          <w:noProof w:val="0"/>
          <w:sz w:val="24"/>
          <w:szCs w:val="24"/>
          <w:lang w:val="en-US"/>
        </w:rPr>
        <w:t xml:space="preserve">, </w:t>
      </w:r>
      <w:r w:rsidRPr="74C4A79D" w:rsidR="10EC19D1">
        <w:rPr>
          <w:rFonts w:ascii="Calibri" w:hAnsi="Calibri" w:eastAsia="Calibri" w:cs="Calibri"/>
          <w:noProof w:val="0"/>
          <w:sz w:val="24"/>
          <w:szCs w:val="24"/>
          <w:lang w:val="en-US"/>
        </w:rPr>
        <w:t>like missing entry records or compact car discounts</w:t>
      </w:r>
      <w:r w:rsidRPr="74C4A79D" w:rsidR="363B851D">
        <w:rPr>
          <w:rFonts w:ascii="Calibri" w:hAnsi="Calibri" w:eastAsia="Calibri" w:cs="Calibri"/>
          <w:noProof w:val="0"/>
          <w:sz w:val="24"/>
          <w:szCs w:val="24"/>
          <w:lang w:val="en-US"/>
        </w:rPr>
        <w:t xml:space="preserve">, </w:t>
      </w:r>
      <w:r w:rsidRPr="74C4A79D" w:rsidR="10EC19D1">
        <w:rPr>
          <w:rFonts w:ascii="Calibri" w:hAnsi="Calibri" w:eastAsia="Calibri" w:cs="Calibri"/>
          <w:noProof w:val="0"/>
          <w:sz w:val="24"/>
          <w:szCs w:val="24"/>
          <w:lang w:val="en-US"/>
        </w:rPr>
        <w:t xml:space="preserve">rather than every conceivable hardware failure or network timeout would have saved me some </w:t>
      </w:r>
      <w:r w:rsidRPr="74C4A79D" w:rsidR="10EC19D1">
        <w:rPr>
          <w:rFonts w:ascii="Calibri" w:hAnsi="Calibri" w:eastAsia="Calibri" w:cs="Calibri"/>
          <w:noProof w:val="0"/>
          <w:sz w:val="24"/>
          <w:szCs w:val="24"/>
          <w:lang w:val="en-US"/>
        </w:rPr>
        <w:t>initial</w:t>
      </w:r>
      <w:r w:rsidRPr="74C4A79D" w:rsidR="10EC19D1">
        <w:rPr>
          <w:rFonts w:ascii="Calibri" w:hAnsi="Calibri" w:eastAsia="Calibri" w:cs="Calibri"/>
          <w:noProof w:val="0"/>
          <w:sz w:val="24"/>
          <w:szCs w:val="24"/>
          <w:lang w:val="en-US"/>
        </w:rPr>
        <w:t xml:space="preserve"> overthinking.</w:t>
      </w:r>
    </w:p>
    <w:p w:rsidR="10EC19D1" w:rsidP="74C4A79D" w:rsidRDefault="10EC19D1" w14:paraId="267C5CDA" w14:textId="1A4CC5A1">
      <w:pPr>
        <w:spacing w:before="240" w:beforeAutospacing="off" w:after="240" w:afterAutospacing="off"/>
      </w:pPr>
      <w:r w:rsidRPr="74C4A79D" w:rsidR="10EC19D1">
        <w:rPr>
          <w:rFonts w:ascii="Calibri" w:hAnsi="Calibri" w:eastAsia="Calibri" w:cs="Calibri"/>
          <w:noProof w:val="0"/>
          <w:sz w:val="24"/>
          <w:szCs w:val="24"/>
          <w:lang w:val="en-US"/>
        </w:rPr>
        <w:t>Regarding implementation decisions, I intentionally separated the "Calculate Fee" and "Charge Account" actions into independent sub-processes that are called by the main exit use case. This decision was driven by fundamental object-oriented design principles: maintaining single responsibility and high cohesion. By decoupling the mathematical fee calculation from the billing system interaction, the architecture becomes far more adaptable. If the university changes its payment gateway in the future, the pricing calculation logic remains untouched. Additionally, choosing to frame the compact car discount as an alternative flow within the main exit sequence, rather than an entirely separate use case, ensures that the standard exit remains the baseline. This keeps the overarching model clean and sets a solid architectural foundation for the programming methods required in the next phase of the project.</w:t>
      </w:r>
    </w:p>
    <w:p w:rsidR="74C4A79D" w:rsidP="74C4A79D" w:rsidRDefault="74C4A79D" w14:paraId="3E04D1C4" w14:textId="35BBE94F">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5996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656e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6eb12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c5f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dff6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94AD8A"/>
    <w:rsid w:val="0CC9707D"/>
    <w:rsid w:val="10EC19D1"/>
    <w:rsid w:val="22DA82AC"/>
    <w:rsid w:val="303CCF45"/>
    <w:rsid w:val="303CCF45"/>
    <w:rsid w:val="363B851D"/>
    <w:rsid w:val="37C4053B"/>
    <w:rsid w:val="47232BAA"/>
    <w:rsid w:val="4B004ADA"/>
    <w:rsid w:val="6B94AD8A"/>
    <w:rsid w:val="74C4A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E2B40"/>
  <w15:chartTrackingRefBased/>
  <w15:docId w15:val="{D02A4A0B-8BE3-434E-A8E0-6514ADCDC2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4C4A79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4C4A79D"/>
    <w:pPr>
      <w:spacing/>
      <w:ind w:left="720"/>
      <w:contextualSpacing/>
    </w:pPr>
  </w:style>
  <w:style w:type="paragraph" w:styleId="Heading2">
    <w:uiPriority w:val="9"/>
    <w:name w:val="heading 2"/>
    <w:basedOn w:val="Normal"/>
    <w:next w:val="Normal"/>
    <w:unhideWhenUsed/>
    <w:qFormat/>
    <w:rsid w:val="74C4A79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e2fc079bc9241f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2026-09-19T00:14:14.9645823Z</dcterms:created>
  <dcterms:modified xsi:type="dcterms:W3CDTF">2026-09-19T00:29:24.5272822Z</dcterms:modified>
  <dc:creator>Joseph Work</dc:creator>
  <lastModifiedBy>Joseph Work</lastModifiedBy>
</coreProperties>
</file>