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 w:cs="Arial"/>
          <w:b/>
          <w:color w:val="11465E"/>
          <w:sz w:val="24"/>
        </w:rPr>
        <w:t>Grade 6 Technology · IIIT · Summative 3</w:t>
        <w:br/>
        <w:t>Narrative Data Table and Column Chart</w:t>
      </w:r>
    </w:p>
    <w:p>
      <w:pPr>
        <w:spacing w:after="40" w:before="0"/>
        <w:jc w:val="center"/>
      </w:pPr>
      <w:r>
        <w:rPr>
          <w:rFonts w:ascii="Arial" w:hAnsi="Arial" w:eastAsia="Arial" w:cs="Arial"/>
          <w:sz w:val="24"/>
        </w:rPr>
        <w:t>Official dates: 6A Oct 26; 6B Oct 28; 6C Oct 28  ·  Total: 40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cantSplit/>
        </w:trPr>
        <w:tc>
          <w:tcPr>
            <w:tcW w:type="dxa" w:w="3672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9 / 4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7 / 3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5 / 2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2 / 0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Four extracted records</w:t>
              <w:br/>
              <w:t>The fixed paragraph gives four club-and-response records.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4 records match the paragraph.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3 records match.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1-2 records match.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records match.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Data range and column chart</w:t>
              <w:br/>
              <w:t>Four checks: all four categories; exact values; selected range includes both headers; chart type is Column.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4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Chart labels</w:t>
              <w:br/>
              <w:t>Three checks: title is Club Survey Responses; horizontal axis is Club; vertical axis is Responses.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3 labels are exact.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2 labels are exact.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 label is exact.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labels are exact.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Questions and conclusion</w:t>
              <w:br/>
              <w:t>Four checks: three required answers are correct; conclusion is a complete sentence; conclusion names a club; conclusion includes a matching number.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4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Readiness and responsible work</w:t>
              <w:br/>
              <w:t>Four announced checks: own or assigned charged computer and school login ready; begins on time; uses files, measuring tools, devices, and materials responsibly; submits or returns evidence by the deadline. A forgotten or uncharged personal computer, unprepared login, lateness, or repeated responsibility reminders may lower only these 4 readiness points; academic criteria score the work itself. A documented school system, account, network, or hardware failure uses the equal fallback without deduction.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4 points</w:t>
              <w:br/>
              <w:t>All 4 checks are met, or an equal fallback is completed for a documented school-controlled failure.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3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0 points</w:t>
              <w:br/>
              <w:t>No checks are met and no usable equal fallback is completed.</w:t>
            </w:r>
          </w:p>
        </w:tc>
      </w:tr>
    </w:tbl>
    <w:p>
      <w:pPr>
        <w:spacing w:before="0" w:after="40"/>
      </w:pPr>
      <w:r>
        <w:rPr>
          <w:rFonts w:ascii="Arial" w:hAnsi="Arial" w:eastAsia="Arial" w:cs="Arial"/>
          <w:sz w:val="15"/>
        </w:rPr>
        <w:t>Teacher note: score only announced, observable evidence. Documented school-controlled failure uses the equal fallback without readiness deduction.</w:t>
      </w:r>
    </w:p>
    <w:sectPr w:rsidR="00FC693F" w:rsidRPr="0006063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