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/>
      <w:r>
        <w:rPr>
          <w:rFonts w:ascii="Arial" w:hAnsi="Arial" w:eastAsia="Arial" w:cs="Arial"/>
          <w:b/>
          <w:sz w:val="24"/>
        </w:rPr>
        <w:t>Academia Internacional David</w:t>
      </w:r>
    </w:p>
    <w:p>
      <w:pPr>
        <w:spacing w:before="0" w:after="0" w:line="240" w:lineRule="auto"/>
        <w:jc w:val="center"/>
      </w:pPr>
      <w:r/>
      <w:r>
        <w:rPr>
          <w:rFonts w:ascii="Arial" w:hAnsi="Arial" w:eastAsia="Arial" w:cs="Arial"/>
          <w:b/>
          <w:sz w:val="24"/>
        </w:rPr>
        <w:t>Robotics and Technology</w:t>
      </w:r>
    </w:p>
    <w:p>
      <w:pPr>
        <w:spacing w:before="0" w:after="0" w:line="240" w:lineRule="auto"/>
        <w:jc w:val="center"/>
      </w:pPr>
      <w:r/>
      <w:r>
        <w:rPr>
          <w:rFonts w:ascii="Arial" w:hAnsi="Arial" w:eastAsia="Arial" w:cs="Arial"/>
          <w:b/>
          <w:sz w:val="24"/>
        </w:rPr>
        <w:t>2nd Trimester — Summative #5 — Week 8 — 7th A &amp; B</w:t>
      </w:r>
    </w:p>
    <w:p>
      <w:pPr>
        <w:spacing w:before="0" w:after="0" w:line="240" w:lineRule="auto"/>
        <w:jc w:val="center"/>
      </w:pPr>
      <w:r/>
      <w:r>
        <w:rPr>
          <w:rFonts w:ascii="Arial" w:hAnsi="Arial" w:eastAsia="Arial" w:cs="Arial"/>
          <w:b/>
          <w:sz w:val="24"/>
        </w:rPr>
        <w:t>Reference Rhythm Game Code Walkthrough Presentation</w:t>
      </w:r>
    </w:p>
    <w:tbl>
      <w:tblPr>
        <w:tblStyle w:val="TableGrid"/>
        <w:tblW w:type="dxa" w:w="11400"/>
        <w:tblLayout w:type="fixed"/>
        <w:tblLook w:firstColumn="1" w:firstRow="1" w:lastColumn="0" w:lastRow="0" w:noHBand="0" w:noVBand="1" w:val="04A0"/>
      </w:tblPr>
      <w:tblGrid>
        <w:gridCol w:w="5700"/>
        <w:gridCol w:w="5700"/>
      </w:tblGrid>
      <w:tr>
        <w:tc>
          <w:tcPr>
            <w:tcW w:type="dxa" w:w="57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57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Date: __________________   Group: 7° A B</w:t>
            </w:r>
          </w:p>
        </w:tc>
      </w:tr>
      <w:tr>
        <w:tc>
          <w:tcPr>
            <w:tcW w:type="dxa" w:w="57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Teacher: Porfirio Rios</w:t>
            </w:r>
          </w:p>
        </w:tc>
        <w:tc>
          <w:tcPr>
            <w:tcW w:type="dxa" w:w="57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Score: _____ / 40 pts</w:t>
            </w:r>
          </w:p>
        </w:tc>
      </w:tr>
    </w:tbl>
    <w:p>
      <w:pPr>
        <w:spacing w:before="0" w:after="0" w:line="240" w:lineRule="auto"/>
        <w:jc w:val="left"/>
      </w:pPr>
      <w:r/>
      <w:r>
        <w:rPr>
          <w:rFonts w:ascii="Arial" w:hAnsi="Arial" w:eastAsia="Arial" w:cs="Arial"/>
          <w:b w:val="0"/>
          <w:sz w:val="24"/>
        </w:rPr>
        <w:t>Task: Demonstrate the teacher-provided D/F/J/K rhythm game, explain the assigned component and at least two connected scripts, connect the code to visible behavior, and answer one teacher question.</w:t>
      </w:r>
    </w:p>
    <w:tbl>
      <w:tblPr>
        <w:tblStyle w:val="TableGrid"/>
        <w:tblW w:type="dxa" w:w="11400"/>
        <w:tblLayout w:type="fixed"/>
        <w:tblLook w:firstColumn="1" w:firstRow="1" w:lastColumn="0" w:lastRow="0" w:noHBand="0" w:noVBand="1" w:val="04A0"/>
      </w:tblPr>
      <w:tblGrid>
        <w:gridCol w:w="2100"/>
        <w:gridCol w:w="2325"/>
        <w:gridCol w:w="2325"/>
        <w:gridCol w:w="2325"/>
        <w:gridCol w:w="2325"/>
      </w:tblGrid>
      <w:tr>
        <w:trPr>
          <w:tblHeader w:val="true"/>
        </w:trPr>
        <w:tc>
          <w:tcPr>
            <w:tcW w:type="dxa" w:w="2100"/>
            <w:vAlign w:val="center"/>
            <w:shd w:fill="D9EAD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sz w:val="24"/>
              </w:rPr>
              <w:t>Criteria</w:t>
            </w:r>
          </w:p>
        </w:tc>
        <w:tc>
          <w:tcPr>
            <w:tcW w:type="dxa" w:w="2325"/>
            <w:vAlign w:val="center"/>
            <w:shd w:fill="D9EAD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sz w:val="24"/>
              </w:rPr>
              <w:t>9</w:t>
            </w:r>
          </w:p>
        </w:tc>
        <w:tc>
          <w:tcPr>
            <w:tcW w:type="dxa" w:w="2325"/>
            <w:vAlign w:val="center"/>
            <w:shd w:fill="D9EAD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sz w:val="24"/>
              </w:rPr>
              <w:t>7</w:t>
            </w:r>
          </w:p>
        </w:tc>
        <w:tc>
          <w:tcPr>
            <w:tcW w:type="dxa" w:w="2325"/>
            <w:vAlign w:val="center"/>
            <w:shd w:fill="D9EAD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sz w:val="24"/>
              </w:rPr>
              <w:t>5</w:t>
            </w:r>
          </w:p>
        </w:tc>
        <w:tc>
          <w:tcPr>
            <w:tcW w:type="dxa" w:w="2325"/>
            <w:vAlign w:val="center"/>
            <w:shd w:fill="D9EAD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sz w:val="24"/>
              </w:rPr>
              <w:t>2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/>
                <w:sz w:val="24"/>
              </w:rPr>
              <w:t>Live demonstration and component identification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Game runs; assigned sprites, variables, and purpose are identified accurately.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Game runs and most assigned parts are identified; one detail is unclear.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Demonstration or identification is incomplete; several details are unclear.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Game is not demonstrated or assigned parts are not identified.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/>
                <w:sz w:val="24"/>
              </w:rPr>
              <w:t>Connected-script explanation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Explains at least 2 connected scripts from event or broadcast to condition, variable change, and visible output.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Explains 2 connected scripts with one missing or unclear connection.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Explains part of 1 or 2 scripts, but the code-to-output connection is limited.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Connected-script logic is missing or mostly incorrect.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/>
                <w:sz w:val="24"/>
              </w:rPr>
              <w:t>Whole-game connection and vocabulary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Explains how the component affects gameplay and correctly uses at least 4 terms: event, broadcast, target, lane, collision, score, time, tempo.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Explains the gameplay connection and correctly uses 3 terms.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Gives a partial gameplay connection and correctly uses 1 or 2 terms.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Gameplay connection is missing or technical vocabulary is not used accurately.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/>
                <w:sz w:val="24"/>
              </w:rPr>
              <w:t>Communication and teacher question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Presents for about 2 minutes in understandable English, uses the live project or code map, and answers the teacher question accurately.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Presentation is understandable and the question is answered with one minor omission.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Presentation depends heavily on reading or the answer is incomplete.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Presentation or teacher-question response is missing.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shd w:fill="D9EAD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sz w:val="24"/>
              </w:rPr>
              <w:t>Criteria</w:t>
            </w:r>
          </w:p>
        </w:tc>
        <w:tc>
          <w:tcPr>
            <w:tcW w:type="dxa" w:w="2325"/>
            <w:vAlign w:val="center"/>
            <w:shd w:fill="D9EAD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sz w:val="24"/>
              </w:rPr>
              <w:t>4</w:t>
            </w:r>
          </w:p>
        </w:tc>
        <w:tc>
          <w:tcPr>
            <w:tcW w:type="dxa" w:w="2325"/>
            <w:vAlign w:val="center"/>
            <w:shd w:fill="D9EAD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sz w:val="24"/>
              </w:rPr>
              <w:t>3</w:t>
            </w:r>
          </w:p>
        </w:tc>
        <w:tc>
          <w:tcPr>
            <w:tcW w:type="dxa" w:w="2325"/>
            <w:vAlign w:val="center"/>
            <w:shd w:fill="D9EAD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sz w:val="24"/>
              </w:rPr>
              <w:t>2</w:t>
            </w:r>
          </w:p>
        </w:tc>
        <w:tc>
          <w:tcPr>
            <w:tcW w:type="dxa" w:w="2325"/>
            <w:vAlign w:val="center"/>
            <w:shd w:fill="D9EAD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sz w:val="24"/>
              </w:rPr>
              <w:t>0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/>
                <w:sz w:val="24"/>
              </w:rPr>
              <w:t>Punctuality, Readiness &amp; Respect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Presents on time; project and code map are ready; class time, equipment, and audience expectations are handled responsibly.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Ready and on time with one minor preparation or responsibility issue.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Presentation occurs, but readiness, timing, or respectful participation is inconsistent.</w:t>
            </w:r>
          </w:p>
        </w:tc>
        <w:tc>
          <w:tcPr>
            <w:tcW w:type="dxa" w:w="23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Presentation evidence is not submitted or readiness and responsibility prevent evaluation.</w:t>
            </w:r>
          </w:p>
        </w:tc>
      </w:tr>
      <w:tr>
        <w:tc>
          <w:tcPr>
            <w:tcW w:type="dxa" w:w="11400"/>
            <w:gridSpan w:val="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Comments:</w:t>
              <w:br/>
              <w:br/>
            </w:r>
          </w:p>
        </w:tc>
      </w:tr>
    </w:tbl>
    <w:sectPr w:rsidR="00FC693F" w:rsidRPr="0006063C" w:rsidSect="00034616">
      <w:pgSz w:w="16838" w:h="11906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