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mBlock Interface Labeling Check</w:t>
      </w:r>
    </w:p>
    <w:p>
      <w:pPr>
        <w:jc w:val="center"/>
      </w:pPr>
      <w:r>
        <w:t>7th Grade - IT - Week 2 -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mBlock workspace areas and explain how block programs become robot instructions.</w:t>
      </w:r>
    </w:p>
    <w:p>
      <w:pPr>
        <w:pStyle w:val="Heading1"/>
        <w:spacing w:before="160" w:after="80"/>
      </w:pPr>
      <w:r>
        <w:t>Part A - Interface Labels (18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Workspace Area to Label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Student Label / 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Sprites/stage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Blocks palette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Scripts/code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Events blocks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Motion blocks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Device/connection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Match the Tool to the Job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Question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do you drag blocks to build a program?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Which block type usually starts a program?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do you check if the mBot is connected?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Which block type helps a robot or sprite move?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can you see what a sprite does on screen?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C - Explanation (12 pts)</w:t>
      </w:r>
    </w:p>
    <w:p>
      <w:r>
        <w:t>12. Explain how blocks become robot instructions. Use the words block, sequence, program, and mBot.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13. Why is the order of blocks important? Give one example.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