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Study Guide: Sensor Threshold Quiz-Style Check</w:t>
      </w:r>
    </w:p>
    <w:p>
      <w:pPr>
        <w:jc w:val="center"/>
      </w:pPr>
      <w:r>
        <w:t>9th Grade - IT - Week 6 - Summative 3</w:t>
      </w:r>
    </w:p>
    <w:p>
      <w:pPr>
        <w:pStyle w:val="Heading1"/>
        <w:spacing w:before="140" w:after="40"/>
      </w:pPr>
      <w:r>
        <w:t>What To Know</w:t>
      </w:r>
    </w:p>
    <w:p>
      <w:pPr>
        <w:spacing w:after="20"/>
        <w:ind w:left="259" w:hanging="259"/>
      </w:pPr>
      <w:r>
        <w:t>- How sensor readings connect to conditions.</w:t>
      </w:r>
    </w:p>
    <w:p>
      <w:pPr>
        <w:spacing w:after="20"/>
        <w:ind w:left="259" w:hanging="259"/>
      </w:pPr>
      <w:r>
        <w:t>- How to choose and justify a threshold.</w:t>
      </w:r>
    </w:p>
    <w:p>
      <w:pPr>
        <w:spacing w:after="20"/>
        <w:ind w:left="259" w:hanging="259"/>
      </w:pPr>
      <w:r>
        <w:t>- How threshold choices affect reliability.</w:t>
      </w:r>
    </w:p>
    <w:p>
      <w:pPr>
        <w:pStyle w:val="Heading1"/>
        <w:spacing w:before="140" w:after="40"/>
      </w:pPr>
      <w: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What I should remember</w:t>
            </w:r>
          </w:p>
        </w:tc>
      </w:tr>
      <w:tr>
        <w:tc>
          <w:tcPr>
            <w:tcW w:type="dxa" w:w="5040"/>
            <w:vAlign w:val="center"/>
          </w:tcPr>
          <w:p>
            <w:r>
              <w:t>sensor reading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threshold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condition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if/then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output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reliability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test case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</w:tbl>
    <w:p>
      <w:pPr>
        <w:pStyle w:val="Heading1"/>
        <w:spacing w:before="140" w:after="40"/>
      </w:pPr>
      <w:r>
        <w:t>Worked Example</w:t>
      </w:r>
    </w:p>
    <w:p>
      <w:r>
        <w:t>If dark readings are around 120-240 and bright readings are above 310, a threshold around 300 can separate dark from bright. Rule: if reading &lt; 300, turn LED on.</w:t>
      </w:r>
    </w:p>
    <w:p>
      <w:pPr>
        <w:pStyle w:val="Heading1"/>
        <w:spacing w:before="140" w:after="40"/>
      </w:pPr>
      <w:r>
        <w:t>Practice Before The Assessment</w:t>
      </w:r>
    </w:p>
    <w:p>
      <w:pPr>
        <w:spacing w:after="20"/>
        <w:ind w:left="259" w:hanging="259"/>
      </w:pPr>
      <w:r>
        <w:t>- Choose a threshold from a reading table.</w:t>
      </w:r>
    </w:p>
    <w:p>
      <w:pPr>
        <w:spacing w:after="20"/>
        <w:ind w:left="259" w:hanging="259"/>
      </w:pPr>
      <w:r>
        <w:t>- Predict outputs using your rule.</w:t>
      </w:r>
    </w:p>
    <w:p>
      <w:pPr>
        <w:spacing w:after="20"/>
        <w:ind w:left="259" w:hanging="259"/>
      </w:pPr>
      <w:r>
        <w:t>- Explain what happens if the threshold is too high or too low.</w:t>
      </w:r>
    </w:p>
    <w:p>
      <w:pPr>
        <w:pStyle w:val="Heading1"/>
        <w:spacing w:before="140" w:after="40"/>
      </w:pPr>
      <w:r>
        <w:t>Assessment-Day Checklist</w:t>
      </w:r>
    </w:p>
    <w:p>
      <w:pPr>
        <w:spacing w:after="20"/>
        <w:ind w:left="259" w:hanging="259"/>
      </w:pPr>
      <w:r>
        <w:t>- Use the data table.</w:t>
      </w:r>
    </w:p>
    <w:p>
      <w:pPr>
        <w:spacing w:after="20"/>
        <w:ind w:left="259" w:hanging="259"/>
      </w:pPr>
      <w:r>
        <w:t>- Write a clear if/then rule.</w:t>
      </w:r>
    </w:p>
    <w:p>
      <w:pPr>
        <w:spacing w:after="20"/>
        <w:ind w:left="259" w:hanging="259"/>
      </w:pPr>
      <w:r>
        <w:t>- Keep predictions consistent.</w:t>
      </w:r>
    </w:p>
    <w:p>
      <w:pPr>
        <w:spacing w:after="20"/>
        <w:ind w:left="259" w:hanging="259"/>
      </w:pPr>
      <w:r>
        <w:t>- Justify reliability.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