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334155"/>
          <w:sz w:val="22"/>
        </w:rPr>
        <w:t>UNIVERSIDAD AUTÓNOMA GABRIEL RENÉ MORENO</w:t>
        <w:br/>
        <w:t>FACULTAD DE INGENIERÍA EN CIENCIAS DE LA COMPUTACIÓN Y TELECOMUNICACIONES</w:t>
      </w:r>
    </w:p>
    <w:p>
      <w:pPr>
        <w:spacing w:before="400" w:after="160"/>
        <w:jc w:val="center"/>
      </w:pPr>
      <w:r>
        <w:rPr>
          <w:rFonts w:ascii="Calibri" w:hAnsi="Calibri"/>
          <w:b/>
          <w:color w:val="4338CA"/>
          <w:sz w:val="40"/>
        </w:rPr>
        <w:t>DOCUMENTACIÓN DE ANÁLISIS DE CLASES (UML 2.5+ / PUDS)</w:t>
        <w:br/>
        <w:t>REALIZACIÓN DE CASOS DE USO (PATRÓN BCE)</w:t>
      </w:r>
    </w:p>
    <w:p>
      <w:pPr>
        <w:jc w:val="center"/>
      </w:pPr>
      <w:r>
        <w:rPr>
          <w:rFonts w:ascii="Calibri" w:hAnsi="Calibri"/>
          <w:i/>
          <w:color w:val="475569"/>
          <w:sz w:val="26"/>
        </w:rPr>
        <w:t>Plataforma de Comercio Electrónico para Tienda de Ropa con Vestidor Virtual (FashionStore)</w:t>
      </w:r>
    </w:p>
    <w:p>
      <w:pPr>
        <w:spacing w:before="300" w:after="500"/>
        <w:jc w:val="center"/>
      </w:pPr>
      <w:r>
        <w:rPr>
          <w:rFonts w:ascii="Calibri" w:hAnsi="Calibri"/>
          <w:color w:val="1E293B"/>
          <w:sz w:val="21"/>
        </w:rPr>
        <w:t>Materia: Sistemas de Información II (Semestre 2-2026)</w:t>
        <w:br/>
        <w:t>Docente: MSc. Ing. Angélica Garzón Cuéllar</w:t>
        <w:br/>
        <w:t>Grupo: #29</w:t>
        <w:br/>
        <w:t>Integrantes: Condori Diaz Marilyn Esther &amp; Larrazabal Rojas Julio Cesar</w:t>
      </w:r>
    </w:p>
    <w:p>
      <w:r>
        <w:br w:type="page"/>
      </w:r>
    </w:p>
    <w:p>
      <w:pPr>
        <w:pStyle w:val="Heading1"/>
        <w:spacing w:before="200" w:after="160"/>
      </w:pPr>
      <w:r>
        <w:t>1. Marco Metodológico: Análisis de Clases (Patrón BCE)</w:t>
      </w:r>
    </w:p>
    <w:p>
      <w:pPr>
        <w:spacing w:line="276" w:lineRule="auto"/>
      </w:pPr>
      <w:r>
        <w:t>En el Proceso Unificado de Desarrollo de Software (PUDS), el flujo de Análisis tiene como propósito transformar la captura de requisitos (casos de uso) en una arquitectura preliminar de objetos antes de pasar al diseño técnico de implementación. Siguiendo el estándar de Robustez de Jacobson / ICONIX, cada caso de uso se descompone en tres estereotipos esenciales de clases:</w:t>
        <w:br/>
        <w:br/>
      </w:r>
    </w:p>
    <w:p>
      <w:pPr>
        <w:spacing w:after="80"/>
        <w:ind w:left="360"/>
      </w:pPr>
      <w:r>
        <w:rPr>
          <w:b/>
          <w:color w:val="4338CA"/>
        </w:rPr>
        <w:t xml:space="preserve">• Interfaz / Boundary (IU_*): </w:t>
      </w:r>
      <w:r>
        <w:t>Representa las pantallas, formularios, grillas y diálogos mediante los cuales los actores interactúan con el sistema. Modela los controles de interfaz gráfica (+lbl_*, +txt_*, +tbl_*, +btn_*, +cmb_*) y los eventos del usuario (+abrir_*(), +confirmar_*(), etc.).</w:t>
      </w:r>
    </w:p>
    <w:p>
      <w:pPr>
        <w:spacing w:after="80"/>
        <w:ind w:left="360"/>
      </w:pPr>
      <w:r>
        <w:rPr>
          <w:b/>
          <w:color w:val="4338CA"/>
        </w:rPr>
        <w:t xml:space="preserve">• Control (CTR_*): </w:t>
      </w:r>
      <w:r>
        <w:t>Encapsula la lógica de negocio, reglas de validación, cálculos tributarios y orquestación de transacciones. Son clases sin atributos de persistencia, cuyos métodos coinciden 1:1 con los servicios y endpoints de la API backend.</w:t>
      </w:r>
    </w:p>
    <w:p>
      <w:pPr>
        <w:spacing w:after="80"/>
        <w:ind w:left="360"/>
      </w:pPr>
      <w:r>
        <w:rPr>
          <w:b/>
          <w:color w:val="4338CA"/>
        </w:rPr>
        <w:t xml:space="preserve">• Entidad (CE_*): </w:t>
      </w:r>
      <w:r>
        <w:t>Modela la información persistente que sobrevive a la ejecución del caso de uso. Sus atributos reflejan con exactitud 1:1 el esquema relacional de la base de datos física PostgreSQL (+tabla.campo).</w:t>
      </w:r>
    </w:p>
    <w:p>
      <w:r>
        <w:br w:type="page"/>
      </w:r>
    </w:p>
    <w:p>
      <w:pPr>
        <w:pStyle w:val="Heading1"/>
        <w:spacing w:before="240" w:after="200"/>
      </w:pPr>
      <w:r>
        <w:t>2. Análisis de Clases — Ciclo 1: Infraestructura de Seguridad, Catálogo e Inventario Valorado</w:t>
      </w:r>
    </w:p>
    <w:p>
      <w:pPr>
        <w:pStyle w:val="Heading2"/>
        <w:spacing w:before="280" w:after="80"/>
      </w:pPr>
      <w:r>
        <w:t>CU01: Iniciar sesión en la plataforma</w:t>
      </w:r>
    </w:p>
    <w:p>
      <w:pPr>
        <w:spacing w:after="160"/>
      </w:pPr>
      <w:r>
        <w:rPr>
          <w:b/>
          <w:color w:val="475569"/>
          <w:sz w:val="20"/>
        </w:rPr>
        <w:t>Actor Primario: Usuario (Cliente / Personal)   |   Paquete Arquitectónico: seguridad_y_usuarios</w:t>
      </w:r>
    </w:p>
    <w:p>
      <w:pPr>
        <w:spacing w:before="120" w:after="120"/>
        <w:jc w:val="center"/>
      </w:pPr>
      <w:r>
        <w:drawing>
          <wp:inline xmlns:a="http://schemas.openxmlformats.org/drawingml/2006/main" xmlns:pic="http://schemas.openxmlformats.org/drawingml/2006/picture">
            <wp:extent cx="6035040" cy="3249637"/>
            <wp:docPr id="1" name="Picture 1"/>
            <wp:cNvGraphicFramePr>
              <a:graphicFrameLocks noChangeAspect="1"/>
            </wp:cNvGraphicFramePr>
            <a:graphic>
              <a:graphicData uri="http://schemas.openxmlformats.org/drawingml/2006/picture">
                <pic:pic>
                  <pic:nvPicPr>
                    <pic:cNvPr id="0" name="CU01_Iniciar_sesi_n_en_la_plataforma.png"/>
                    <pic:cNvPicPr/>
                  </pic:nvPicPr>
                  <pic:blipFill>
                    <a:blip r:embed="rId9"/>
                    <a:stretch>
                      <a:fillRect/>
                    </a:stretch>
                  </pic:blipFill>
                  <pic:spPr>
                    <a:xfrm>
                      <a:off x="0" y="0"/>
                      <a:ext cx="6035040" cy="3249637"/>
                    </a:xfrm>
                    <a:prstGeom prst="rect"/>
                  </pic:spPr>
                </pic:pic>
              </a:graphicData>
            </a:graphic>
          </wp:inline>
        </w:drawing>
      </w:r>
    </w:p>
    <w:p>
      <w:pPr>
        <w:spacing w:after="160"/>
        <w:jc w:val="center"/>
      </w:pPr>
      <w:r>
        <w:rPr>
          <w:i/>
          <w:color w:val="64748B"/>
          <w:sz w:val="17"/>
        </w:rPr>
        <w:t>Figura: Diagrama de Análisis de Clases (BCE) — CU01: Iniciar sesión en la plataforma</w:t>
      </w:r>
    </w:p>
    <w:p>
      <w:pPr>
        <w:spacing w:after="60"/>
      </w:pPr>
      <w:r>
        <w:rPr>
          <w:b/>
          <w:color w:val="1E1B4B"/>
          <w:sz w:val="19"/>
        </w:rPr>
        <w:t>Especificación de Clases y Responsabilidades del Caso de Uso:</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1872"/>
            <w:shd w:fill="EDE9FE"/>
          </w:tcPr>
          <w:p>
            <w:r>
              <w:rPr>
                <w:b/>
                <w:color w:val="4338CA"/>
                <w:sz w:val="18"/>
              </w:rPr>
              <w:t>Estereotipo</w:t>
            </w:r>
          </w:p>
        </w:tc>
        <w:tc>
          <w:tcPr>
            <w:tcW w:type="dxa" w:w="3168"/>
            <w:shd w:fill="EDE9FE"/>
          </w:tcPr>
          <w:p>
            <w:r>
              <w:rPr>
                <w:b/>
                <w:color w:val="4338CA"/>
                <w:sz w:val="18"/>
              </w:rPr>
              <w:t>Nombre de Clase</w:t>
            </w:r>
          </w:p>
        </w:tc>
        <w:tc>
          <w:tcPr>
            <w:tcW w:type="dxa" w:w="4752"/>
            <w:shd w:fill="EDE9FE"/>
          </w:tcPr>
          <w:p>
            <w:r>
              <w:rPr>
                <w:b/>
                <w:color w:val="4338CA"/>
                <w:sz w:val="18"/>
              </w:rPr>
              <w:t>Responsabilidad en el Caso de Uso</w:t>
            </w:r>
          </w:p>
        </w:tc>
      </w:tr>
      <w:tr>
        <w:tc>
          <w:tcPr>
            <w:tcW w:type="dxa" w:w="1872"/>
          </w:tcPr>
          <w:p>
            <w:pPr>
              <w:spacing w:before="40" w:after="40"/>
            </w:pPr>
            <w:r>
              <w:rPr>
                <w:rFonts w:ascii="Calibri" w:hAnsi="Calibri"/>
                <w:sz w:val="17"/>
              </w:rPr>
              <w:t>Boundary (IU)</w:t>
            </w:r>
          </w:p>
        </w:tc>
        <w:tc>
          <w:tcPr>
            <w:tcW w:type="dxa" w:w="3168"/>
          </w:tcPr>
          <w:p>
            <w:pPr>
              <w:spacing w:before="40" w:after="40"/>
            </w:pPr>
            <w:r>
              <w:rPr>
                <w:rFonts w:ascii="Calibri" w:hAnsi="Calibri"/>
                <w:sz w:val="17"/>
              </w:rPr>
              <w:t>IU_Login</w:t>
            </w:r>
          </w:p>
        </w:tc>
        <w:tc>
          <w:tcPr>
            <w:tcW w:type="dxa" w:w="4752"/>
          </w:tcPr>
          <w:p>
            <w:pPr>
              <w:spacing w:before="40" w:after="40"/>
            </w:pPr>
            <w:r>
              <w:rPr>
                <w:rFonts w:ascii="Calibri" w:hAnsi="Calibri"/>
                <w:sz w:val="17"/>
              </w:rPr>
              <w:t>Interfaz gráfica del actor Usuario (Cliente / Personal). Captura eventos de usuario y despliega datos y alertas.</w:t>
            </w:r>
          </w:p>
        </w:tc>
      </w:tr>
      <w:tr>
        <w:tc>
          <w:tcPr>
            <w:tcW w:type="dxa" w:w="1872"/>
          </w:tcPr>
          <w:p>
            <w:pPr>
              <w:spacing w:before="40" w:after="40"/>
            </w:pPr>
            <w:r>
              <w:rPr>
                <w:rFonts w:ascii="Calibri" w:hAnsi="Calibri"/>
                <w:sz w:val="17"/>
              </w:rPr>
              <w:t>Control (CTR)</w:t>
            </w:r>
          </w:p>
        </w:tc>
        <w:tc>
          <w:tcPr>
            <w:tcW w:type="dxa" w:w="3168"/>
          </w:tcPr>
          <w:p>
            <w:pPr>
              <w:spacing w:before="40" w:after="40"/>
            </w:pPr>
            <w:r>
              <w:rPr>
                <w:rFonts w:ascii="Calibri" w:hAnsi="Calibri"/>
                <w:sz w:val="17"/>
              </w:rPr>
              <w:t>CTR_Autenticacion</w:t>
            </w:r>
          </w:p>
        </w:tc>
        <w:tc>
          <w:tcPr>
            <w:tcW w:type="dxa" w:w="4752"/>
          </w:tcPr>
          <w:p>
            <w:pPr>
              <w:spacing w:before="40" w:after="40"/>
            </w:pPr>
            <w:r>
              <w:rPr>
                <w:rFonts w:ascii="Calibri" w:hAnsi="Calibri"/>
                <w:sz w:val="17"/>
              </w:rPr>
              <w:t>Orquestador de lógica del negocio. Ejecuta validaciones y coordina operaciones sobre las entidades.</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CE_User</w:t>
            </w:r>
          </w:p>
        </w:tc>
        <w:tc>
          <w:tcPr>
            <w:tcW w:type="dxa" w:w="4752"/>
          </w:tcPr>
          <w:p>
            <w:pPr>
              <w:spacing w:before="40" w:after="40"/>
            </w:pPr>
            <w:r>
              <w:rPr>
                <w:rFonts w:ascii="Calibri" w:hAnsi="Calibri"/>
                <w:sz w:val="17"/>
              </w:rPr>
              <w:t>Persistencia física en PostgreSQL. Mapea atributos (id, email, password_hash, first_name...)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CE_Role</w:t>
            </w:r>
          </w:p>
        </w:tc>
        <w:tc>
          <w:tcPr>
            <w:tcW w:type="dxa" w:w="4752"/>
          </w:tcPr>
          <w:p>
            <w:pPr>
              <w:spacing w:before="40" w:after="40"/>
            </w:pPr>
            <w:r>
              <w:rPr>
                <w:rFonts w:ascii="Calibri" w:hAnsi="Calibri"/>
                <w:sz w:val="17"/>
              </w:rPr>
              <w:t>Persistencia física en PostgreSQL. Mapea atributos (id, name, description...)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CE_SessionToken</w:t>
            </w:r>
          </w:p>
        </w:tc>
        <w:tc>
          <w:tcPr>
            <w:tcW w:type="dxa" w:w="4752"/>
          </w:tcPr>
          <w:p>
            <w:pPr>
              <w:spacing w:before="40" w:after="40"/>
            </w:pPr>
            <w:r>
              <w:rPr>
                <w:rFonts w:ascii="Calibri" w:hAnsi="Calibri"/>
                <w:sz w:val="17"/>
              </w:rPr>
              <w:t>Persistencia física en PostgreSQL. Mapea atributos (id, user_id, token, expires_at...) y estado transaccional.</w:t>
            </w:r>
          </w:p>
        </w:tc>
      </w:tr>
    </w:tbl>
    <w:p>
      <w:pPr>
        <w:spacing w:after="240"/>
      </w:pPr>
    </w:p>
    <w:p>
      <w:pPr>
        <w:pStyle w:val="Heading2"/>
        <w:spacing w:before="280" w:after="80"/>
      </w:pPr>
      <w:r>
        <w:t>CU02: Cerrar sesión activa</w:t>
      </w:r>
    </w:p>
    <w:p>
      <w:pPr>
        <w:spacing w:after="160"/>
      </w:pPr>
      <w:r>
        <w:rPr>
          <w:b/>
          <w:color w:val="475569"/>
          <w:sz w:val="20"/>
        </w:rPr>
        <w:t>Actor Primario: Usuario Autenticado   |   Paquete Arquitectónico: seguridad_y_usuarios</w:t>
      </w:r>
    </w:p>
    <w:p>
      <w:pPr>
        <w:spacing w:before="120" w:after="120"/>
        <w:jc w:val="center"/>
      </w:pPr>
      <w:r>
        <w:drawing>
          <wp:inline xmlns:a="http://schemas.openxmlformats.org/drawingml/2006/main" xmlns:pic="http://schemas.openxmlformats.org/drawingml/2006/picture">
            <wp:extent cx="6035040" cy="2999665"/>
            <wp:docPr id="2" name="Picture 2"/>
            <wp:cNvGraphicFramePr>
              <a:graphicFrameLocks noChangeAspect="1"/>
            </wp:cNvGraphicFramePr>
            <a:graphic>
              <a:graphicData uri="http://schemas.openxmlformats.org/drawingml/2006/picture">
                <pic:pic>
                  <pic:nvPicPr>
                    <pic:cNvPr id="0" name="CU02_Cerrar_sesi_n_activa.png"/>
                    <pic:cNvPicPr/>
                  </pic:nvPicPr>
                  <pic:blipFill>
                    <a:blip r:embed="rId10"/>
                    <a:stretch>
                      <a:fillRect/>
                    </a:stretch>
                  </pic:blipFill>
                  <pic:spPr>
                    <a:xfrm>
                      <a:off x="0" y="0"/>
                      <a:ext cx="6035040" cy="2999665"/>
                    </a:xfrm>
                    <a:prstGeom prst="rect"/>
                  </pic:spPr>
                </pic:pic>
              </a:graphicData>
            </a:graphic>
          </wp:inline>
        </w:drawing>
      </w:r>
    </w:p>
    <w:p>
      <w:pPr>
        <w:spacing w:after="160"/>
        <w:jc w:val="center"/>
      </w:pPr>
      <w:r>
        <w:rPr>
          <w:i/>
          <w:color w:val="64748B"/>
          <w:sz w:val="17"/>
        </w:rPr>
        <w:t>Figura: Diagrama de Análisis de Clases (BCE) — CU02: Cerrar sesión activa</w:t>
      </w:r>
    </w:p>
    <w:p>
      <w:pPr>
        <w:spacing w:after="60"/>
      </w:pPr>
      <w:r>
        <w:rPr>
          <w:b/>
          <w:color w:val="1E1B4B"/>
          <w:sz w:val="19"/>
        </w:rPr>
        <w:t>Especificación de Clases y Responsabilidades del Caso de Uso:</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1872"/>
            <w:shd w:fill="EDE9FE"/>
          </w:tcPr>
          <w:p>
            <w:r>
              <w:rPr>
                <w:b/>
                <w:color w:val="4338CA"/>
                <w:sz w:val="18"/>
              </w:rPr>
              <w:t>Estereotipo</w:t>
            </w:r>
          </w:p>
        </w:tc>
        <w:tc>
          <w:tcPr>
            <w:tcW w:type="dxa" w:w="3168"/>
            <w:shd w:fill="EDE9FE"/>
          </w:tcPr>
          <w:p>
            <w:r>
              <w:rPr>
                <w:b/>
                <w:color w:val="4338CA"/>
                <w:sz w:val="18"/>
              </w:rPr>
              <w:t>Nombre de Clase</w:t>
            </w:r>
          </w:p>
        </w:tc>
        <w:tc>
          <w:tcPr>
            <w:tcW w:type="dxa" w:w="4752"/>
            <w:shd w:fill="EDE9FE"/>
          </w:tcPr>
          <w:p>
            <w:r>
              <w:rPr>
                <w:b/>
                <w:color w:val="4338CA"/>
                <w:sz w:val="18"/>
              </w:rPr>
              <w:t>Responsabilidad en el Caso de Uso</w:t>
            </w:r>
          </w:p>
        </w:tc>
      </w:tr>
      <w:tr>
        <w:tc>
          <w:tcPr>
            <w:tcW w:type="dxa" w:w="1872"/>
          </w:tcPr>
          <w:p>
            <w:pPr>
              <w:spacing w:before="40" w:after="40"/>
            </w:pPr>
            <w:r>
              <w:rPr>
                <w:rFonts w:ascii="Calibri" w:hAnsi="Calibri"/>
                <w:sz w:val="17"/>
              </w:rPr>
              <w:t>Boundary (IU)</w:t>
            </w:r>
          </w:p>
        </w:tc>
        <w:tc>
          <w:tcPr>
            <w:tcW w:type="dxa" w:w="3168"/>
          </w:tcPr>
          <w:p>
            <w:pPr>
              <w:spacing w:before="40" w:after="40"/>
            </w:pPr>
            <w:r>
              <w:rPr>
                <w:rFonts w:ascii="Calibri" w:hAnsi="Calibri"/>
                <w:sz w:val="17"/>
              </w:rPr>
              <w:t>IU_BarraNavegacion</w:t>
            </w:r>
          </w:p>
        </w:tc>
        <w:tc>
          <w:tcPr>
            <w:tcW w:type="dxa" w:w="4752"/>
          </w:tcPr>
          <w:p>
            <w:pPr>
              <w:spacing w:before="40" w:after="40"/>
            </w:pPr>
            <w:r>
              <w:rPr>
                <w:rFonts w:ascii="Calibri" w:hAnsi="Calibri"/>
                <w:sz w:val="17"/>
              </w:rPr>
              <w:t>Interfaz gráfica del actor Usuario Autenticado. Captura eventos de usuario y despliega datos y alertas.</w:t>
            </w:r>
          </w:p>
        </w:tc>
      </w:tr>
      <w:tr>
        <w:tc>
          <w:tcPr>
            <w:tcW w:type="dxa" w:w="1872"/>
          </w:tcPr>
          <w:p>
            <w:pPr>
              <w:spacing w:before="40" w:after="40"/>
            </w:pPr>
            <w:r>
              <w:rPr>
                <w:rFonts w:ascii="Calibri" w:hAnsi="Calibri"/>
                <w:sz w:val="17"/>
              </w:rPr>
              <w:t>Control (CTR)</w:t>
            </w:r>
          </w:p>
        </w:tc>
        <w:tc>
          <w:tcPr>
            <w:tcW w:type="dxa" w:w="3168"/>
          </w:tcPr>
          <w:p>
            <w:pPr>
              <w:spacing w:before="40" w:after="40"/>
            </w:pPr>
            <w:r>
              <w:rPr>
                <w:rFonts w:ascii="Calibri" w:hAnsi="Calibri"/>
                <w:sz w:val="17"/>
              </w:rPr>
              <w:t>CTR_Autenticacion</w:t>
            </w:r>
          </w:p>
        </w:tc>
        <w:tc>
          <w:tcPr>
            <w:tcW w:type="dxa" w:w="4752"/>
          </w:tcPr>
          <w:p>
            <w:pPr>
              <w:spacing w:before="40" w:after="40"/>
            </w:pPr>
            <w:r>
              <w:rPr>
                <w:rFonts w:ascii="Calibri" w:hAnsi="Calibri"/>
                <w:sz w:val="17"/>
              </w:rPr>
              <w:t>Orquestador de lógica del negocio. Ejecuta validaciones y coordina operaciones sobre las entidades.</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CE_SessionToken</w:t>
            </w:r>
          </w:p>
        </w:tc>
        <w:tc>
          <w:tcPr>
            <w:tcW w:type="dxa" w:w="4752"/>
          </w:tcPr>
          <w:p>
            <w:pPr>
              <w:spacing w:before="40" w:after="40"/>
            </w:pPr>
            <w:r>
              <w:rPr>
                <w:rFonts w:ascii="Calibri" w:hAnsi="Calibri"/>
                <w:sz w:val="17"/>
              </w:rPr>
              <w:t>Persistencia física en PostgreSQL. Mapea atributos (id, user_id, token, is_revoked...)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CE_AuditLog</w:t>
            </w:r>
          </w:p>
        </w:tc>
        <w:tc>
          <w:tcPr>
            <w:tcW w:type="dxa" w:w="4752"/>
          </w:tcPr>
          <w:p>
            <w:pPr>
              <w:spacing w:before="40" w:after="40"/>
            </w:pPr>
            <w:r>
              <w:rPr>
                <w:rFonts w:ascii="Calibri" w:hAnsi="Calibri"/>
                <w:sz w:val="17"/>
              </w:rPr>
              <w:t>Persistencia física en PostgreSQL. Mapea atributos (id, user_id, action, ip_address...) y estado transaccional.</w:t>
            </w:r>
          </w:p>
        </w:tc>
      </w:tr>
    </w:tbl>
    <w:p>
      <w:pPr>
        <w:spacing w:after="240"/>
      </w:pPr>
    </w:p>
    <w:p>
      <w:pPr>
        <w:pStyle w:val="Heading2"/>
        <w:spacing w:before="280" w:after="80"/>
      </w:pPr>
      <w:r>
        <w:t>CU03: Recuperar credenciales de acceso</w:t>
      </w:r>
    </w:p>
    <w:p>
      <w:pPr>
        <w:spacing w:after="160"/>
      </w:pPr>
      <w:r>
        <w:rPr>
          <w:b/>
          <w:color w:val="475569"/>
          <w:sz w:val="20"/>
        </w:rPr>
        <w:t>Actor Primario: Usuario (Cliente / Personal)   |   Paquete Arquitectónico: seguridad_y_usuarios</w:t>
      </w:r>
    </w:p>
    <w:p>
      <w:pPr>
        <w:spacing w:before="120" w:after="120"/>
        <w:jc w:val="center"/>
      </w:pPr>
      <w:r>
        <w:drawing>
          <wp:inline xmlns:a="http://schemas.openxmlformats.org/drawingml/2006/main" xmlns:pic="http://schemas.openxmlformats.org/drawingml/2006/picture">
            <wp:extent cx="6035040" cy="2999665"/>
            <wp:docPr id="3" name="Picture 3"/>
            <wp:cNvGraphicFramePr>
              <a:graphicFrameLocks noChangeAspect="1"/>
            </wp:cNvGraphicFramePr>
            <a:graphic>
              <a:graphicData uri="http://schemas.openxmlformats.org/drawingml/2006/picture">
                <pic:pic>
                  <pic:nvPicPr>
                    <pic:cNvPr id="0" name="CU03_Recuperar_credenciales_de_acceso.png"/>
                    <pic:cNvPicPr/>
                  </pic:nvPicPr>
                  <pic:blipFill>
                    <a:blip r:embed="rId11"/>
                    <a:stretch>
                      <a:fillRect/>
                    </a:stretch>
                  </pic:blipFill>
                  <pic:spPr>
                    <a:xfrm>
                      <a:off x="0" y="0"/>
                      <a:ext cx="6035040" cy="2999665"/>
                    </a:xfrm>
                    <a:prstGeom prst="rect"/>
                  </pic:spPr>
                </pic:pic>
              </a:graphicData>
            </a:graphic>
          </wp:inline>
        </w:drawing>
      </w:r>
    </w:p>
    <w:p>
      <w:pPr>
        <w:spacing w:after="160"/>
        <w:jc w:val="center"/>
      </w:pPr>
      <w:r>
        <w:rPr>
          <w:i/>
          <w:color w:val="64748B"/>
          <w:sz w:val="17"/>
        </w:rPr>
        <w:t>Figura: Diagrama de Análisis de Clases (BCE) — CU03: Recuperar credenciales de acceso</w:t>
      </w:r>
    </w:p>
    <w:p>
      <w:pPr>
        <w:spacing w:after="60"/>
      </w:pPr>
      <w:r>
        <w:rPr>
          <w:b/>
          <w:color w:val="1E1B4B"/>
          <w:sz w:val="19"/>
        </w:rPr>
        <w:t>Especificación de Clases y Responsabilidades del Caso de Uso:</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1872"/>
            <w:shd w:fill="EDE9FE"/>
          </w:tcPr>
          <w:p>
            <w:r>
              <w:rPr>
                <w:b/>
                <w:color w:val="4338CA"/>
                <w:sz w:val="18"/>
              </w:rPr>
              <w:t>Estereotipo</w:t>
            </w:r>
          </w:p>
        </w:tc>
        <w:tc>
          <w:tcPr>
            <w:tcW w:type="dxa" w:w="3168"/>
            <w:shd w:fill="EDE9FE"/>
          </w:tcPr>
          <w:p>
            <w:r>
              <w:rPr>
                <w:b/>
                <w:color w:val="4338CA"/>
                <w:sz w:val="18"/>
              </w:rPr>
              <w:t>Nombre de Clase</w:t>
            </w:r>
          </w:p>
        </w:tc>
        <w:tc>
          <w:tcPr>
            <w:tcW w:type="dxa" w:w="4752"/>
            <w:shd w:fill="EDE9FE"/>
          </w:tcPr>
          <w:p>
            <w:r>
              <w:rPr>
                <w:b/>
                <w:color w:val="4338CA"/>
                <w:sz w:val="18"/>
              </w:rPr>
              <w:t>Responsabilidad en el Caso de Uso</w:t>
            </w:r>
          </w:p>
        </w:tc>
      </w:tr>
      <w:tr>
        <w:tc>
          <w:tcPr>
            <w:tcW w:type="dxa" w:w="1872"/>
          </w:tcPr>
          <w:p>
            <w:pPr>
              <w:spacing w:before="40" w:after="40"/>
            </w:pPr>
            <w:r>
              <w:rPr>
                <w:rFonts w:ascii="Calibri" w:hAnsi="Calibri"/>
                <w:sz w:val="17"/>
              </w:rPr>
              <w:t>Boundary (IU)</w:t>
            </w:r>
          </w:p>
        </w:tc>
        <w:tc>
          <w:tcPr>
            <w:tcW w:type="dxa" w:w="3168"/>
          </w:tcPr>
          <w:p>
            <w:pPr>
              <w:spacing w:before="40" w:after="40"/>
            </w:pPr>
            <w:r>
              <w:rPr>
                <w:rFonts w:ascii="Calibri" w:hAnsi="Calibri"/>
                <w:sz w:val="17"/>
              </w:rPr>
              <w:t>IU_RecuperarClave</w:t>
            </w:r>
          </w:p>
        </w:tc>
        <w:tc>
          <w:tcPr>
            <w:tcW w:type="dxa" w:w="4752"/>
          </w:tcPr>
          <w:p>
            <w:pPr>
              <w:spacing w:before="40" w:after="40"/>
            </w:pPr>
            <w:r>
              <w:rPr>
                <w:rFonts w:ascii="Calibri" w:hAnsi="Calibri"/>
                <w:sz w:val="17"/>
              </w:rPr>
              <w:t>Interfaz gráfica del actor Usuario (Cliente / Personal). Captura eventos de usuario y despliega datos y alertas.</w:t>
            </w:r>
          </w:p>
        </w:tc>
      </w:tr>
      <w:tr>
        <w:tc>
          <w:tcPr>
            <w:tcW w:type="dxa" w:w="1872"/>
          </w:tcPr>
          <w:p>
            <w:pPr>
              <w:spacing w:before="40" w:after="40"/>
            </w:pPr>
            <w:r>
              <w:rPr>
                <w:rFonts w:ascii="Calibri" w:hAnsi="Calibri"/>
                <w:sz w:val="17"/>
              </w:rPr>
              <w:t>Control (CTR)</w:t>
            </w:r>
          </w:p>
        </w:tc>
        <w:tc>
          <w:tcPr>
            <w:tcW w:type="dxa" w:w="3168"/>
          </w:tcPr>
          <w:p>
            <w:pPr>
              <w:spacing w:before="40" w:after="40"/>
            </w:pPr>
            <w:r>
              <w:rPr>
                <w:rFonts w:ascii="Calibri" w:hAnsi="Calibri"/>
                <w:sz w:val="17"/>
              </w:rPr>
              <w:t>CTR_RecuperacionClave</w:t>
            </w:r>
          </w:p>
        </w:tc>
        <w:tc>
          <w:tcPr>
            <w:tcW w:type="dxa" w:w="4752"/>
          </w:tcPr>
          <w:p>
            <w:pPr>
              <w:spacing w:before="40" w:after="40"/>
            </w:pPr>
            <w:r>
              <w:rPr>
                <w:rFonts w:ascii="Calibri" w:hAnsi="Calibri"/>
                <w:sz w:val="17"/>
              </w:rPr>
              <w:t>Orquestador de lógica del negocio. Ejecuta validaciones y coordina operaciones sobre las entidades.</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CE_User</w:t>
            </w:r>
          </w:p>
        </w:tc>
        <w:tc>
          <w:tcPr>
            <w:tcW w:type="dxa" w:w="4752"/>
          </w:tcPr>
          <w:p>
            <w:pPr>
              <w:spacing w:before="40" w:after="40"/>
            </w:pPr>
            <w:r>
              <w:rPr>
                <w:rFonts w:ascii="Calibri" w:hAnsi="Calibri"/>
                <w:sz w:val="17"/>
              </w:rPr>
              <w:t>Persistencia física en PostgreSQL. Mapea atributos (id, email, password_hash, reset_token...)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CE_AuditLog</w:t>
            </w:r>
          </w:p>
        </w:tc>
        <w:tc>
          <w:tcPr>
            <w:tcW w:type="dxa" w:w="4752"/>
          </w:tcPr>
          <w:p>
            <w:pPr>
              <w:spacing w:before="40" w:after="40"/>
            </w:pPr>
            <w:r>
              <w:rPr>
                <w:rFonts w:ascii="Calibri" w:hAnsi="Calibri"/>
                <w:sz w:val="17"/>
              </w:rPr>
              <w:t>Persistencia física en PostgreSQL. Mapea atributos (id, user_id, action, table_name...) y estado transaccional.</w:t>
            </w:r>
          </w:p>
        </w:tc>
      </w:tr>
    </w:tbl>
    <w:p>
      <w:pPr>
        <w:spacing w:after="240"/>
      </w:pPr>
    </w:p>
    <w:p>
      <w:pPr>
        <w:pStyle w:val="Heading2"/>
        <w:spacing w:before="280" w:after="80"/>
      </w:pPr>
      <w:r>
        <w:t>CU04: Auto-registro de cliente en la plataforma</w:t>
      </w:r>
    </w:p>
    <w:p>
      <w:pPr>
        <w:spacing w:after="160"/>
      </w:pPr>
      <w:r>
        <w:rPr>
          <w:b/>
          <w:color w:val="475569"/>
          <w:sz w:val="20"/>
        </w:rPr>
        <w:t>Actor Primario: Cliente Visitante   |   Paquete Arquitectónico: seguridad_y_usuarios</w:t>
      </w:r>
    </w:p>
    <w:p>
      <w:pPr>
        <w:spacing w:before="120" w:after="120"/>
        <w:jc w:val="center"/>
      </w:pPr>
      <w:r>
        <w:drawing>
          <wp:inline xmlns:a="http://schemas.openxmlformats.org/drawingml/2006/main" xmlns:pic="http://schemas.openxmlformats.org/drawingml/2006/picture">
            <wp:extent cx="6035040" cy="3249637"/>
            <wp:docPr id="4" name="Picture 4"/>
            <wp:cNvGraphicFramePr>
              <a:graphicFrameLocks noChangeAspect="1"/>
            </wp:cNvGraphicFramePr>
            <a:graphic>
              <a:graphicData uri="http://schemas.openxmlformats.org/drawingml/2006/picture">
                <pic:pic>
                  <pic:nvPicPr>
                    <pic:cNvPr id="0" name="CU04_Auto-registro_de_cliente_en_la_plataforma.png"/>
                    <pic:cNvPicPr/>
                  </pic:nvPicPr>
                  <pic:blipFill>
                    <a:blip r:embed="rId12"/>
                    <a:stretch>
                      <a:fillRect/>
                    </a:stretch>
                  </pic:blipFill>
                  <pic:spPr>
                    <a:xfrm>
                      <a:off x="0" y="0"/>
                      <a:ext cx="6035040" cy="3249637"/>
                    </a:xfrm>
                    <a:prstGeom prst="rect"/>
                  </pic:spPr>
                </pic:pic>
              </a:graphicData>
            </a:graphic>
          </wp:inline>
        </w:drawing>
      </w:r>
    </w:p>
    <w:p>
      <w:pPr>
        <w:spacing w:after="160"/>
        <w:jc w:val="center"/>
      </w:pPr>
      <w:r>
        <w:rPr>
          <w:i/>
          <w:color w:val="64748B"/>
          <w:sz w:val="17"/>
        </w:rPr>
        <w:t>Figura: Diagrama de Análisis de Clases (BCE) — CU04: Auto-registro de cliente en la plataforma</w:t>
      </w:r>
    </w:p>
    <w:p>
      <w:pPr>
        <w:spacing w:after="60"/>
      </w:pPr>
      <w:r>
        <w:rPr>
          <w:b/>
          <w:color w:val="1E1B4B"/>
          <w:sz w:val="19"/>
        </w:rPr>
        <w:t>Especificación de Clases y Responsabilidades del Caso de Uso:</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1872"/>
            <w:shd w:fill="EDE9FE"/>
          </w:tcPr>
          <w:p>
            <w:r>
              <w:rPr>
                <w:b/>
                <w:color w:val="4338CA"/>
                <w:sz w:val="18"/>
              </w:rPr>
              <w:t>Estereotipo</w:t>
            </w:r>
          </w:p>
        </w:tc>
        <w:tc>
          <w:tcPr>
            <w:tcW w:type="dxa" w:w="3168"/>
            <w:shd w:fill="EDE9FE"/>
          </w:tcPr>
          <w:p>
            <w:r>
              <w:rPr>
                <w:b/>
                <w:color w:val="4338CA"/>
                <w:sz w:val="18"/>
              </w:rPr>
              <w:t>Nombre de Clase</w:t>
            </w:r>
          </w:p>
        </w:tc>
        <w:tc>
          <w:tcPr>
            <w:tcW w:type="dxa" w:w="4752"/>
            <w:shd w:fill="EDE9FE"/>
          </w:tcPr>
          <w:p>
            <w:r>
              <w:rPr>
                <w:b/>
                <w:color w:val="4338CA"/>
                <w:sz w:val="18"/>
              </w:rPr>
              <w:t>Responsabilidad en el Caso de Uso</w:t>
            </w:r>
          </w:p>
        </w:tc>
      </w:tr>
      <w:tr>
        <w:tc>
          <w:tcPr>
            <w:tcW w:type="dxa" w:w="1872"/>
          </w:tcPr>
          <w:p>
            <w:pPr>
              <w:spacing w:before="40" w:after="40"/>
            </w:pPr>
            <w:r>
              <w:rPr>
                <w:rFonts w:ascii="Calibri" w:hAnsi="Calibri"/>
                <w:sz w:val="17"/>
              </w:rPr>
              <w:t>Boundary (IU)</w:t>
            </w:r>
          </w:p>
        </w:tc>
        <w:tc>
          <w:tcPr>
            <w:tcW w:type="dxa" w:w="3168"/>
          </w:tcPr>
          <w:p>
            <w:pPr>
              <w:spacing w:before="40" w:after="40"/>
            </w:pPr>
            <w:r>
              <w:rPr>
                <w:rFonts w:ascii="Calibri" w:hAnsi="Calibri"/>
                <w:sz w:val="17"/>
              </w:rPr>
              <w:t>IU_RegistroCliente</w:t>
            </w:r>
          </w:p>
        </w:tc>
        <w:tc>
          <w:tcPr>
            <w:tcW w:type="dxa" w:w="4752"/>
          </w:tcPr>
          <w:p>
            <w:pPr>
              <w:spacing w:before="40" w:after="40"/>
            </w:pPr>
            <w:r>
              <w:rPr>
                <w:rFonts w:ascii="Calibri" w:hAnsi="Calibri"/>
                <w:sz w:val="17"/>
              </w:rPr>
              <w:t>Interfaz gráfica del actor Cliente Visitante. Captura eventos de usuario y despliega datos y alertas.</w:t>
            </w:r>
          </w:p>
        </w:tc>
      </w:tr>
      <w:tr>
        <w:tc>
          <w:tcPr>
            <w:tcW w:type="dxa" w:w="1872"/>
          </w:tcPr>
          <w:p>
            <w:pPr>
              <w:spacing w:before="40" w:after="40"/>
            </w:pPr>
            <w:r>
              <w:rPr>
                <w:rFonts w:ascii="Calibri" w:hAnsi="Calibri"/>
                <w:sz w:val="17"/>
              </w:rPr>
              <w:t>Control (CTR)</w:t>
            </w:r>
          </w:p>
        </w:tc>
        <w:tc>
          <w:tcPr>
            <w:tcW w:type="dxa" w:w="3168"/>
          </w:tcPr>
          <w:p>
            <w:pPr>
              <w:spacing w:before="40" w:after="40"/>
            </w:pPr>
            <w:r>
              <w:rPr>
                <w:rFonts w:ascii="Calibri" w:hAnsi="Calibri"/>
                <w:sz w:val="17"/>
              </w:rPr>
              <w:t>CTR_RegistroCliente</w:t>
            </w:r>
          </w:p>
        </w:tc>
        <w:tc>
          <w:tcPr>
            <w:tcW w:type="dxa" w:w="4752"/>
          </w:tcPr>
          <w:p>
            <w:pPr>
              <w:spacing w:before="40" w:after="40"/>
            </w:pPr>
            <w:r>
              <w:rPr>
                <w:rFonts w:ascii="Calibri" w:hAnsi="Calibri"/>
                <w:sz w:val="17"/>
              </w:rPr>
              <w:t>Orquestador de lógica del negocio. Ejecuta validaciones y coordina operaciones sobre las entidades.</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CE_User</w:t>
            </w:r>
          </w:p>
        </w:tc>
        <w:tc>
          <w:tcPr>
            <w:tcW w:type="dxa" w:w="4752"/>
          </w:tcPr>
          <w:p>
            <w:pPr>
              <w:spacing w:before="40" w:after="40"/>
            </w:pPr>
            <w:r>
              <w:rPr>
                <w:rFonts w:ascii="Calibri" w:hAnsi="Calibri"/>
                <w:sz w:val="17"/>
              </w:rPr>
              <w:t>Persistencia física en PostgreSQL. Mapea atributos (id, email, password_hash, first_name...)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CE_Role</w:t>
            </w:r>
          </w:p>
        </w:tc>
        <w:tc>
          <w:tcPr>
            <w:tcW w:type="dxa" w:w="4752"/>
          </w:tcPr>
          <w:p>
            <w:pPr>
              <w:spacing w:before="40" w:after="40"/>
            </w:pPr>
            <w:r>
              <w:rPr>
                <w:rFonts w:ascii="Calibri" w:hAnsi="Calibri"/>
                <w:sz w:val="17"/>
              </w:rPr>
              <w:t>Persistencia física en PostgreSQL. Mapea atributos (id, name, description...)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CE_UserRole</w:t>
            </w:r>
          </w:p>
        </w:tc>
        <w:tc>
          <w:tcPr>
            <w:tcW w:type="dxa" w:w="4752"/>
          </w:tcPr>
          <w:p>
            <w:pPr>
              <w:spacing w:before="40" w:after="40"/>
            </w:pPr>
            <w:r>
              <w:rPr>
                <w:rFonts w:ascii="Calibri" w:hAnsi="Calibri"/>
                <w:sz w:val="17"/>
              </w:rPr>
              <w:t>Persistencia física en PostgreSQL. Mapea atributos (user_id, role_id, assigned_at...) y estado transaccional.</w:t>
            </w:r>
          </w:p>
        </w:tc>
      </w:tr>
    </w:tbl>
    <w:p>
      <w:pPr>
        <w:spacing w:after="240"/>
      </w:pPr>
    </w:p>
    <w:p>
      <w:pPr>
        <w:pStyle w:val="Heading2"/>
        <w:spacing w:before="280" w:after="80"/>
      </w:pPr>
      <w:r>
        <w:t>CU05: Gestionar perfiles, roles y clientes</w:t>
      </w:r>
    </w:p>
    <w:p>
      <w:pPr>
        <w:spacing w:after="160"/>
      </w:pPr>
      <w:r>
        <w:rPr>
          <w:b/>
          <w:color w:val="475569"/>
          <w:sz w:val="20"/>
        </w:rPr>
        <w:t>Actor Primario: Superadmin   |   Paquete Arquitectónico: seguridad_y_usuarios</w:t>
      </w:r>
    </w:p>
    <w:p>
      <w:pPr>
        <w:spacing w:before="120" w:after="120"/>
        <w:jc w:val="center"/>
      </w:pPr>
      <w:r>
        <w:drawing>
          <wp:inline xmlns:a="http://schemas.openxmlformats.org/drawingml/2006/main" xmlns:pic="http://schemas.openxmlformats.org/drawingml/2006/picture">
            <wp:extent cx="6035040" cy="3079737"/>
            <wp:docPr id="5" name="Picture 5"/>
            <wp:cNvGraphicFramePr>
              <a:graphicFrameLocks noChangeAspect="1"/>
            </wp:cNvGraphicFramePr>
            <a:graphic>
              <a:graphicData uri="http://schemas.openxmlformats.org/drawingml/2006/picture">
                <pic:pic>
                  <pic:nvPicPr>
                    <pic:cNvPr id="0" name="CU05_Gestionar_perfiles_roles_y_clientes.png"/>
                    <pic:cNvPicPr/>
                  </pic:nvPicPr>
                  <pic:blipFill>
                    <a:blip r:embed="rId13"/>
                    <a:stretch>
                      <a:fillRect/>
                    </a:stretch>
                  </pic:blipFill>
                  <pic:spPr>
                    <a:xfrm>
                      <a:off x="0" y="0"/>
                      <a:ext cx="6035040" cy="3079737"/>
                    </a:xfrm>
                    <a:prstGeom prst="rect"/>
                  </pic:spPr>
                </pic:pic>
              </a:graphicData>
            </a:graphic>
          </wp:inline>
        </w:drawing>
      </w:r>
    </w:p>
    <w:p>
      <w:pPr>
        <w:spacing w:after="160"/>
        <w:jc w:val="center"/>
      </w:pPr>
      <w:r>
        <w:rPr>
          <w:i/>
          <w:color w:val="64748B"/>
          <w:sz w:val="17"/>
        </w:rPr>
        <w:t>Figura: Diagrama de Análisis de Clases (BCE) — CU05: Gestionar perfiles, roles y clientes</w:t>
      </w:r>
    </w:p>
    <w:p>
      <w:pPr>
        <w:spacing w:after="60"/>
      </w:pPr>
      <w:r>
        <w:rPr>
          <w:b/>
          <w:color w:val="1E1B4B"/>
          <w:sz w:val="19"/>
        </w:rPr>
        <w:t>Especificación de Clases y Responsabilidades del Caso de Uso:</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1872"/>
            <w:shd w:fill="EDE9FE"/>
          </w:tcPr>
          <w:p>
            <w:r>
              <w:rPr>
                <w:b/>
                <w:color w:val="4338CA"/>
                <w:sz w:val="18"/>
              </w:rPr>
              <w:t>Estereotipo</w:t>
            </w:r>
          </w:p>
        </w:tc>
        <w:tc>
          <w:tcPr>
            <w:tcW w:type="dxa" w:w="3168"/>
            <w:shd w:fill="EDE9FE"/>
          </w:tcPr>
          <w:p>
            <w:r>
              <w:rPr>
                <w:b/>
                <w:color w:val="4338CA"/>
                <w:sz w:val="18"/>
              </w:rPr>
              <w:t>Nombre de Clase</w:t>
            </w:r>
          </w:p>
        </w:tc>
        <w:tc>
          <w:tcPr>
            <w:tcW w:type="dxa" w:w="4752"/>
            <w:shd w:fill="EDE9FE"/>
          </w:tcPr>
          <w:p>
            <w:r>
              <w:rPr>
                <w:b/>
                <w:color w:val="4338CA"/>
                <w:sz w:val="18"/>
              </w:rPr>
              <w:t>Responsabilidad en el Caso de Uso</w:t>
            </w:r>
          </w:p>
        </w:tc>
      </w:tr>
      <w:tr>
        <w:tc>
          <w:tcPr>
            <w:tcW w:type="dxa" w:w="1872"/>
          </w:tcPr>
          <w:p>
            <w:pPr>
              <w:spacing w:before="40" w:after="40"/>
            </w:pPr>
            <w:r>
              <w:rPr>
                <w:rFonts w:ascii="Calibri" w:hAnsi="Calibri"/>
                <w:sz w:val="17"/>
              </w:rPr>
              <w:t>Boundary (IU)</w:t>
            </w:r>
          </w:p>
        </w:tc>
        <w:tc>
          <w:tcPr>
            <w:tcW w:type="dxa" w:w="3168"/>
          </w:tcPr>
          <w:p>
            <w:pPr>
              <w:spacing w:before="40" w:after="40"/>
            </w:pPr>
            <w:r>
              <w:rPr>
                <w:rFonts w:ascii="Calibri" w:hAnsi="Calibri"/>
                <w:sz w:val="17"/>
              </w:rPr>
              <w:t>IU_GestionUsuarios</w:t>
            </w:r>
          </w:p>
        </w:tc>
        <w:tc>
          <w:tcPr>
            <w:tcW w:type="dxa" w:w="4752"/>
          </w:tcPr>
          <w:p>
            <w:pPr>
              <w:spacing w:before="40" w:after="40"/>
            </w:pPr>
            <w:r>
              <w:rPr>
                <w:rFonts w:ascii="Calibri" w:hAnsi="Calibri"/>
                <w:sz w:val="17"/>
              </w:rPr>
              <w:t>Interfaz gráfica del actor Superadmin. Captura eventos de usuario y despliega datos y alertas.</w:t>
            </w:r>
          </w:p>
        </w:tc>
      </w:tr>
      <w:tr>
        <w:tc>
          <w:tcPr>
            <w:tcW w:type="dxa" w:w="1872"/>
          </w:tcPr>
          <w:p>
            <w:pPr>
              <w:spacing w:before="40" w:after="40"/>
            </w:pPr>
            <w:r>
              <w:rPr>
                <w:rFonts w:ascii="Calibri" w:hAnsi="Calibri"/>
                <w:sz w:val="17"/>
              </w:rPr>
              <w:t>Control (CTR)</w:t>
            </w:r>
          </w:p>
        </w:tc>
        <w:tc>
          <w:tcPr>
            <w:tcW w:type="dxa" w:w="3168"/>
          </w:tcPr>
          <w:p>
            <w:pPr>
              <w:spacing w:before="40" w:after="40"/>
            </w:pPr>
            <w:r>
              <w:rPr>
                <w:rFonts w:ascii="Calibri" w:hAnsi="Calibri"/>
                <w:sz w:val="17"/>
              </w:rPr>
              <w:t>CTR_UsuariosRoles</w:t>
            </w:r>
          </w:p>
        </w:tc>
        <w:tc>
          <w:tcPr>
            <w:tcW w:type="dxa" w:w="4752"/>
          </w:tcPr>
          <w:p>
            <w:pPr>
              <w:spacing w:before="40" w:after="40"/>
            </w:pPr>
            <w:r>
              <w:rPr>
                <w:rFonts w:ascii="Calibri" w:hAnsi="Calibri"/>
                <w:sz w:val="17"/>
              </w:rPr>
              <w:t>Orquestador de lógica del negocio. Ejecuta validaciones y coordina operaciones sobre las entidades.</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CE_User</w:t>
            </w:r>
          </w:p>
        </w:tc>
        <w:tc>
          <w:tcPr>
            <w:tcW w:type="dxa" w:w="4752"/>
          </w:tcPr>
          <w:p>
            <w:pPr>
              <w:spacing w:before="40" w:after="40"/>
            </w:pPr>
            <w:r>
              <w:rPr>
                <w:rFonts w:ascii="Calibri" w:hAnsi="Calibri"/>
                <w:sz w:val="17"/>
              </w:rPr>
              <w:t>Persistencia física en PostgreSQL. Mapea atributos (id, email, first_name, last_name...)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CE_Role</w:t>
            </w:r>
          </w:p>
        </w:tc>
        <w:tc>
          <w:tcPr>
            <w:tcW w:type="dxa" w:w="4752"/>
          </w:tcPr>
          <w:p>
            <w:pPr>
              <w:spacing w:before="40" w:after="40"/>
            </w:pPr>
            <w:r>
              <w:rPr>
                <w:rFonts w:ascii="Calibri" w:hAnsi="Calibri"/>
                <w:sz w:val="17"/>
              </w:rPr>
              <w:t>Persistencia física en PostgreSQL. Mapea atributos (id, name, description...)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CE_UserRole</w:t>
            </w:r>
          </w:p>
        </w:tc>
        <w:tc>
          <w:tcPr>
            <w:tcW w:type="dxa" w:w="4752"/>
          </w:tcPr>
          <w:p>
            <w:pPr>
              <w:spacing w:before="40" w:after="40"/>
            </w:pPr>
            <w:r>
              <w:rPr>
                <w:rFonts w:ascii="Calibri" w:hAnsi="Calibri"/>
                <w:sz w:val="17"/>
              </w:rPr>
              <w:t>Persistencia física en PostgreSQL. Mapea atributos (user_id, role_id...)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CE_AuditLog</w:t>
            </w:r>
          </w:p>
        </w:tc>
        <w:tc>
          <w:tcPr>
            <w:tcW w:type="dxa" w:w="4752"/>
          </w:tcPr>
          <w:p>
            <w:pPr>
              <w:spacing w:before="40" w:after="40"/>
            </w:pPr>
            <w:r>
              <w:rPr>
                <w:rFonts w:ascii="Calibri" w:hAnsi="Calibri"/>
                <w:sz w:val="17"/>
              </w:rPr>
              <w:t>Persistencia física en PostgreSQL. Mapea atributos (id, user_id, action, table_name...) y estado transaccional.</w:t>
            </w:r>
          </w:p>
        </w:tc>
      </w:tr>
    </w:tbl>
    <w:p>
      <w:pPr>
        <w:spacing w:after="240"/>
      </w:pPr>
    </w:p>
    <w:p>
      <w:pPr>
        <w:pStyle w:val="Heading2"/>
        <w:spacing w:before="280" w:after="80"/>
      </w:pPr>
      <w:r>
        <w:t>CU06: Gestionar sucursales de la cadena</w:t>
      </w:r>
    </w:p>
    <w:p>
      <w:pPr>
        <w:spacing w:after="160"/>
      </w:pPr>
      <w:r>
        <w:rPr>
          <w:b/>
          <w:color w:val="475569"/>
          <w:sz w:val="20"/>
        </w:rPr>
        <w:t>Actor Primario: Superadmin   |   Paquete Arquitectónico: catalogo_y_tiendas</w:t>
      </w:r>
    </w:p>
    <w:p>
      <w:pPr>
        <w:spacing w:before="120" w:after="120"/>
        <w:jc w:val="center"/>
      </w:pPr>
      <w:r>
        <w:drawing>
          <wp:inline xmlns:a="http://schemas.openxmlformats.org/drawingml/2006/main" xmlns:pic="http://schemas.openxmlformats.org/drawingml/2006/picture">
            <wp:extent cx="6035040" cy="2999665"/>
            <wp:docPr id="6" name="Picture 6"/>
            <wp:cNvGraphicFramePr>
              <a:graphicFrameLocks noChangeAspect="1"/>
            </wp:cNvGraphicFramePr>
            <a:graphic>
              <a:graphicData uri="http://schemas.openxmlformats.org/drawingml/2006/picture">
                <pic:pic>
                  <pic:nvPicPr>
                    <pic:cNvPr id="0" name="CU06_Gestionar_sucursales_de_la_cadena.png"/>
                    <pic:cNvPicPr/>
                  </pic:nvPicPr>
                  <pic:blipFill>
                    <a:blip r:embed="rId14"/>
                    <a:stretch>
                      <a:fillRect/>
                    </a:stretch>
                  </pic:blipFill>
                  <pic:spPr>
                    <a:xfrm>
                      <a:off x="0" y="0"/>
                      <a:ext cx="6035040" cy="2999665"/>
                    </a:xfrm>
                    <a:prstGeom prst="rect"/>
                  </pic:spPr>
                </pic:pic>
              </a:graphicData>
            </a:graphic>
          </wp:inline>
        </w:drawing>
      </w:r>
    </w:p>
    <w:p>
      <w:pPr>
        <w:spacing w:after="160"/>
        <w:jc w:val="center"/>
      </w:pPr>
      <w:r>
        <w:rPr>
          <w:i/>
          <w:color w:val="64748B"/>
          <w:sz w:val="17"/>
        </w:rPr>
        <w:t>Figura: Diagrama de Análisis de Clases (BCE) — CU06: Gestionar sucursales de la cadena</w:t>
      </w:r>
    </w:p>
    <w:p>
      <w:pPr>
        <w:spacing w:after="60"/>
      </w:pPr>
      <w:r>
        <w:rPr>
          <w:b/>
          <w:color w:val="1E1B4B"/>
          <w:sz w:val="19"/>
        </w:rPr>
        <w:t>Especificación de Clases y Responsabilidades del Caso de Uso:</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1872"/>
            <w:shd w:fill="EDE9FE"/>
          </w:tcPr>
          <w:p>
            <w:r>
              <w:rPr>
                <w:b/>
                <w:color w:val="4338CA"/>
                <w:sz w:val="18"/>
              </w:rPr>
              <w:t>Estereotipo</w:t>
            </w:r>
          </w:p>
        </w:tc>
        <w:tc>
          <w:tcPr>
            <w:tcW w:type="dxa" w:w="3168"/>
            <w:shd w:fill="EDE9FE"/>
          </w:tcPr>
          <w:p>
            <w:r>
              <w:rPr>
                <w:b/>
                <w:color w:val="4338CA"/>
                <w:sz w:val="18"/>
              </w:rPr>
              <w:t>Nombre de Clase</w:t>
            </w:r>
          </w:p>
        </w:tc>
        <w:tc>
          <w:tcPr>
            <w:tcW w:type="dxa" w:w="4752"/>
            <w:shd w:fill="EDE9FE"/>
          </w:tcPr>
          <w:p>
            <w:r>
              <w:rPr>
                <w:b/>
                <w:color w:val="4338CA"/>
                <w:sz w:val="18"/>
              </w:rPr>
              <w:t>Responsabilidad en el Caso de Uso</w:t>
            </w:r>
          </w:p>
        </w:tc>
      </w:tr>
      <w:tr>
        <w:tc>
          <w:tcPr>
            <w:tcW w:type="dxa" w:w="1872"/>
          </w:tcPr>
          <w:p>
            <w:pPr>
              <w:spacing w:before="40" w:after="40"/>
            </w:pPr>
            <w:r>
              <w:rPr>
                <w:rFonts w:ascii="Calibri" w:hAnsi="Calibri"/>
                <w:sz w:val="17"/>
              </w:rPr>
              <w:t>Boundary (IU)</w:t>
            </w:r>
          </w:p>
        </w:tc>
        <w:tc>
          <w:tcPr>
            <w:tcW w:type="dxa" w:w="3168"/>
          </w:tcPr>
          <w:p>
            <w:pPr>
              <w:spacing w:before="40" w:after="40"/>
            </w:pPr>
            <w:r>
              <w:rPr>
                <w:rFonts w:ascii="Calibri" w:hAnsi="Calibri"/>
                <w:sz w:val="17"/>
              </w:rPr>
              <w:t>IU_GestionSucursales</w:t>
            </w:r>
          </w:p>
        </w:tc>
        <w:tc>
          <w:tcPr>
            <w:tcW w:type="dxa" w:w="4752"/>
          </w:tcPr>
          <w:p>
            <w:pPr>
              <w:spacing w:before="40" w:after="40"/>
            </w:pPr>
            <w:r>
              <w:rPr>
                <w:rFonts w:ascii="Calibri" w:hAnsi="Calibri"/>
                <w:sz w:val="17"/>
              </w:rPr>
              <w:t>Interfaz gráfica del actor Superadmin. Captura eventos de usuario y despliega datos y alertas.</w:t>
            </w:r>
          </w:p>
        </w:tc>
      </w:tr>
      <w:tr>
        <w:tc>
          <w:tcPr>
            <w:tcW w:type="dxa" w:w="1872"/>
          </w:tcPr>
          <w:p>
            <w:pPr>
              <w:spacing w:before="40" w:after="40"/>
            </w:pPr>
            <w:r>
              <w:rPr>
                <w:rFonts w:ascii="Calibri" w:hAnsi="Calibri"/>
                <w:sz w:val="17"/>
              </w:rPr>
              <w:t>Control (CTR)</w:t>
            </w:r>
          </w:p>
        </w:tc>
        <w:tc>
          <w:tcPr>
            <w:tcW w:type="dxa" w:w="3168"/>
          </w:tcPr>
          <w:p>
            <w:pPr>
              <w:spacing w:before="40" w:after="40"/>
            </w:pPr>
            <w:r>
              <w:rPr>
                <w:rFonts w:ascii="Calibri" w:hAnsi="Calibri"/>
                <w:sz w:val="17"/>
              </w:rPr>
              <w:t>CTR_Sucursales</w:t>
            </w:r>
          </w:p>
        </w:tc>
        <w:tc>
          <w:tcPr>
            <w:tcW w:type="dxa" w:w="4752"/>
          </w:tcPr>
          <w:p>
            <w:pPr>
              <w:spacing w:before="40" w:after="40"/>
            </w:pPr>
            <w:r>
              <w:rPr>
                <w:rFonts w:ascii="Calibri" w:hAnsi="Calibri"/>
                <w:sz w:val="17"/>
              </w:rPr>
              <w:t>Orquestador de lógica del negocio. Ejecuta validaciones y coordina operaciones sobre las entidades.</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CE_Branch</w:t>
            </w:r>
          </w:p>
        </w:tc>
        <w:tc>
          <w:tcPr>
            <w:tcW w:type="dxa" w:w="4752"/>
          </w:tcPr>
          <w:p>
            <w:pPr>
              <w:spacing w:before="40" w:after="40"/>
            </w:pPr>
            <w:r>
              <w:rPr>
                <w:rFonts w:ascii="Calibri" w:hAnsi="Calibri"/>
                <w:sz w:val="17"/>
              </w:rPr>
              <w:t>Persistencia física en PostgreSQL. Mapea atributos (id, name, code, address...)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CE_BranchEmployee</w:t>
            </w:r>
          </w:p>
        </w:tc>
        <w:tc>
          <w:tcPr>
            <w:tcW w:type="dxa" w:w="4752"/>
          </w:tcPr>
          <w:p>
            <w:pPr>
              <w:spacing w:before="40" w:after="40"/>
            </w:pPr>
            <w:r>
              <w:rPr>
                <w:rFonts w:ascii="Calibri" w:hAnsi="Calibri"/>
                <w:sz w:val="17"/>
              </w:rPr>
              <w:t>Persistencia física en PostgreSQL. Mapea atributos (id, branch_id, user_id, is_active...) y estado transaccional.</w:t>
            </w:r>
          </w:p>
        </w:tc>
      </w:tr>
    </w:tbl>
    <w:p>
      <w:pPr>
        <w:spacing w:after="240"/>
      </w:pPr>
    </w:p>
    <w:p>
      <w:pPr>
        <w:pStyle w:val="Heading2"/>
        <w:spacing w:before="280" w:after="80"/>
      </w:pPr>
      <w:r>
        <w:t>CU07: Gestionar catálogo de prendas</w:t>
      </w:r>
    </w:p>
    <w:p>
      <w:pPr>
        <w:spacing w:after="160"/>
      </w:pPr>
      <w:r>
        <w:rPr>
          <w:b/>
          <w:color w:val="475569"/>
          <w:sz w:val="20"/>
        </w:rPr>
        <w:t>Actor Primario: Superadmin / Encargado   |   Paquete Arquitectónico: catalogo_y_tiendas</w:t>
      </w:r>
    </w:p>
    <w:p>
      <w:pPr>
        <w:spacing w:before="120" w:after="120"/>
        <w:jc w:val="center"/>
      </w:pPr>
      <w:r>
        <w:drawing>
          <wp:inline xmlns:a="http://schemas.openxmlformats.org/drawingml/2006/main" xmlns:pic="http://schemas.openxmlformats.org/drawingml/2006/picture">
            <wp:extent cx="6035040" cy="3079737"/>
            <wp:docPr id="7" name="Picture 7"/>
            <wp:cNvGraphicFramePr>
              <a:graphicFrameLocks noChangeAspect="1"/>
            </wp:cNvGraphicFramePr>
            <a:graphic>
              <a:graphicData uri="http://schemas.openxmlformats.org/drawingml/2006/picture">
                <pic:pic>
                  <pic:nvPicPr>
                    <pic:cNvPr id="0" name="CU07_Gestionar_cat_logo_de_prendas.png"/>
                    <pic:cNvPicPr/>
                  </pic:nvPicPr>
                  <pic:blipFill>
                    <a:blip r:embed="rId15"/>
                    <a:stretch>
                      <a:fillRect/>
                    </a:stretch>
                  </pic:blipFill>
                  <pic:spPr>
                    <a:xfrm>
                      <a:off x="0" y="0"/>
                      <a:ext cx="6035040" cy="3079737"/>
                    </a:xfrm>
                    <a:prstGeom prst="rect"/>
                  </pic:spPr>
                </pic:pic>
              </a:graphicData>
            </a:graphic>
          </wp:inline>
        </w:drawing>
      </w:r>
    </w:p>
    <w:p>
      <w:pPr>
        <w:spacing w:after="160"/>
        <w:jc w:val="center"/>
      </w:pPr>
      <w:r>
        <w:rPr>
          <w:i/>
          <w:color w:val="64748B"/>
          <w:sz w:val="17"/>
        </w:rPr>
        <w:t>Figura: Diagrama de Análisis de Clases (BCE) — CU07: Gestionar catálogo de prendas</w:t>
      </w:r>
    </w:p>
    <w:p>
      <w:pPr>
        <w:spacing w:after="60"/>
      </w:pPr>
      <w:r>
        <w:rPr>
          <w:b/>
          <w:color w:val="1E1B4B"/>
          <w:sz w:val="19"/>
        </w:rPr>
        <w:t>Especificación de Clases y Responsabilidades del Caso de Uso:</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1872"/>
            <w:shd w:fill="EDE9FE"/>
          </w:tcPr>
          <w:p>
            <w:r>
              <w:rPr>
                <w:b/>
                <w:color w:val="4338CA"/>
                <w:sz w:val="18"/>
              </w:rPr>
              <w:t>Estereotipo</w:t>
            </w:r>
          </w:p>
        </w:tc>
        <w:tc>
          <w:tcPr>
            <w:tcW w:type="dxa" w:w="3168"/>
            <w:shd w:fill="EDE9FE"/>
          </w:tcPr>
          <w:p>
            <w:r>
              <w:rPr>
                <w:b/>
                <w:color w:val="4338CA"/>
                <w:sz w:val="18"/>
              </w:rPr>
              <w:t>Nombre de Clase</w:t>
            </w:r>
          </w:p>
        </w:tc>
        <w:tc>
          <w:tcPr>
            <w:tcW w:type="dxa" w:w="4752"/>
            <w:shd w:fill="EDE9FE"/>
          </w:tcPr>
          <w:p>
            <w:r>
              <w:rPr>
                <w:b/>
                <w:color w:val="4338CA"/>
                <w:sz w:val="18"/>
              </w:rPr>
              <w:t>Responsabilidad en el Caso de Uso</w:t>
            </w:r>
          </w:p>
        </w:tc>
      </w:tr>
      <w:tr>
        <w:tc>
          <w:tcPr>
            <w:tcW w:type="dxa" w:w="1872"/>
          </w:tcPr>
          <w:p>
            <w:pPr>
              <w:spacing w:before="40" w:after="40"/>
            </w:pPr>
            <w:r>
              <w:rPr>
                <w:rFonts w:ascii="Calibri" w:hAnsi="Calibri"/>
                <w:sz w:val="17"/>
              </w:rPr>
              <w:t>Boundary (IU)</w:t>
            </w:r>
          </w:p>
        </w:tc>
        <w:tc>
          <w:tcPr>
            <w:tcW w:type="dxa" w:w="3168"/>
          </w:tcPr>
          <w:p>
            <w:pPr>
              <w:spacing w:before="40" w:after="40"/>
            </w:pPr>
            <w:r>
              <w:rPr>
                <w:rFonts w:ascii="Calibri" w:hAnsi="Calibri"/>
                <w:sz w:val="17"/>
              </w:rPr>
              <w:t>IU_GestionCatalogo</w:t>
            </w:r>
          </w:p>
        </w:tc>
        <w:tc>
          <w:tcPr>
            <w:tcW w:type="dxa" w:w="4752"/>
          </w:tcPr>
          <w:p>
            <w:pPr>
              <w:spacing w:before="40" w:after="40"/>
            </w:pPr>
            <w:r>
              <w:rPr>
                <w:rFonts w:ascii="Calibri" w:hAnsi="Calibri"/>
                <w:sz w:val="17"/>
              </w:rPr>
              <w:t>Interfaz gráfica del actor Superadmin / Encargado. Captura eventos de usuario y despliega datos y alertas.</w:t>
            </w:r>
          </w:p>
        </w:tc>
      </w:tr>
      <w:tr>
        <w:tc>
          <w:tcPr>
            <w:tcW w:type="dxa" w:w="1872"/>
          </w:tcPr>
          <w:p>
            <w:pPr>
              <w:spacing w:before="40" w:after="40"/>
            </w:pPr>
            <w:r>
              <w:rPr>
                <w:rFonts w:ascii="Calibri" w:hAnsi="Calibri"/>
                <w:sz w:val="17"/>
              </w:rPr>
              <w:t>Control (CTR)</w:t>
            </w:r>
          </w:p>
        </w:tc>
        <w:tc>
          <w:tcPr>
            <w:tcW w:type="dxa" w:w="3168"/>
          </w:tcPr>
          <w:p>
            <w:pPr>
              <w:spacing w:before="40" w:after="40"/>
            </w:pPr>
            <w:r>
              <w:rPr>
                <w:rFonts w:ascii="Calibri" w:hAnsi="Calibri"/>
                <w:sz w:val="17"/>
              </w:rPr>
              <w:t>CTR_Catalogo</w:t>
            </w:r>
          </w:p>
        </w:tc>
        <w:tc>
          <w:tcPr>
            <w:tcW w:type="dxa" w:w="4752"/>
          </w:tcPr>
          <w:p>
            <w:pPr>
              <w:spacing w:before="40" w:after="40"/>
            </w:pPr>
            <w:r>
              <w:rPr>
                <w:rFonts w:ascii="Calibri" w:hAnsi="Calibri"/>
                <w:sz w:val="17"/>
              </w:rPr>
              <w:t>Orquestador de lógica del negocio. Ejecuta validaciones y coordina operaciones sobre las entidades.</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CE_Product</w:t>
            </w:r>
          </w:p>
        </w:tc>
        <w:tc>
          <w:tcPr>
            <w:tcW w:type="dxa" w:w="4752"/>
          </w:tcPr>
          <w:p>
            <w:pPr>
              <w:spacing w:before="40" w:after="40"/>
            </w:pPr>
            <w:r>
              <w:rPr>
                <w:rFonts w:ascii="Calibri" w:hAnsi="Calibri"/>
                <w:sz w:val="17"/>
              </w:rPr>
              <w:t>Persistencia física en PostgreSQL. Mapea atributos (id, category_id, season_id, code...)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CE_ProductVariant</w:t>
            </w:r>
          </w:p>
        </w:tc>
        <w:tc>
          <w:tcPr>
            <w:tcW w:type="dxa" w:w="4752"/>
          </w:tcPr>
          <w:p>
            <w:pPr>
              <w:spacing w:before="40" w:after="40"/>
            </w:pPr>
            <w:r>
              <w:rPr>
                <w:rFonts w:ascii="Calibri" w:hAnsi="Calibri"/>
                <w:sz w:val="17"/>
              </w:rPr>
              <w:t>Persistencia física en PostgreSQL. Mapea atributos (id, product_id, color_id, size_id...)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CE_ProductImage</w:t>
            </w:r>
          </w:p>
        </w:tc>
        <w:tc>
          <w:tcPr>
            <w:tcW w:type="dxa" w:w="4752"/>
          </w:tcPr>
          <w:p>
            <w:pPr>
              <w:spacing w:before="40" w:after="40"/>
            </w:pPr>
            <w:r>
              <w:rPr>
                <w:rFonts w:ascii="Calibri" w:hAnsi="Calibri"/>
                <w:sz w:val="17"/>
              </w:rPr>
              <w:t>Persistencia física en PostgreSQL. Mapea atributos (id, product_id, color_id, image_url...)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CE_Category</w:t>
            </w:r>
          </w:p>
        </w:tc>
        <w:tc>
          <w:tcPr>
            <w:tcW w:type="dxa" w:w="4752"/>
          </w:tcPr>
          <w:p>
            <w:pPr>
              <w:spacing w:before="40" w:after="40"/>
            </w:pPr>
            <w:r>
              <w:rPr>
                <w:rFonts w:ascii="Calibri" w:hAnsi="Calibri"/>
                <w:sz w:val="17"/>
              </w:rPr>
              <w:t>Persistencia física en PostgreSQL. Mapea atributos (id, name, image_url...) y estado transaccional.</w:t>
            </w:r>
          </w:p>
        </w:tc>
      </w:tr>
    </w:tbl>
    <w:p>
      <w:pPr>
        <w:spacing w:after="240"/>
      </w:pPr>
    </w:p>
    <w:p>
      <w:pPr>
        <w:pStyle w:val="Heading2"/>
        <w:spacing w:before="280" w:after="80"/>
      </w:pPr>
      <w:r>
        <w:t>CU08: Gestionar proveedores de mercadería</w:t>
      </w:r>
    </w:p>
    <w:p>
      <w:pPr>
        <w:spacing w:after="160"/>
      </w:pPr>
      <w:r>
        <w:rPr>
          <w:b/>
          <w:color w:val="475569"/>
          <w:sz w:val="20"/>
        </w:rPr>
        <w:t>Actor Primario: Encargado de Almacén   |   Paquete Arquitectónico: inventario_y_proveedores</w:t>
      </w:r>
    </w:p>
    <w:p>
      <w:pPr>
        <w:spacing w:before="120" w:after="120"/>
        <w:jc w:val="center"/>
      </w:pPr>
      <w:r>
        <w:drawing>
          <wp:inline xmlns:a="http://schemas.openxmlformats.org/drawingml/2006/main" xmlns:pic="http://schemas.openxmlformats.org/drawingml/2006/picture">
            <wp:extent cx="6035040" cy="2999665"/>
            <wp:docPr id="8" name="Picture 8"/>
            <wp:cNvGraphicFramePr>
              <a:graphicFrameLocks noChangeAspect="1"/>
            </wp:cNvGraphicFramePr>
            <a:graphic>
              <a:graphicData uri="http://schemas.openxmlformats.org/drawingml/2006/picture">
                <pic:pic>
                  <pic:nvPicPr>
                    <pic:cNvPr id="0" name="CU08_Gestionar_proveedores_de_mercader_a.png"/>
                    <pic:cNvPicPr/>
                  </pic:nvPicPr>
                  <pic:blipFill>
                    <a:blip r:embed="rId16"/>
                    <a:stretch>
                      <a:fillRect/>
                    </a:stretch>
                  </pic:blipFill>
                  <pic:spPr>
                    <a:xfrm>
                      <a:off x="0" y="0"/>
                      <a:ext cx="6035040" cy="2999665"/>
                    </a:xfrm>
                    <a:prstGeom prst="rect"/>
                  </pic:spPr>
                </pic:pic>
              </a:graphicData>
            </a:graphic>
          </wp:inline>
        </w:drawing>
      </w:r>
    </w:p>
    <w:p>
      <w:pPr>
        <w:spacing w:after="160"/>
        <w:jc w:val="center"/>
      </w:pPr>
      <w:r>
        <w:rPr>
          <w:i/>
          <w:color w:val="64748B"/>
          <w:sz w:val="17"/>
        </w:rPr>
        <w:t>Figura: Diagrama de Análisis de Clases (BCE) — CU08: Gestionar proveedores de mercadería</w:t>
      </w:r>
    </w:p>
    <w:p>
      <w:pPr>
        <w:spacing w:after="60"/>
      </w:pPr>
      <w:r>
        <w:rPr>
          <w:b/>
          <w:color w:val="1E1B4B"/>
          <w:sz w:val="19"/>
        </w:rPr>
        <w:t>Especificación de Clases y Responsabilidades del Caso de Uso:</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1872"/>
            <w:shd w:fill="EDE9FE"/>
          </w:tcPr>
          <w:p>
            <w:r>
              <w:rPr>
                <w:b/>
                <w:color w:val="4338CA"/>
                <w:sz w:val="18"/>
              </w:rPr>
              <w:t>Estereotipo</w:t>
            </w:r>
          </w:p>
        </w:tc>
        <w:tc>
          <w:tcPr>
            <w:tcW w:type="dxa" w:w="3168"/>
            <w:shd w:fill="EDE9FE"/>
          </w:tcPr>
          <w:p>
            <w:r>
              <w:rPr>
                <w:b/>
                <w:color w:val="4338CA"/>
                <w:sz w:val="18"/>
              </w:rPr>
              <w:t>Nombre de Clase</w:t>
            </w:r>
          </w:p>
        </w:tc>
        <w:tc>
          <w:tcPr>
            <w:tcW w:type="dxa" w:w="4752"/>
            <w:shd w:fill="EDE9FE"/>
          </w:tcPr>
          <w:p>
            <w:r>
              <w:rPr>
                <w:b/>
                <w:color w:val="4338CA"/>
                <w:sz w:val="18"/>
              </w:rPr>
              <w:t>Responsabilidad en el Caso de Uso</w:t>
            </w:r>
          </w:p>
        </w:tc>
      </w:tr>
      <w:tr>
        <w:tc>
          <w:tcPr>
            <w:tcW w:type="dxa" w:w="1872"/>
          </w:tcPr>
          <w:p>
            <w:pPr>
              <w:spacing w:before="40" w:after="40"/>
            </w:pPr>
            <w:r>
              <w:rPr>
                <w:rFonts w:ascii="Calibri" w:hAnsi="Calibri"/>
                <w:sz w:val="17"/>
              </w:rPr>
              <w:t>Boundary (IU)</w:t>
            </w:r>
          </w:p>
        </w:tc>
        <w:tc>
          <w:tcPr>
            <w:tcW w:type="dxa" w:w="3168"/>
          </w:tcPr>
          <w:p>
            <w:pPr>
              <w:spacing w:before="40" w:after="40"/>
            </w:pPr>
            <w:r>
              <w:rPr>
                <w:rFonts w:ascii="Calibri" w:hAnsi="Calibri"/>
                <w:sz w:val="17"/>
              </w:rPr>
              <w:t>IU_GestionProveedores</w:t>
            </w:r>
          </w:p>
        </w:tc>
        <w:tc>
          <w:tcPr>
            <w:tcW w:type="dxa" w:w="4752"/>
          </w:tcPr>
          <w:p>
            <w:pPr>
              <w:spacing w:before="40" w:after="40"/>
            </w:pPr>
            <w:r>
              <w:rPr>
                <w:rFonts w:ascii="Calibri" w:hAnsi="Calibri"/>
                <w:sz w:val="17"/>
              </w:rPr>
              <w:t>Interfaz gráfica del actor Encargado de Almacén. Captura eventos de usuario y despliega datos y alertas.</w:t>
            </w:r>
          </w:p>
        </w:tc>
      </w:tr>
      <w:tr>
        <w:tc>
          <w:tcPr>
            <w:tcW w:type="dxa" w:w="1872"/>
          </w:tcPr>
          <w:p>
            <w:pPr>
              <w:spacing w:before="40" w:after="40"/>
            </w:pPr>
            <w:r>
              <w:rPr>
                <w:rFonts w:ascii="Calibri" w:hAnsi="Calibri"/>
                <w:sz w:val="17"/>
              </w:rPr>
              <w:t>Control (CTR)</w:t>
            </w:r>
          </w:p>
        </w:tc>
        <w:tc>
          <w:tcPr>
            <w:tcW w:type="dxa" w:w="3168"/>
          </w:tcPr>
          <w:p>
            <w:pPr>
              <w:spacing w:before="40" w:after="40"/>
            </w:pPr>
            <w:r>
              <w:rPr>
                <w:rFonts w:ascii="Calibri" w:hAnsi="Calibri"/>
                <w:sz w:val="17"/>
              </w:rPr>
              <w:t>CTR_Proveedores</w:t>
            </w:r>
          </w:p>
        </w:tc>
        <w:tc>
          <w:tcPr>
            <w:tcW w:type="dxa" w:w="4752"/>
          </w:tcPr>
          <w:p>
            <w:pPr>
              <w:spacing w:before="40" w:after="40"/>
            </w:pPr>
            <w:r>
              <w:rPr>
                <w:rFonts w:ascii="Calibri" w:hAnsi="Calibri"/>
                <w:sz w:val="17"/>
              </w:rPr>
              <w:t>Orquestador de lógica del negocio. Ejecuta validaciones y coordina operaciones sobre las entidades.</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CE_Supplier</w:t>
            </w:r>
          </w:p>
        </w:tc>
        <w:tc>
          <w:tcPr>
            <w:tcW w:type="dxa" w:w="4752"/>
          </w:tcPr>
          <w:p>
            <w:pPr>
              <w:spacing w:before="40" w:after="40"/>
            </w:pPr>
            <w:r>
              <w:rPr>
                <w:rFonts w:ascii="Calibri" w:hAnsi="Calibri"/>
                <w:sz w:val="17"/>
              </w:rPr>
              <w:t>Persistencia física en PostgreSQL. Mapea atributos (id, nit, company_name, contact_name...)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CE_PurchaseOrder</w:t>
            </w:r>
          </w:p>
        </w:tc>
        <w:tc>
          <w:tcPr>
            <w:tcW w:type="dxa" w:w="4752"/>
          </w:tcPr>
          <w:p>
            <w:pPr>
              <w:spacing w:before="40" w:after="40"/>
            </w:pPr>
            <w:r>
              <w:rPr>
                <w:rFonts w:ascii="Calibri" w:hAnsi="Calibri"/>
                <w:sz w:val="17"/>
              </w:rPr>
              <w:t>Persistencia física en PostgreSQL. Mapea atributos (id, supplier_id, total_amount, status...) y estado transaccional.</w:t>
            </w:r>
          </w:p>
        </w:tc>
      </w:tr>
    </w:tbl>
    <w:p>
      <w:pPr>
        <w:spacing w:after="240"/>
      </w:pPr>
    </w:p>
    <w:p>
      <w:pPr>
        <w:pStyle w:val="Heading2"/>
        <w:spacing w:before="280" w:after="80"/>
      </w:pPr>
      <w:r>
        <w:t>CU09: Gestionar empleados de sucursal</w:t>
      </w:r>
    </w:p>
    <w:p>
      <w:pPr>
        <w:spacing w:after="160"/>
      </w:pPr>
      <w:r>
        <w:rPr>
          <w:b/>
          <w:color w:val="475569"/>
          <w:sz w:val="20"/>
        </w:rPr>
        <w:t>Actor Primario: Superadmin   |   Paquete Arquitectónico: catalogo_y_tiendas</w:t>
      </w:r>
    </w:p>
    <w:p>
      <w:pPr>
        <w:spacing w:before="120" w:after="120"/>
        <w:jc w:val="center"/>
      </w:pPr>
      <w:r>
        <w:drawing>
          <wp:inline xmlns:a="http://schemas.openxmlformats.org/drawingml/2006/main" xmlns:pic="http://schemas.openxmlformats.org/drawingml/2006/picture">
            <wp:extent cx="6035040" cy="3249637"/>
            <wp:docPr id="9" name="Picture 9"/>
            <wp:cNvGraphicFramePr>
              <a:graphicFrameLocks noChangeAspect="1"/>
            </wp:cNvGraphicFramePr>
            <a:graphic>
              <a:graphicData uri="http://schemas.openxmlformats.org/drawingml/2006/picture">
                <pic:pic>
                  <pic:nvPicPr>
                    <pic:cNvPr id="0" name="CU09_Gestionar_empleados_de_sucursal.png"/>
                    <pic:cNvPicPr/>
                  </pic:nvPicPr>
                  <pic:blipFill>
                    <a:blip r:embed="rId17"/>
                    <a:stretch>
                      <a:fillRect/>
                    </a:stretch>
                  </pic:blipFill>
                  <pic:spPr>
                    <a:xfrm>
                      <a:off x="0" y="0"/>
                      <a:ext cx="6035040" cy="3249637"/>
                    </a:xfrm>
                    <a:prstGeom prst="rect"/>
                  </pic:spPr>
                </pic:pic>
              </a:graphicData>
            </a:graphic>
          </wp:inline>
        </w:drawing>
      </w:r>
    </w:p>
    <w:p>
      <w:pPr>
        <w:spacing w:after="160"/>
        <w:jc w:val="center"/>
      </w:pPr>
      <w:r>
        <w:rPr>
          <w:i/>
          <w:color w:val="64748B"/>
          <w:sz w:val="17"/>
        </w:rPr>
        <w:t>Figura: Diagrama de Análisis de Clases (BCE) — CU09: Gestionar empleados de sucursal</w:t>
      </w:r>
    </w:p>
    <w:p>
      <w:pPr>
        <w:spacing w:after="60"/>
      </w:pPr>
      <w:r>
        <w:rPr>
          <w:b/>
          <w:color w:val="1E1B4B"/>
          <w:sz w:val="19"/>
        </w:rPr>
        <w:t>Especificación de Clases y Responsabilidades del Caso de Uso:</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1872"/>
            <w:shd w:fill="EDE9FE"/>
          </w:tcPr>
          <w:p>
            <w:r>
              <w:rPr>
                <w:b/>
                <w:color w:val="4338CA"/>
                <w:sz w:val="18"/>
              </w:rPr>
              <w:t>Estereotipo</w:t>
            </w:r>
          </w:p>
        </w:tc>
        <w:tc>
          <w:tcPr>
            <w:tcW w:type="dxa" w:w="3168"/>
            <w:shd w:fill="EDE9FE"/>
          </w:tcPr>
          <w:p>
            <w:r>
              <w:rPr>
                <w:b/>
                <w:color w:val="4338CA"/>
                <w:sz w:val="18"/>
              </w:rPr>
              <w:t>Nombre de Clase</w:t>
            </w:r>
          </w:p>
        </w:tc>
        <w:tc>
          <w:tcPr>
            <w:tcW w:type="dxa" w:w="4752"/>
            <w:shd w:fill="EDE9FE"/>
          </w:tcPr>
          <w:p>
            <w:r>
              <w:rPr>
                <w:b/>
                <w:color w:val="4338CA"/>
                <w:sz w:val="18"/>
              </w:rPr>
              <w:t>Responsabilidad en el Caso de Uso</w:t>
            </w:r>
          </w:p>
        </w:tc>
      </w:tr>
      <w:tr>
        <w:tc>
          <w:tcPr>
            <w:tcW w:type="dxa" w:w="1872"/>
          </w:tcPr>
          <w:p>
            <w:pPr>
              <w:spacing w:before="40" w:after="40"/>
            </w:pPr>
            <w:r>
              <w:rPr>
                <w:rFonts w:ascii="Calibri" w:hAnsi="Calibri"/>
                <w:sz w:val="17"/>
              </w:rPr>
              <w:t>Boundary (IU)</w:t>
            </w:r>
          </w:p>
        </w:tc>
        <w:tc>
          <w:tcPr>
            <w:tcW w:type="dxa" w:w="3168"/>
          </w:tcPr>
          <w:p>
            <w:pPr>
              <w:spacing w:before="40" w:after="40"/>
            </w:pPr>
            <w:r>
              <w:rPr>
                <w:rFonts w:ascii="Calibri" w:hAnsi="Calibri"/>
                <w:sz w:val="17"/>
              </w:rPr>
              <w:t>IU_GestionEmpleados</w:t>
            </w:r>
          </w:p>
        </w:tc>
        <w:tc>
          <w:tcPr>
            <w:tcW w:type="dxa" w:w="4752"/>
          </w:tcPr>
          <w:p>
            <w:pPr>
              <w:spacing w:before="40" w:after="40"/>
            </w:pPr>
            <w:r>
              <w:rPr>
                <w:rFonts w:ascii="Calibri" w:hAnsi="Calibri"/>
                <w:sz w:val="17"/>
              </w:rPr>
              <w:t>Interfaz gráfica del actor Superadmin. Captura eventos de usuario y despliega datos y alertas.</w:t>
            </w:r>
          </w:p>
        </w:tc>
      </w:tr>
      <w:tr>
        <w:tc>
          <w:tcPr>
            <w:tcW w:type="dxa" w:w="1872"/>
          </w:tcPr>
          <w:p>
            <w:pPr>
              <w:spacing w:before="40" w:after="40"/>
            </w:pPr>
            <w:r>
              <w:rPr>
                <w:rFonts w:ascii="Calibri" w:hAnsi="Calibri"/>
                <w:sz w:val="17"/>
              </w:rPr>
              <w:t>Control (CTR)</w:t>
            </w:r>
          </w:p>
        </w:tc>
        <w:tc>
          <w:tcPr>
            <w:tcW w:type="dxa" w:w="3168"/>
          </w:tcPr>
          <w:p>
            <w:pPr>
              <w:spacing w:before="40" w:after="40"/>
            </w:pPr>
            <w:r>
              <w:rPr>
                <w:rFonts w:ascii="Calibri" w:hAnsi="Calibri"/>
                <w:sz w:val="17"/>
              </w:rPr>
              <w:t>CTR_Empleados</w:t>
            </w:r>
          </w:p>
        </w:tc>
        <w:tc>
          <w:tcPr>
            <w:tcW w:type="dxa" w:w="4752"/>
          </w:tcPr>
          <w:p>
            <w:pPr>
              <w:spacing w:before="40" w:after="40"/>
            </w:pPr>
            <w:r>
              <w:rPr>
                <w:rFonts w:ascii="Calibri" w:hAnsi="Calibri"/>
                <w:sz w:val="17"/>
              </w:rPr>
              <w:t>Orquestador de lógica del negocio. Ejecuta validaciones y coordina operaciones sobre las entidades.</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CE_BranchEmployee</w:t>
            </w:r>
          </w:p>
        </w:tc>
        <w:tc>
          <w:tcPr>
            <w:tcW w:type="dxa" w:w="4752"/>
          </w:tcPr>
          <w:p>
            <w:pPr>
              <w:spacing w:before="40" w:after="40"/>
            </w:pPr>
            <w:r>
              <w:rPr>
                <w:rFonts w:ascii="Calibri" w:hAnsi="Calibri"/>
                <w:sz w:val="17"/>
              </w:rPr>
              <w:t>Persistencia física en PostgreSQL. Mapea atributos (id, branch_id, user_id, hire_date...)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CE_User</w:t>
            </w:r>
          </w:p>
        </w:tc>
        <w:tc>
          <w:tcPr>
            <w:tcW w:type="dxa" w:w="4752"/>
          </w:tcPr>
          <w:p>
            <w:pPr>
              <w:spacing w:before="40" w:after="40"/>
            </w:pPr>
            <w:r>
              <w:rPr>
                <w:rFonts w:ascii="Calibri" w:hAnsi="Calibri"/>
                <w:sz w:val="17"/>
              </w:rPr>
              <w:t>Persistencia física en PostgreSQL. Mapea atributos (id, first_name, last_name, email...)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CE_Branch</w:t>
            </w:r>
          </w:p>
        </w:tc>
        <w:tc>
          <w:tcPr>
            <w:tcW w:type="dxa" w:w="4752"/>
          </w:tcPr>
          <w:p>
            <w:pPr>
              <w:spacing w:before="40" w:after="40"/>
            </w:pPr>
            <w:r>
              <w:rPr>
                <w:rFonts w:ascii="Calibri" w:hAnsi="Calibri"/>
                <w:sz w:val="17"/>
              </w:rPr>
              <w:t>Persistencia física en PostgreSQL. Mapea atributos (id, name, code, address...) y estado transaccional.</w:t>
            </w:r>
          </w:p>
        </w:tc>
      </w:tr>
    </w:tbl>
    <w:p>
      <w:pPr>
        <w:spacing w:after="240"/>
      </w:pPr>
    </w:p>
    <w:p>
      <w:pPr>
        <w:pStyle w:val="Heading2"/>
        <w:spacing w:before="280" w:after="80"/>
      </w:pPr>
      <w:r>
        <w:t>CU10: Registrar compras e ingresos de mercadería</w:t>
      </w:r>
    </w:p>
    <w:p>
      <w:pPr>
        <w:spacing w:after="160"/>
      </w:pPr>
      <w:r>
        <w:rPr>
          <w:b/>
          <w:color w:val="475569"/>
          <w:sz w:val="20"/>
        </w:rPr>
        <w:t>Actor Primario: Encargado de Almacén   |   Paquete Arquitectónico: inventario_y_proveedores</w:t>
      </w:r>
    </w:p>
    <w:p>
      <w:pPr>
        <w:spacing w:before="120" w:after="120"/>
        <w:jc w:val="center"/>
      </w:pPr>
      <w:r>
        <w:drawing>
          <wp:inline xmlns:a="http://schemas.openxmlformats.org/drawingml/2006/main" xmlns:pic="http://schemas.openxmlformats.org/drawingml/2006/picture">
            <wp:extent cx="6035040" cy="3114251"/>
            <wp:docPr id="10" name="Picture 10"/>
            <wp:cNvGraphicFramePr>
              <a:graphicFrameLocks noChangeAspect="1"/>
            </wp:cNvGraphicFramePr>
            <a:graphic>
              <a:graphicData uri="http://schemas.openxmlformats.org/drawingml/2006/picture">
                <pic:pic>
                  <pic:nvPicPr>
                    <pic:cNvPr id="0" name="CU10_Registrar_compras_e_ingresos_de_mercader_a.png"/>
                    <pic:cNvPicPr/>
                  </pic:nvPicPr>
                  <pic:blipFill>
                    <a:blip r:embed="rId18"/>
                    <a:stretch>
                      <a:fillRect/>
                    </a:stretch>
                  </pic:blipFill>
                  <pic:spPr>
                    <a:xfrm>
                      <a:off x="0" y="0"/>
                      <a:ext cx="6035040" cy="3114251"/>
                    </a:xfrm>
                    <a:prstGeom prst="rect"/>
                  </pic:spPr>
                </pic:pic>
              </a:graphicData>
            </a:graphic>
          </wp:inline>
        </w:drawing>
      </w:r>
    </w:p>
    <w:p>
      <w:pPr>
        <w:spacing w:after="160"/>
        <w:jc w:val="center"/>
      </w:pPr>
      <w:r>
        <w:rPr>
          <w:i/>
          <w:color w:val="64748B"/>
          <w:sz w:val="17"/>
        </w:rPr>
        <w:t>Figura: Diagrama de Análisis de Clases (BCE) — CU10: Registrar compras e ingresos de mercadería</w:t>
      </w:r>
    </w:p>
    <w:p>
      <w:pPr>
        <w:spacing w:after="60"/>
      </w:pPr>
      <w:r>
        <w:rPr>
          <w:b/>
          <w:color w:val="1E1B4B"/>
          <w:sz w:val="19"/>
        </w:rPr>
        <w:t>Especificación de Clases y Responsabilidades del Caso de Uso:</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1872"/>
            <w:shd w:fill="EDE9FE"/>
          </w:tcPr>
          <w:p>
            <w:r>
              <w:rPr>
                <w:b/>
                <w:color w:val="4338CA"/>
                <w:sz w:val="18"/>
              </w:rPr>
              <w:t>Estereotipo</w:t>
            </w:r>
          </w:p>
        </w:tc>
        <w:tc>
          <w:tcPr>
            <w:tcW w:type="dxa" w:w="3168"/>
            <w:shd w:fill="EDE9FE"/>
          </w:tcPr>
          <w:p>
            <w:r>
              <w:rPr>
                <w:b/>
                <w:color w:val="4338CA"/>
                <w:sz w:val="18"/>
              </w:rPr>
              <w:t>Nombre de Clase</w:t>
            </w:r>
          </w:p>
        </w:tc>
        <w:tc>
          <w:tcPr>
            <w:tcW w:type="dxa" w:w="4752"/>
            <w:shd w:fill="EDE9FE"/>
          </w:tcPr>
          <w:p>
            <w:r>
              <w:rPr>
                <w:b/>
                <w:color w:val="4338CA"/>
                <w:sz w:val="18"/>
              </w:rPr>
              <w:t>Responsabilidad en el Caso de Uso</w:t>
            </w:r>
          </w:p>
        </w:tc>
      </w:tr>
      <w:tr>
        <w:tc>
          <w:tcPr>
            <w:tcW w:type="dxa" w:w="1872"/>
          </w:tcPr>
          <w:p>
            <w:pPr>
              <w:spacing w:before="40" w:after="40"/>
            </w:pPr>
            <w:r>
              <w:rPr>
                <w:rFonts w:ascii="Calibri" w:hAnsi="Calibri"/>
                <w:sz w:val="17"/>
              </w:rPr>
              <w:t>Boundary (IU)</w:t>
            </w:r>
          </w:p>
        </w:tc>
        <w:tc>
          <w:tcPr>
            <w:tcW w:type="dxa" w:w="3168"/>
          </w:tcPr>
          <w:p>
            <w:pPr>
              <w:spacing w:before="40" w:after="40"/>
            </w:pPr>
            <w:r>
              <w:rPr>
                <w:rFonts w:ascii="Calibri" w:hAnsi="Calibri"/>
                <w:sz w:val="17"/>
              </w:rPr>
              <w:t>IU_RecepcionMercaderia</w:t>
            </w:r>
          </w:p>
        </w:tc>
        <w:tc>
          <w:tcPr>
            <w:tcW w:type="dxa" w:w="4752"/>
          </w:tcPr>
          <w:p>
            <w:pPr>
              <w:spacing w:before="40" w:after="40"/>
            </w:pPr>
            <w:r>
              <w:rPr>
                <w:rFonts w:ascii="Calibri" w:hAnsi="Calibri"/>
                <w:sz w:val="17"/>
              </w:rPr>
              <w:t>Interfaz gráfica del actor Encargado de Almacén. Captura eventos de usuario y despliega datos y alertas.</w:t>
            </w:r>
          </w:p>
        </w:tc>
      </w:tr>
      <w:tr>
        <w:tc>
          <w:tcPr>
            <w:tcW w:type="dxa" w:w="1872"/>
          </w:tcPr>
          <w:p>
            <w:pPr>
              <w:spacing w:before="40" w:after="40"/>
            </w:pPr>
            <w:r>
              <w:rPr>
                <w:rFonts w:ascii="Calibri" w:hAnsi="Calibri"/>
                <w:sz w:val="17"/>
              </w:rPr>
              <w:t>Control (CTR)</w:t>
            </w:r>
          </w:p>
        </w:tc>
        <w:tc>
          <w:tcPr>
            <w:tcW w:type="dxa" w:w="3168"/>
          </w:tcPr>
          <w:p>
            <w:pPr>
              <w:spacing w:before="40" w:after="40"/>
            </w:pPr>
            <w:r>
              <w:rPr>
                <w:rFonts w:ascii="Calibri" w:hAnsi="Calibri"/>
                <w:sz w:val="17"/>
              </w:rPr>
              <w:t>CTR_ComprasIngresos</w:t>
            </w:r>
          </w:p>
        </w:tc>
        <w:tc>
          <w:tcPr>
            <w:tcW w:type="dxa" w:w="4752"/>
          </w:tcPr>
          <w:p>
            <w:pPr>
              <w:spacing w:before="40" w:after="40"/>
            </w:pPr>
            <w:r>
              <w:rPr>
                <w:rFonts w:ascii="Calibri" w:hAnsi="Calibri"/>
                <w:sz w:val="17"/>
              </w:rPr>
              <w:t>Orquestador de lógica del negocio. Ejecuta validaciones y coordina operaciones sobre las entidades.</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CE_PurchaseOrder</w:t>
            </w:r>
          </w:p>
        </w:tc>
        <w:tc>
          <w:tcPr>
            <w:tcW w:type="dxa" w:w="4752"/>
          </w:tcPr>
          <w:p>
            <w:pPr>
              <w:spacing w:before="40" w:after="40"/>
            </w:pPr>
            <w:r>
              <w:rPr>
                <w:rFonts w:ascii="Calibri" w:hAnsi="Calibri"/>
                <w:sz w:val="17"/>
              </w:rPr>
              <w:t>Persistencia física en PostgreSQL. Mapea atributos (id, supplier_id, branch_id, invoice_number...)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CE_PurchaseDetail</w:t>
            </w:r>
          </w:p>
        </w:tc>
        <w:tc>
          <w:tcPr>
            <w:tcW w:type="dxa" w:w="4752"/>
          </w:tcPr>
          <w:p>
            <w:pPr>
              <w:spacing w:before="40" w:after="40"/>
            </w:pPr>
            <w:r>
              <w:rPr>
                <w:rFonts w:ascii="Calibri" w:hAnsi="Calibri"/>
                <w:sz w:val="17"/>
              </w:rPr>
              <w:t>Persistencia física en PostgreSQL. Mapea atributos (id, purchase_order_id, product_variant_id, quantity...)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CE_Inventory</w:t>
            </w:r>
          </w:p>
        </w:tc>
        <w:tc>
          <w:tcPr>
            <w:tcW w:type="dxa" w:w="4752"/>
          </w:tcPr>
          <w:p>
            <w:pPr>
              <w:spacing w:before="40" w:after="40"/>
            </w:pPr>
            <w:r>
              <w:rPr>
                <w:rFonts w:ascii="Calibri" w:hAnsi="Calibri"/>
                <w:sz w:val="17"/>
              </w:rPr>
              <w:t>Persistencia física en PostgreSQL. Mapea atributos (id, branch_id, product_variant_id, physical_stock...)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CE_InventoryLedger</w:t>
            </w:r>
          </w:p>
        </w:tc>
        <w:tc>
          <w:tcPr>
            <w:tcW w:type="dxa" w:w="4752"/>
          </w:tcPr>
          <w:p>
            <w:pPr>
              <w:spacing w:before="40" w:after="40"/>
            </w:pPr>
            <w:r>
              <w:rPr>
                <w:rFonts w:ascii="Calibri" w:hAnsi="Calibri"/>
                <w:sz w:val="17"/>
              </w:rPr>
              <w:t>Persistencia física en PostgreSQL. Mapea atributos (id, product_variant_id, branch_id, movement_type...) y estado transaccional.</w:t>
            </w:r>
          </w:p>
        </w:tc>
      </w:tr>
    </w:tbl>
    <w:p>
      <w:pPr>
        <w:spacing w:after="240"/>
      </w:pPr>
    </w:p>
    <w:p>
      <w:pPr>
        <w:pStyle w:val="Heading2"/>
        <w:spacing w:before="280" w:after="80"/>
      </w:pPr>
      <w:r>
        <w:t>CU11: Consultar catálogo de prendas (Cliente)</w:t>
      </w:r>
    </w:p>
    <w:p>
      <w:pPr>
        <w:spacing w:after="160"/>
      </w:pPr>
      <w:r>
        <w:rPr>
          <w:b/>
          <w:color w:val="475569"/>
          <w:sz w:val="20"/>
        </w:rPr>
        <w:t>Actor Primario: Cliente / Visitante   |   Paquete Arquitectónico: catalogo_y_tiendas</w:t>
      </w:r>
    </w:p>
    <w:p>
      <w:pPr>
        <w:spacing w:before="120" w:after="120"/>
        <w:jc w:val="center"/>
      </w:pPr>
      <w:r>
        <w:drawing>
          <wp:inline xmlns:a="http://schemas.openxmlformats.org/drawingml/2006/main" xmlns:pic="http://schemas.openxmlformats.org/drawingml/2006/picture">
            <wp:extent cx="6035040" cy="3079737"/>
            <wp:docPr id="11" name="Picture 11"/>
            <wp:cNvGraphicFramePr>
              <a:graphicFrameLocks noChangeAspect="1"/>
            </wp:cNvGraphicFramePr>
            <a:graphic>
              <a:graphicData uri="http://schemas.openxmlformats.org/drawingml/2006/picture">
                <pic:pic>
                  <pic:nvPicPr>
                    <pic:cNvPr id="0" name="CU11_Consultar_cat_logo_de_prendas_Cliente.png"/>
                    <pic:cNvPicPr/>
                  </pic:nvPicPr>
                  <pic:blipFill>
                    <a:blip r:embed="rId19"/>
                    <a:stretch>
                      <a:fillRect/>
                    </a:stretch>
                  </pic:blipFill>
                  <pic:spPr>
                    <a:xfrm>
                      <a:off x="0" y="0"/>
                      <a:ext cx="6035040" cy="3079737"/>
                    </a:xfrm>
                    <a:prstGeom prst="rect"/>
                  </pic:spPr>
                </pic:pic>
              </a:graphicData>
            </a:graphic>
          </wp:inline>
        </w:drawing>
      </w:r>
    </w:p>
    <w:p>
      <w:pPr>
        <w:spacing w:after="160"/>
        <w:jc w:val="center"/>
      </w:pPr>
      <w:r>
        <w:rPr>
          <w:i/>
          <w:color w:val="64748B"/>
          <w:sz w:val="17"/>
        </w:rPr>
        <w:t>Figura: Diagrama de Análisis de Clases (BCE) — CU11: Consultar catálogo de prendas (Cliente)</w:t>
      </w:r>
    </w:p>
    <w:p>
      <w:pPr>
        <w:spacing w:after="60"/>
      </w:pPr>
      <w:r>
        <w:rPr>
          <w:b/>
          <w:color w:val="1E1B4B"/>
          <w:sz w:val="19"/>
        </w:rPr>
        <w:t>Especificación de Clases y Responsabilidades del Caso de Uso:</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1872"/>
            <w:shd w:fill="EDE9FE"/>
          </w:tcPr>
          <w:p>
            <w:r>
              <w:rPr>
                <w:b/>
                <w:color w:val="4338CA"/>
                <w:sz w:val="18"/>
              </w:rPr>
              <w:t>Estereotipo</w:t>
            </w:r>
          </w:p>
        </w:tc>
        <w:tc>
          <w:tcPr>
            <w:tcW w:type="dxa" w:w="3168"/>
            <w:shd w:fill="EDE9FE"/>
          </w:tcPr>
          <w:p>
            <w:r>
              <w:rPr>
                <w:b/>
                <w:color w:val="4338CA"/>
                <w:sz w:val="18"/>
              </w:rPr>
              <w:t>Nombre de Clase</w:t>
            </w:r>
          </w:p>
        </w:tc>
        <w:tc>
          <w:tcPr>
            <w:tcW w:type="dxa" w:w="4752"/>
            <w:shd w:fill="EDE9FE"/>
          </w:tcPr>
          <w:p>
            <w:r>
              <w:rPr>
                <w:b/>
                <w:color w:val="4338CA"/>
                <w:sz w:val="18"/>
              </w:rPr>
              <w:t>Responsabilidad en el Caso de Uso</w:t>
            </w:r>
          </w:p>
        </w:tc>
      </w:tr>
      <w:tr>
        <w:tc>
          <w:tcPr>
            <w:tcW w:type="dxa" w:w="1872"/>
          </w:tcPr>
          <w:p>
            <w:pPr>
              <w:spacing w:before="40" w:after="40"/>
            </w:pPr>
            <w:r>
              <w:rPr>
                <w:rFonts w:ascii="Calibri" w:hAnsi="Calibri"/>
                <w:sz w:val="17"/>
              </w:rPr>
              <w:t>Boundary (IU)</w:t>
            </w:r>
          </w:p>
        </w:tc>
        <w:tc>
          <w:tcPr>
            <w:tcW w:type="dxa" w:w="3168"/>
          </w:tcPr>
          <w:p>
            <w:pPr>
              <w:spacing w:before="40" w:after="40"/>
            </w:pPr>
            <w:r>
              <w:rPr>
                <w:rFonts w:ascii="Calibri" w:hAnsi="Calibri"/>
                <w:sz w:val="17"/>
              </w:rPr>
              <w:t>IU_CatalogoTienda</w:t>
            </w:r>
          </w:p>
        </w:tc>
        <w:tc>
          <w:tcPr>
            <w:tcW w:type="dxa" w:w="4752"/>
          </w:tcPr>
          <w:p>
            <w:pPr>
              <w:spacing w:before="40" w:after="40"/>
            </w:pPr>
            <w:r>
              <w:rPr>
                <w:rFonts w:ascii="Calibri" w:hAnsi="Calibri"/>
                <w:sz w:val="17"/>
              </w:rPr>
              <w:t>Interfaz gráfica del actor Cliente / Visitante. Captura eventos de usuario y despliega datos y alertas.</w:t>
            </w:r>
          </w:p>
        </w:tc>
      </w:tr>
      <w:tr>
        <w:tc>
          <w:tcPr>
            <w:tcW w:type="dxa" w:w="1872"/>
          </w:tcPr>
          <w:p>
            <w:pPr>
              <w:spacing w:before="40" w:after="40"/>
            </w:pPr>
            <w:r>
              <w:rPr>
                <w:rFonts w:ascii="Calibri" w:hAnsi="Calibri"/>
                <w:sz w:val="17"/>
              </w:rPr>
              <w:t>Control (CTR)</w:t>
            </w:r>
          </w:p>
        </w:tc>
        <w:tc>
          <w:tcPr>
            <w:tcW w:type="dxa" w:w="3168"/>
          </w:tcPr>
          <w:p>
            <w:pPr>
              <w:spacing w:before="40" w:after="40"/>
            </w:pPr>
            <w:r>
              <w:rPr>
                <w:rFonts w:ascii="Calibri" w:hAnsi="Calibri"/>
                <w:sz w:val="17"/>
              </w:rPr>
              <w:t>CTR_CatalogoPublico</w:t>
            </w:r>
          </w:p>
        </w:tc>
        <w:tc>
          <w:tcPr>
            <w:tcW w:type="dxa" w:w="4752"/>
          </w:tcPr>
          <w:p>
            <w:pPr>
              <w:spacing w:before="40" w:after="40"/>
            </w:pPr>
            <w:r>
              <w:rPr>
                <w:rFonts w:ascii="Calibri" w:hAnsi="Calibri"/>
                <w:sz w:val="17"/>
              </w:rPr>
              <w:t>Orquestador de lógica del negocio. Ejecuta validaciones y coordina operaciones sobre las entidades.</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CE_Product</w:t>
            </w:r>
          </w:p>
        </w:tc>
        <w:tc>
          <w:tcPr>
            <w:tcW w:type="dxa" w:w="4752"/>
          </w:tcPr>
          <w:p>
            <w:pPr>
              <w:spacing w:before="40" w:after="40"/>
            </w:pPr>
            <w:r>
              <w:rPr>
                <w:rFonts w:ascii="Calibri" w:hAnsi="Calibri"/>
                <w:sz w:val="17"/>
              </w:rPr>
              <w:t>Persistencia física en PostgreSQL. Mapea atributos (id, category_id, code, name...)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CE_ProductVariant</w:t>
            </w:r>
          </w:p>
        </w:tc>
        <w:tc>
          <w:tcPr>
            <w:tcW w:type="dxa" w:w="4752"/>
          </w:tcPr>
          <w:p>
            <w:pPr>
              <w:spacing w:before="40" w:after="40"/>
            </w:pPr>
            <w:r>
              <w:rPr>
                <w:rFonts w:ascii="Calibri" w:hAnsi="Calibri"/>
                <w:sz w:val="17"/>
              </w:rPr>
              <w:t>Persistencia física en PostgreSQL. Mapea atributos (id, product_id, color_id, size_id...)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CE_ProductImage</w:t>
            </w:r>
          </w:p>
        </w:tc>
        <w:tc>
          <w:tcPr>
            <w:tcW w:type="dxa" w:w="4752"/>
          </w:tcPr>
          <w:p>
            <w:pPr>
              <w:spacing w:before="40" w:after="40"/>
            </w:pPr>
            <w:r>
              <w:rPr>
                <w:rFonts w:ascii="Calibri" w:hAnsi="Calibri"/>
                <w:sz w:val="17"/>
              </w:rPr>
              <w:t>Persistencia física en PostgreSQL. Mapea atributos (id, product_id, color_id, image_url...)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CE_Category</w:t>
            </w:r>
          </w:p>
        </w:tc>
        <w:tc>
          <w:tcPr>
            <w:tcW w:type="dxa" w:w="4752"/>
          </w:tcPr>
          <w:p>
            <w:pPr>
              <w:spacing w:before="40" w:after="40"/>
            </w:pPr>
            <w:r>
              <w:rPr>
                <w:rFonts w:ascii="Calibri" w:hAnsi="Calibri"/>
                <w:sz w:val="17"/>
              </w:rPr>
              <w:t>Persistencia física en PostgreSQL. Mapea atributos (id, name, image_url...) y estado transaccional.</w:t>
            </w:r>
          </w:p>
        </w:tc>
      </w:tr>
    </w:tbl>
    <w:p>
      <w:pPr>
        <w:spacing w:after="240"/>
      </w:pPr>
    </w:p>
    <w:p>
      <w:pPr>
        <w:pStyle w:val="Heading2"/>
        <w:spacing w:before="280" w:after="80"/>
      </w:pPr>
      <w:r>
        <w:t>CU14: Reseñas y favoritos de prendas (Versión ligera)</w:t>
      </w:r>
    </w:p>
    <w:p>
      <w:pPr>
        <w:spacing w:after="160"/>
      </w:pPr>
      <w:r>
        <w:rPr>
          <w:b/>
          <w:color w:val="475569"/>
          <w:sz w:val="20"/>
        </w:rPr>
        <w:t>Actor Primario: Cliente Autenticado   |   Paquete Arquitectónico: catalogo_y_tiendas</w:t>
      </w:r>
    </w:p>
    <w:p>
      <w:pPr>
        <w:spacing w:before="120" w:after="120"/>
        <w:jc w:val="center"/>
      </w:pPr>
      <w:r>
        <w:drawing>
          <wp:inline xmlns:a="http://schemas.openxmlformats.org/drawingml/2006/main" xmlns:pic="http://schemas.openxmlformats.org/drawingml/2006/picture">
            <wp:extent cx="6035040" cy="3249637"/>
            <wp:docPr id="12" name="Picture 12"/>
            <wp:cNvGraphicFramePr>
              <a:graphicFrameLocks noChangeAspect="1"/>
            </wp:cNvGraphicFramePr>
            <a:graphic>
              <a:graphicData uri="http://schemas.openxmlformats.org/drawingml/2006/picture">
                <pic:pic>
                  <pic:nvPicPr>
                    <pic:cNvPr id="0" name="CU14_EXP_Wishlists_m_ltiples_compartibles_y_rese_as_con_moderaci_n.png"/>
                    <pic:cNvPicPr/>
                  </pic:nvPicPr>
                  <pic:blipFill>
                    <a:blip r:embed="rId20"/>
                    <a:stretch>
                      <a:fillRect/>
                    </a:stretch>
                  </pic:blipFill>
                  <pic:spPr>
                    <a:xfrm>
                      <a:off x="0" y="0"/>
                      <a:ext cx="6035040" cy="3249637"/>
                    </a:xfrm>
                    <a:prstGeom prst="rect"/>
                  </pic:spPr>
                </pic:pic>
              </a:graphicData>
            </a:graphic>
          </wp:inline>
        </w:drawing>
      </w:r>
    </w:p>
    <w:p>
      <w:pPr>
        <w:spacing w:after="160"/>
        <w:jc w:val="center"/>
      </w:pPr>
      <w:r>
        <w:rPr>
          <w:i/>
          <w:color w:val="64748B"/>
          <w:sz w:val="17"/>
        </w:rPr>
        <w:t>Figura: Diagrama de Análisis de Clases (BCE) — CU14: Reseñas y favoritos de prendas (Versión ligera)</w:t>
      </w:r>
    </w:p>
    <w:p>
      <w:pPr>
        <w:spacing w:after="60"/>
      </w:pPr>
      <w:r>
        <w:rPr>
          <w:b/>
          <w:color w:val="1E1B4B"/>
          <w:sz w:val="19"/>
        </w:rPr>
        <w:t>Especificación de Clases y Responsabilidades del Caso de Uso:</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1872"/>
            <w:shd w:fill="EDE9FE"/>
          </w:tcPr>
          <w:p>
            <w:r>
              <w:rPr>
                <w:b/>
                <w:color w:val="4338CA"/>
                <w:sz w:val="18"/>
              </w:rPr>
              <w:t>Estereotipo</w:t>
            </w:r>
          </w:p>
        </w:tc>
        <w:tc>
          <w:tcPr>
            <w:tcW w:type="dxa" w:w="3168"/>
            <w:shd w:fill="EDE9FE"/>
          </w:tcPr>
          <w:p>
            <w:r>
              <w:rPr>
                <w:b/>
                <w:color w:val="4338CA"/>
                <w:sz w:val="18"/>
              </w:rPr>
              <w:t>Nombre de Clase</w:t>
            </w:r>
          </w:p>
        </w:tc>
        <w:tc>
          <w:tcPr>
            <w:tcW w:type="dxa" w:w="4752"/>
            <w:shd w:fill="EDE9FE"/>
          </w:tcPr>
          <w:p>
            <w:r>
              <w:rPr>
                <w:b/>
                <w:color w:val="4338CA"/>
                <w:sz w:val="18"/>
              </w:rPr>
              <w:t>Responsabilidad en el Caso de Uso</w:t>
            </w:r>
          </w:p>
        </w:tc>
      </w:tr>
      <w:tr>
        <w:tc>
          <w:tcPr>
            <w:tcW w:type="dxa" w:w="1872"/>
          </w:tcPr>
          <w:p>
            <w:pPr>
              <w:spacing w:before="40" w:after="40"/>
            </w:pPr>
            <w:r>
              <w:rPr>
                <w:rFonts w:ascii="Calibri" w:hAnsi="Calibri"/>
                <w:sz w:val="17"/>
              </w:rPr>
              <w:t>Boundary (IU)</w:t>
            </w:r>
          </w:p>
        </w:tc>
        <w:tc>
          <w:tcPr>
            <w:tcW w:type="dxa" w:w="3168"/>
          </w:tcPr>
          <w:p>
            <w:pPr>
              <w:spacing w:before="40" w:after="40"/>
            </w:pPr>
            <w:r>
              <w:rPr>
                <w:rFonts w:ascii="Calibri" w:hAnsi="Calibri"/>
                <w:sz w:val="17"/>
              </w:rPr>
              <w:t>IU_ResenasFavoritos</w:t>
            </w:r>
          </w:p>
        </w:tc>
        <w:tc>
          <w:tcPr>
            <w:tcW w:type="dxa" w:w="4752"/>
          </w:tcPr>
          <w:p>
            <w:pPr>
              <w:spacing w:before="40" w:after="40"/>
            </w:pPr>
            <w:r>
              <w:rPr>
                <w:rFonts w:ascii="Calibri" w:hAnsi="Calibri"/>
                <w:sz w:val="17"/>
              </w:rPr>
              <w:t>Interfaz gráfica del actor Cliente Autenticado. Captura eventos de usuario y despliega datos y alertas.</w:t>
            </w:r>
          </w:p>
        </w:tc>
      </w:tr>
      <w:tr>
        <w:tc>
          <w:tcPr>
            <w:tcW w:type="dxa" w:w="1872"/>
          </w:tcPr>
          <w:p>
            <w:pPr>
              <w:spacing w:before="40" w:after="40"/>
            </w:pPr>
            <w:r>
              <w:rPr>
                <w:rFonts w:ascii="Calibri" w:hAnsi="Calibri"/>
                <w:sz w:val="17"/>
              </w:rPr>
              <w:t>Control (CTR)</w:t>
            </w:r>
          </w:p>
        </w:tc>
        <w:tc>
          <w:tcPr>
            <w:tcW w:type="dxa" w:w="3168"/>
          </w:tcPr>
          <w:p>
            <w:pPr>
              <w:spacing w:before="40" w:after="40"/>
            </w:pPr>
            <w:r>
              <w:rPr>
                <w:rFonts w:ascii="Calibri" w:hAnsi="Calibri"/>
                <w:sz w:val="17"/>
              </w:rPr>
              <w:t>CTR_ResenasFavoritos</w:t>
            </w:r>
          </w:p>
        </w:tc>
        <w:tc>
          <w:tcPr>
            <w:tcW w:type="dxa" w:w="4752"/>
          </w:tcPr>
          <w:p>
            <w:pPr>
              <w:spacing w:before="40" w:after="40"/>
            </w:pPr>
            <w:r>
              <w:rPr>
                <w:rFonts w:ascii="Calibri" w:hAnsi="Calibri"/>
                <w:sz w:val="17"/>
              </w:rPr>
              <w:t>Orquestador de lógica del negocio. Ejecuta validaciones y coordina operaciones sobre las entidades.</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CE_ProductReview</w:t>
            </w:r>
          </w:p>
        </w:tc>
        <w:tc>
          <w:tcPr>
            <w:tcW w:type="dxa" w:w="4752"/>
          </w:tcPr>
          <w:p>
            <w:pPr>
              <w:spacing w:before="40" w:after="40"/>
            </w:pPr>
            <w:r>
              <w:rPr>
                <w:rFonts w:ascii="Calibri" w:hAnsi="Calibri"/>
                <w:sz w:val="17"/>
              </w:rPr>
              <w:t>Persistencia física en PostgreSQL. Mapea atributos (id, user_id, product_id, rating...)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CE_WishlistItem</w:t>
            </w:r>
          </w:p>
        </w:tc>
        <w:tc>
          <w:tcPr>
            <w:tcW w:type="dxa" w:w="4752"/>
          </w:tcPr>
          <w:p>
            <w:pPr>
              <w:spacing w:before="40" w:after="40"/>
            </w:pPr>
            <w:r>
              <w:rPr>
                <w:rFonts w:ascii="Calibri" w:hAnsi="Calibri"/>
                <w:sz w:val="17"/>
              </w:rPr>
              <w:t>Persistencia física en PostgreSQL. Mapea atributos (id, user_id, product_id, added_at...)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CE_Product</w:t>
            </w:r>
          </w:p>
        </w:tc>
        <w:tc>
          <w:tcPr>
            <w:tcW w:type="dxa" w:w="4752"/>
          </w:tcPr>
          <w:p>
            <w:pPr>
              <w:spacing w:before="40" w:after="40"/>
            </w:pPr>
            <w:r>
              <w:rPr>
                <w:rFonts w:ascii="Calibri" w:hAnsi="Calibri"/>
                <w:sz w:val="17"/>
              </w:rPr>
              <w:t>Persistencia física en PostgreSQL. Mapea atributos (id, name, base_price...) y estado transaccional.</w:t>
            </w:r>
          </w:p>
        </w:tc>
      </w:tr>
    </w:tbl>
    <w:p>
      <w:pPr>
        <w:spacing w:after="240"/>
      </w:pPr>
    </w:p>
    <w:p>
      <w:pPr>
        <w:pStyle w:val="Heading2"/>
        <w:spacing w:before="280" w:after="80"/>
      </w:pPr>
      <w:r>
        <w:t>CU36: Consultar bitácora de auditoría del sistema</w:t>
      </w:r>
    </w:p>
    <w:p>
      <w:pPr>
        <w:spacing w:after="160"/>
      </w:pPr>
      <w:r>
        <w:rPr>
          <w:b/>
          <w:color w:val="475569"/>
          <w:sz w:val="20"/>
        </w:rPr>
        <w:t>Actor Primario: Superadmin   |   Paquete Arquitectónico: seguridad_y_usuarios</w:t>
      </w:r>
    </w:p>
    <w:p>
      <w:pPr>
        <w:spacing w:before="120" w:after="120"/>
        <w:jc w:val="center"/>
      </w:pPr>
      <w:r>
        <w:drawing>
          <wp:inline xmlns:a="http://schemas.openxmlformats.org/drawingml/2006/main" xmlns:pic="http://schemas.openxmlformats.org/drawingml/2006/picture">
            <wp:extent cx="6035040" cy="2999665"/>
            <wp:docPr id="13" name="Picture 13"/>
            <wp:cNvGraphicFramePr>
              <a:graphicFrameLocks noChangeAspect="1"/>
            </wp:cNvGraphicFramePr>
            <a:graphic>
              <a:graphicData uri="http://schemas.openxmlformats.org/drawingml/2006/picture">
                <pic:pic>
                  <pic:nvPicPr>
                    <pic:cNvPr id="0" name="CU36_Consultar_bit_cora_de_auditor_a_del_sistema.png"/>
                    <pic:cNvPicPr/>
                  </pic:nvPicPr>
                  <pic:blipFill>
                    <a:blip r:embed="rId21"/>
                    <a:stretch>
                      <a:fillRect/>
                    </a:stretch>
                  </pic:blipFill>
                  <pic:spPr>
                    <a:xfrm>
                      <a:off x="0" y="0"/>
                      <a:ext cx="6035040" cy="2999665"/>
                    </a:xfrm>
                    <a:prstGeom prst="rect"/>
                  </pic:spPr>
                </pic:pic>
              </a:graphicData>
            </a:graphic>
          </wp:inline>
        </w:drawing>
      </w:r>
    </w:p>
    <w:p>
      <w:pPr>
        <w:spacing w:after="160"/>
        <w:jc w:val="center"/>
      </w:pPr>
      <w:r>
        <w:rPr>
          <w:i/>
          <w:color w:val="64748B"/>
          <w:sz w:val="17"/>
        </w:rPr>
        <w:t>Figura: Diagrama de Análisis de Clases (BCE) — CU36: Consultar bitácora de auditoría del sistema</w:t>
      </w:r>
    </w:p>
    <w:p>
      <w:pPr>
        <w:spacing w:after="60"/>
      </w:pPr>
      <w:r>
        <w:rPr>
          <w:b/>
          <w:color w:val="1E1B4B"/>
          <w:sz w:val="19"/>
        </w:rPr>
        <w:t>Especificación de Clases y Responsabilidades del Caso de Uso:</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1872"/>
            <w:shd w:fill="EDE9FE"/>
          </w:tcPr>
          <w:p>
            <w:r>
              <w:rPr>
                <w:b/>
                <w:color w:val="4338CA"/>
                <w:sz w:val="18"/>
              </w:rPr>
              <w:t>Estereotipo</w:t>
            </w:r>
          </w:p>
        </w:tc>
        <w:tc>
          <w:tcPr>
            <w:tcW w:type="dxa" w:w="3168"/>
            <w:shd w:fill="EDE9FE"/>
          </w:tcPr>
          <w:p>
            <w:r>
              <w:rPr>
                <w:b/>
                <w:color w:val="4338CA"/>
                <w:sz w:val="18"/>
              </w:rPr>
              <w:t>Nombre de Clase</w:t>
            </w:r>
          </w:p>
        </w:tc>
        <w:tc>
          <w:tcPr>
            <w:tcW w:type="dxa" w:w="4752"/>
            <w:shd w:fill="EDE9FE"/>
          </w:tcPr>
          <w:p>
            <w:r>
              <w:rPr>
                <w:b/>
                <w:color w:val="4338CA"/>
                <w:sz w:val="18"/>
              </w:rPr>
              <w:t>Responsabilidad en el Caso de Uso</w:t>
            </w:r>
          </w:p>
        </w:tc>
      </w:tr>
      <w:tr>
        <w:tc>
          <w:tcPr>
            <w:tcW w:type="dxa" w:w="1872"/>
          </w:tcPr>
          <w:p>
            <w:pPr>
              <w:spacing w:before="40" w:after="40"/>
            </w:pPr>
            <w:r>
              <w:rPr>
                <w:rFonts w:ascii="Calibri" w:hAnsi="Calibri"/>
                <w:sz w:val="17"/>
              </w:rPr>
              <w:t>Boundary (IU)</w:t>
            </w:r>
          </w:p>
        </w:tc>
        <w:tc>
          <w:tcPr>
            <w:tcW w:type="dxa" w:w="3168"/>
          </w:tcPr>
          <w:p>
            <w:pPr>
              <w:spacing w:before="40" w:after="40"/>
            </w:pPr>
            <w:r>
              <w:rPr>
                <w:rFonts w:ascii="Calibri" w:hAnsi="Calibri"/>
                <w:sz w:val="17"/>
              </w:rPr>
              <w:t>IU_BitacoraAuditoria</w:t>
            </w:r>
          </w:p>
        </w:tc>
        <w:tc>
          <w:tcPr>
            <w:tcW w:type="dxa" w:w="4752"/>
          </w:tcPr>
          <w:p>
            <w:pPr>
              <w:spacing w:before="40" w:after="40"/>
            </w:pPr>
            <w:r>
              <w:rPr>
                <w:rFonts w:ascii="Calibri" w:hAnsi="Calibri"/>
                <w:sz w:val="17"/>
              </w:rPr>
              <w:t>Interfaz gráfica del actor Superadmin. Captura eventos de usuario y despliega datos y alertas.</w:t>
            </w:r>
          </w:p>
        </w:tc>
      </w:tr>
      <w:tr>
        <w:tc>
          <w:tcPr>
            <w:tcW w:type="dxa" w:w="1872"/>
          </w:tcPr>
          <w:p>
            <w:pPr>
              <w:spacing w:before="40" w:after="40"/>
            </w:pPr>
            <w:r>
              <w:rPr>
                <w:rFonts w:ascii="Calibri" w:hAnsi="Calibri"/>
                <w:sz w:val="17"/>
              </w:rPr>
              <w:t>Control (CTR)</w:t>
            </w:r>
          </w:p>
        </w:tc>
        <w:tc>
          <w:tcPr>
            <w:tcW w:type="dxa" w:w="3168"/>
          </w:tcPr>
          <w:p>
            <w:pPr>
              <w:spacing w:before="40" w:after="40"/>
            </w:pPr>
            <w:r>
              <w:rPr>
                <w:rFonts w:ascii="Calibri" w:hAnsi="Calibri"/>
                <w:sz w:val="17"/>
              </w:rPr>
              <w:t>CTR_Auditoria</w:t>
            </w:r>
          </w:p>
        </w:tc>
        <w:tc>
          <w:tcPr>
            <w:tcW w:type="dxa" w:w="4752"/>
          </w:tcPr>
          <w:p>
            <w:pPr>
              <w:spacing w:before="40" w:after="40"/>
            </w:pPr>
            <w:r>
              <w:rPr>
                <w:rFonts w:ascii="Calibri" w:hAnsi="Calibri"/>
                <w:sz w:val="17"/>
              </w:rPr>
              <w:t>Orquestador de lógica del negocio. Ejecuta validaciones y coordina operaciones sobre las entidades.</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CE_AuditLog</w:t>
            </w:r>
          </w:p>
        </w:tc>
        <w:tc>
          <w:tcPr>
            <w:tcW w:type="dxa" w:w="4752"/>
          </w:tcPr>
          <w:p>
            <w:pPr>
              <w:spacing w:before="40" w:after="40"/>
            </w:pPr>
            <w:r>
              <w:rPr>
                <w:rFonts w:ascii="Calibri" w:hAnsi="Calibri"/>
                <w:sz w:val="17"/>
              </w:rPr>
              <w:t>Persistencia física en PostgreSQL. Mapea atributos (id, user_id, action, table_name...)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CE_User</w:t>
            </w:r>
          </w:p>
        </w:tc>
        <w:tc>
          <w:tcPr>
            <w:tcW w:type="dxa" w:w="4752"/>
          </w:tcPr>
          <w:p>
            <w:pPr>
              <w:spacing w:before="40" w:after="40"/>
            </w:pPr>
            <w:r>
              <w:rPr>
                <w:rFonts w:ascii="Calibri" w:hAnsi="Calibri"/>
                <w:sz w:val="17"/>
              </w:rPr>
              <w:t>Persistencia física en PostgreSQL. Mapea atributos (id, first_name, last_name, email...) y estado transaccional.</w:t>
            </w:r>
          </w:p>
        </w:tc>
      </w:tr>
    </w:tbl>
    <w:p>
      <w:pPr>
        <w:spacing w:after="240"/>
      </w:pPr>
    </w:p>
    <w:p>
      <w:pPr>
        <w:pStyle w:val="Heading2"/>
        <w:spacing w:before="280" w:after="80"/>
      </w:pPr>
      <w:r>
        <w:t>CU37: Consultar valoración de inventario (CPP)</w:t>
      </w:r>
    </w:p>
    <w:p>
      <w:pPr>
        <w:spacing w:after="160"/>
      </w:pPr>
      <w:r>
        <w:rPr>
          <w:b/>
          <w:color w:val="475569"/>
          <w:sz w:val="20"/>
        </w:rPr>
        <w:t>Actor Primario: Superadmin / Encargado   |   Paquete Arquitectónico: inventario_y_proveedores</w:t>
      </w:r>
    </w:p>
    <w:p>
      <w:pPr>
        <w:spacing w:before="120" w:after="120"/>
        <w:jc w:val="center"/>
      </w:pPr>
      <w:r>
        <w:drawing>
          <wp:inline xmlns:a="http://schemas.openxmlformats.org/drawingml/2006/main" xmlns:pic="http://schemas.openxmlformats.org/drawingml/2006/picture">
            <wp:extent cx="6035040" cy="3249637"/>
            <wp:docPr id="14" name="Picture 14"/>
            <wp:cNvGraphicFramePr>
              <a:graphicFrameLocks noChangeAspect="1"/>
            </wp:cNvGraphicFramePr>
            <a:graphic>
              <a:graphicData uri="http://schemas.openxmlformats.org/drawingml/2006/picture">
                <pic:pic>
                  <pic:nvPicPr>
                    <pic:cNvPr id="0" name="CU37_Consultar_valoraci_n_de_inventario_CPP.png"/>
                    <pic:cNvPicPr/>
                  </pic:nvPicPr>
                  <pic:blipFill>
                    <a:blip r:embed="rId22"/>
                    <a:stretch>
                      <a:fillRect/>
                    </a:stretch>
                  </pic:blipFill>
                  <pic:spPr>
                    <a:xfrm>
                      <a:off x="0" y="0"/>
                      <a:ext cx="6035040" cy="3249637"/>
                    </a:xfrm>
                    <a:prstGeom prst="rect"/>
                  </pic:spPr>
                </pic:pic>
              </a:graphicData>
            </a:graphic>
          </wp:inline>
        </w:drawing>
      </w:r>
    </w:p>
    <w:p>
      <w:pPr>
        <w:spacing w:after="160"/>
        <w:jc w:val="center"/>
      </w:pPr>
      <w:r>
        <w:rPr>
          <w:i/>
          <w:color w:val="64748B"/>
          <w:sz w:val="17"/>
        </w:rPr>
        <w:t>Figura: Diagrama de Análisis de Clases (BCE) — CU37: Consultar valoración de inventario (CPP)</w:t>
      </w:r>
    </w:p>
    <w:p>
      <w:pPr>
        <w:spacing w:after="60"/>
      </w:pPr>
      <w:r>
        <w:rPr>
          <w:b/>
          <w:color w:val="1E1B4B"/>
          <w:sz w:val="19"/>
        </w:rPr>
        <w:t>Especificación de Clases y Responsabilidades del Caso de Uso:</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1872"/>
            <w:shd w:fill="EDE9FE"/>
          </w:tcPr>
          <w:p>
            <w:r>
              <w:rPr>
                <w:b/>
                <w:color w:val="4338CA"/>
                <w:sz w:val="18"/>
              </w:rPr>
              <w:t>Estereotipo</w:t>
            </w:r>
          </w:p>
        </w:tc>
        <w:tc>
          <w:tcPr>
            <w:tcW w:type="dxa" w:w="3168"/>
            <w:shd w:fill="EDE9FE"/>
          </w:tcPr>
          <w:p>
            <w:r>
              <w:rPr>
                <w:b/>
                <w:color w:val="4338CA"/>
                <w:sz w:val="18"/>
              </w:rPr>
              <w:t>Nombre de Clase</w:t>
            </w:r>
          </w:p>
        </w:tc>
        <w:tc>
          <w:tcPr>
            <w:tcW w:type="dxa" w:w="4752"/>
            <w:shd w:fill="EDE9FE"/>
          </w:tcPr>
          <w:p>
            <w:r>
              <w:rPr>
                <w:b/>
                <w:color w:val="4338CA"/>
                <w:sz w:val="18"/>
              </w:rPr>
              <w:t>Responsabilidad en el Caso de Uso</w:t>
            </w:r>
          </w:p>
        </w:tc>
      </w:tr>
      <w:tr>
        <w:tc>
          <w:tcPr>
            <w:tcW w:type="dxa" w:w="1872"/>
          </w:tcPr>
          <w:p>
            <w:pPr>
              <w:spacing w:before="40" w:after="40"/>
            </w:pPr>
            <w:r>
              <w:rPr>
                <w:rFonts w:ascii="Calibri" w:hAnsi="Calibri"/>
                <w:sz w:val="17"/>
              </w:rPr>
              <w:t>Boundary (IU)</w:t>
            </w:r>
          </w:p>
        </w:tc>
        <w:tc>
          <w:tcPr>
            <w:tcW w:type="dxa" w:w="3168"/>
          </w:tcPr>
          <w:p>
            <w:pPr>
              <w:spacing w:before="40" w:after="40"/>
            </w:pPr>
            <w:r>
              <w:rPr>
                <w:rFonts w:ascii="Calibri" w:hAnsi="Calibri"/>
                <w:sz w:val="17"/>
              </w:rPr>
              <w:t>IU_ValoracionInventario</w:t>
            </w:r>
          </w:p>
        </w:tc>
        <w:tc>
          <w:tcPr>
            <w:tcW w:type="dxa" w:w="4752"/>
          </w:tcPr>
          <w:p>
            <w:pPr>
              <w:spacing w:before="40" w:after="40"/>
            </w:pPr>
            <w:r>
              <w:rPr>
                <w:rFonts w:ascii="Calibri" w:hAnsi="Calibri"/>
                <w:sz w:val="17"/>
              </w:rPr>
              <w:t>Interfaz gráfica del actor Superadmin / Encargado. Captura eventos de usuario y despliega datos y alertas.</w:t>
            </w:r>
          </w:p>
        </w:tc>
      </w:tr>
      <w:tr>
        <w:tc>
          <w:tcPr>
            <w:tcW w:type="dxa" w:w="1872"/>
          </w:tcPr>
          <w:p>
            <w:pPr>
              <w:spacing w:before="40" w:after="40"/>
            </w:pPr>
            <w:r>
              <w:rPr>
                <w:rFonts w:ascii="Calibri" w:hAnsi="Calibri"/>
                <w:sz w:val="17"/>
              </w:rPr>
              <w:t>Control (CTR)</w:t>
            </w:r>
          </w:p>
        </w:tc>
        <w:tc>
          <w:tcPr>
            <w:tcW w:type="dxa" w:w="3168"/>
          </w:tcPr>
          <w:p>
            <w:pPr>
              <w:spacing w:before="40" w:after="40"/>
            </w:pPr>
            <w:r>
              <w:rPr>
                <w:rFonts w:ascii="Calibri" w:hAnsi="Calibri"/>
                <w:sz w:val="17"/>
              </w:rPr>
              <w:t>CTR_ValoracionInventario</w:t>
            </w:r>
          </w:p>
        </w:tc>
        <w:tc>
          <w:tcPr>
            <w:tcW w:type="dxa" w:w="4752"/>
          </w:tcPr>
          <w:p>
            <w:pPr>
              <w:spacing w:before="40" w:after="40"/>
            </w:pPr>
            <w:r>
              <w:rPr>
                <w:rFonts w:ascii="Calibri" w:hAnsi="Calibri"/>
                <w:sz w:val="17"/>
              </w:rPr>
              <w:t>Orquestador de lógica del negocio. Ejecuta validaciones y coordina operaciones sobre las entidades.</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CE_Inventory</w:t>
            </w:r>
          </w:p>
        </w:tc>
        <w:tc>
          <w:tcPr>
            <w:tcW w:type="dxa" w:w="4752"/>
          </w:tcPr>
          <w:p>
            <w:pPr>
              <w:spacing w:before="40" w:after="40"/>
            </w:pPr>
            <w:r>
              <w:rPr>
                <w:rFonts w:ascii="Calibri" w:hAnsi="Calibri"/>
                <w:sz w:val="17"/>
              </w:rPr>
              <w:t>Persistencia física en PostgreSQL. Mapea atributos (id, branch_id, product_variant_id, physical_stock...)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CE_InventoryLedger</w:t>
            </w:r>
          </w:p>
        </w:tc>
        <w:tc>
          <w:tcPr>
            <w:tcW w:type="dxa" w:w="4752"/>
          </w:tcPr>
          <w:p>
            <w:pPr>
              <w:spacing w:before="40" w:after="40"/>
            </w:pPr>
            <w:r>
              <w:rPr>
                <w:rFonts w:ascii="Calibri" w:hAnsi="Calibri"/>
                <w:sz w:val="17"/>
              </w:rPr>
              <w:t>Persistencia física en PostgreSQL. Mapea atributos (id, product_variant_id, branch_id, movement_type...)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CE_Branch</w:t>
            </w:r>
          </w:p>
        </w:tc>
        <w:tc>
          <w:tcPr>
            <w:tcW w:type="dxa" w:w="4752"/>
          </w:tcPr>
          <w:p>
            <w:pPr>
              <w:spacing w:before="40" w:after="40"/>
            </w:pPr>
            <w:r>
              <w:rPr>
                <w:rFonts w:ascii="Calibri" w:hAnsi="Calibri"/>
                <w:sz w:val="17"/>
              </w:rPr>
              <w:t>Persistencia física en PostgreSQL. Mapea atributos (id, name, code...) y estado transaccional.</w:t>
            </w:r>
          </w:p>
        </w:tc>
      </w:tr>
    </w:tbl>
    <w:p>
      <w:pPr>
        <w:spacing w:after="240"/>
      </w:pPr>
    </w:p>
    <w:p>
      <w:pPr>
        <w:pStyle w:val="Heading2"/>
        <w:spacing w:before="280" w:after="80"/>
      </w:pPr>
      <w:r>
        <w:t>CU38: Gestionar ajustes de inventario (Mermas y pérdidas)</w:t>
      </w:r>
    </w:p>
    <w:p>
      <w:pPr>
        <w:spacing w:after="160"/>
      </w:pPr>
      <w:r>
        <w:rPr>
          <w:b/>
          <w:color w:val="475569"/>
          <w:sz w:val="20"/>
        </w:rPr>
        <w:t>Actor Primario: Encargado de Sucursal   |   Paquete Arquitectónico: inventario_y_proveedores</w:t>
      </w:r>
    </w:p>
    <w:p>
      <w:pPr>
        <w:spacing w:before="120" w:after="120"/>
        <w:jc w:val="center"/>
      </w:pPr>
      <w:r>
        <w:drawing>
          <wp:inline xmlns:a="http://schemas.openxmlformats.org/drawingml/2006/main" xmlns:pic="http://schemas.openxmlformats.org/drawingml/2006/picture">
            <wp:extent cx="6035040" cy="3249637"/>
            <wp:docPr id="15" name="Picture 15"/>
            <wp:cNvGraphicFramePr>
              <a:graphicFrameLocks noChangeAspect="1"/>
            </wp:cNvGraphicFramePr>
            <a:graphic>
              <a:graphicData uri="http://schemas.openxmlformats.org/drawingml/2006/picture">
                <pic:pic>
                  <pic:nvPicPr>
                    <pic:cNvPr id="0" name="CU38_Gestionar_ajustes_de_inventario_Mermas_y_p_rdidas.png"/>
                    <pic:cNvPicPr/>
                  </pic:nvPicPr>
                  <pic:blipFill>
                    <a:blip r:embed="rId23"/>
                    <a:stretch>
                      <a:fillRect/>
                    </a:stretch>
                  </pic:blipFill>
                  <pic:spPr>
                    <a:xfrm>
                      <a:off x="0" y="0"/>
                      <a:ext cx="6035040" cy="3249637"/>
                    </a:xfrm>
                    <a:prstGeom prst="rect"/>
                  </pic:spPr>
                </pic:pic>
              </a:graphicData>
            </a:graphic>
          </wp:inline>
        </w:drawing>
      </w:r>
    </w:p>
    <w:p>
      <w:pPr>
        <w:spacing w:after="160"/>
        <w:jc w:val="center"/>
      </w:pPr>
      <w:r>
        <w:rPr>
          <w:i/>
          <w:color w:val="64748B"/>
          <w:sz w:val="17"/>
        </w:rPr>
        <w:t>Figura: Diagrama de Análisis de Clases (BCE) — CU38: Gestionar ajustes de inventario (Mermas y pérdidas)</w:t>
      </w:r>
    </w:p>
    <w:p>
      <w:pPr>
        <w:spacing w:after="60"/>
      </w:pPr>
      <w:r>
        <w:rPr>
          <w:b/>
          <w:color w:val="1E1B4B"/>
          <w:sz w:val="19"/>
        </w:rPr>
        <w:t>Especificación de Clases y Responsabilidades del Caso de Uso:</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1872"/>
            <w:shd w:fill="EDE9FE"/>
          </w:tcPr>
          <w:p>
            <w:r>
              <w:rPr>
                <w:b/>
                <w:color w:val="4338CA"/>
                <w:sz w:val="18"/>
              </w:rPr>
              <w:t>Estereotipo</w:t>
            </w:r>
          </w:p>
        </w:tc>
        <w:tc>
          <w:tcPr>
            <w:tcW w:type="dxa" w:w="3168"/>
            <w:shd w:fill="EDE9FE"/>
          </w:tcPr>
          <w:p>
            <w:r>
              <w:rPr>
                <w:b/>
                <w:color w:val="4338CA"/>
                <w:sz w:val="18"/>
              </w:rPr>
              <w:t>Nombre de Clase</w:t>
            </w:r>
          </w:p>
        </w:tc>
        <w:tc>
          <w:tcPr>
            <w:tcW w:type="dxa" w:w="4752"/>
            <w:shd w:fill="EDE9FE"/>
          </w:tcPr>
          <w:p>
            <w:r>
              <w:rPr>
                <w:b/>
                <w:color w:val="4338CA"/>
                <w:sz w:val="18"/>
              </w:rPr>
              <w:t>Responsabilidad en el Caso de Uso</w:t>
            </w:r>
          </w:p>
        </w:tc>
      </w:tr>
      <w:tr>
        <w:tc>
          <w:tcPr>
            <w:tcW w:type="dxa" w:w="1872"/>
          </w:tcPr>
          <w:p>
            <w:pPr>
              <w:spacing w:before="40" w:after="40"/>
            </w:pPr>
            <w:r>
              <w:rPr>
                <w:rFonts w:ascii="Calibri" w:hAnsi="Calibri"/>
                <w:sz w:val="17"/>
              </w:rPr>
              <w:t>Boundary (IU)</w:t>
            </w:r>
          </w:p>
        </w:tc>
        <w:tc>
          <w:tcPr>
            <w:tcW w:type="dxa" w:w="3168"/>
          </w:tcPr>
          <w:p>
            <w:pPr>
              <w:spacing w:before="40" w:after="40"/>
            </w:pPr>
            <w:r>
              <w:rPr>
                <w:rFonts w:ascii="Calibri" w:hAnsi="Calibri"/>
                <w:sz w:val="17"/>
              </w:rPr>
              <w:t>IU_AjustesInventario</w:t>
            </w:r>
          </w:p>
        </w:tc>
        <w:tc>
          <w:tcPr>
            <w:tcW w:type="dxa" w:w="4752"/>
          </w:tcPr>
          <w:p>
            <w:pPr>
              <w:spacing w:before="40" w:after="40"/>
            </w:pPr>
            <w:r>
              <w:rPr>
                <w:rFonts w:ascii="Calibri" w:hAnsi="Calibri"/>
                <w:sz w:val="17"/>
              </w:rPr>
              <w:t>Interfaz gráfica del actor Encargado de Sucursal. Captura eventos de usuario y despliega datos y alertas.</w:t>
            </w:r>
          </w:p>
        </w:tc>
      </w:tr>
      <w:tr>
        <w:tc>
          <w:tcPr>
            <w:tcW w:type="dxa" w:w="1872"/>
          </w:tcPr>
          <w:p>
            <w:pPr>
              <w:spacing w:before="40" w:after="40"/>
            </w:pPr>
            <w:r>
              <w:rPr>
                <w:rFonts w:ascii="Calibri" w:hAnsi="Calibri"/>
                <w:sz w:val="17"/>
              </w:rPr>
              <w:t>Control (CTR)</w:t>
            </w:r>
          </w:p>
        </w:tc>
        <w:tc>
          <w:tcPr>
            <w:tcW w:type="dxa" w:w="3168"/>
          </w:tcPr>
          <w:p>
            <w:pPr>
              <w:spacing w:before="40" w:after="40"/>
            </w:pPr>
            <w:r>
              <w:rPr>
                <w:rFonts w:ascii="Calibri" w:hAnsi="Calibri"/>
                <w:sz w:val="17"/>
              </w:rPr>
              <w:t>CTR_AjustesInventario</w:t>
            </w:r>
          </w:p>
        </w:tc>
        <w:tc>
          <w:tcPr>
            <w:tcW w:type="dxa" w:w="4752"/>
          </w:tcPr>
          <w:p>
            <w:pPr>
              <w:spacing w:before="40" w:after="40"/>
            </w:pPr>
            <w:r>
              <w:rPr>
                <w:rFonts w:ascii="Calibri" w:hAnsi="Calibri"/>
                <w:sz w:val="17"/>
              </w:rPr>
              <w:t>Orquestador de lógica del negocio. Ejecuta validaciones y coordina operaciones sobre las entidades.</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CE_Inventory</w:t>
            </w:r>
          </w:p>
        </w:tc>
        <w:tc>
          <w:tcPr>
            <w:tcW w:type="dxa" w:w="4752"/>
          </w:tcPr>
          <w:p>
            <w:pPr>
              <w:spacing w:before="40" w:after="40"/>
            </w:pPr>
            <w:r>
              <w:rPr>
                <w:rFonts w:ascii="Calibri" w:hAnsi="Calibri"/>
                <w:sz w:val="17"/>
              </w:rPr>
              <w:t>Persistencia física en PostgreSQL. Mapea atributos (id, branch_id, product_variant_id, physical_stock...)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CE_InventoryLedger</w:t>
            </w:r>
          </w:p>
        </w:tc>
        <w:tc>
          <w:tcPr>
            <w:tcW w:type="dxa" w:w="4752"/>
          </w:tcPr>
          <w:p>
            <w:pPr>
              <w:spacing w:before="40" w:after="40"/>
            </w:pPr>
            <w:r>
              <w:rPr>
                <w:rFonts w:ascii="Calibri" w:hAnsi="Calibri"/>
                <w:sz w:val="17"/>
              </w:rPr>
              <w:t>Persistencia física en PostgreSQL. Mapea atributos (id, product_variant_id, branch_id, movement_type...)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CE_AuditLog</w:t>
            </w:r>
          </w:p>
        </w:tc>
        <w:tc>
          <w:tcPr>
            <w:tcW w:type="dxa" w:w="4752"/>
          </w:tcPr>
          <w:p>
            <w:pPr>
              <w:spacing w:before="40" w:after="40"/>
            </w:pPr>
            <w:r>
              <w:rPr>
                <w:rFonts w:ascii="Calibri" w:hAnsi="Calibri"/>
                <w:sz w:val="17"/>
              </w:rPr>
              <w:t>Persistencia física en PostgreSQL. Mapea atributos (id, user_id, action, table_name...) y estado transaccional.</w:t>
            </w:r>
          </w:p>
        </w:tc>
      </w:tr>
    </w:tbl>
    <w:p>
      <w:pPr>
        <w:spacing w:after="240"/>
      </w:pPr>
    </w:p>
    <w:p>
      <w:r>
        <w:br w:type="page"/>
      </w:r>
    </w:p>
    <w:p>
      <w:pPr>
        <w:pStyle w:val="Heading1"/>
        <w:spacing w:before="240" w:after="200"/>
      </w:pPr>
      <w:r>
        <w:t>3. Análisis de Clases — Ciclo 2: Módulo Comercial, Ventas POS, Pagos y Facturación</w:t>
      </w:r>
    </w:p>
    <w:p>
      <w:pPr>
        <w:pStyle w:val="Heading2"/>
        <w:spacing w:before="280" w:after="80"/>
      </w:pPr>
      <w:r>
        <w:t>CU12: Buscar y filtrar catálogo + disponibilidad por sucursal</w:t>
      </w:r>
    </w:p>
    <w:p>
      <w:pPr>
        <w:spacing w:after="160"/>
      </w:pPr>
      <w:r>
        <w:rPr>
          <w:b/>
          <w:color w:val="475569"/>
          <w:sz w:val="20"/>
        </w:rPr>
        <w:t>Actor Primario: Cliente / Visitante   |   Paquete Arquitectónico: catalogo_y_tiendas</w:t>
      </w:r>
    </w:p>
    <w:p>
      <w:pPr>
        <w:spacing w:before="120" w:after="120"/>
        <w:jc w:val="center"/>
      </w:pPr>
      <w:r>
        <w:drawing>
          <wp:inline xmlns:a="http://schemas.openxmlformats.org/drawingml/2006/main" xmlns:pic="http://schemas.openxmlformats.org/drawingml/2006/picture">
            <wp:extent cx="6035040" cy="3079737"/>
            <wp:docPr id="16" name="Picture 16"/>
            <wp:cNvGraphicFramePr>
              <a:graphicFrameLocks noChangeAspect="1"/>
            </wp:cNvGraphicFramePr>
            <a:graphic>
              <a:graphicData uri="http://schemas.openxmlformats.org/drawingml/2006/picture">
                <pic:pic>
                  <pic:nvPicPr>
                    <pic:cNvPr id="0" name="CU12_Buscar_y_filtrar_cat_logo_disponibilidad_por_sucursal.png"/>
                    <pic:cNvPicPr/>
                  </pic:nvPicPr>
                  <pic:blipFill>
                    <a:blip r:embed="rId24"/>
                    <a:stretch>
                      <a:fillRect/>
                    </a:stretch>
                  </pic:blipFill>
                  <pic:spPr>
                    <a:xfrm>
                      <a:off x="0" y="0"/>
                      <a:ext cx="6035040" cy="3079737"/>
                    </a:xfrm>
                    <a:prstGeom prst="rect"/>
                  </pic:spPr>
                </pic:pic>
              </a:graphicData>
            </a:graphic>
          </wp:inline>
        </w:drawing>
      </w:r>
    </w:p>
    <w:p>
      <w:pPr>
        <w:spacing w:after="160"/>
        <w:jc w:val="center"/>
      </w:pPr>
      <w:r>
        <w:rPr>
          <w:i/>
          <w:color w:val="64748B"/>
          <w:sz w:val="17"/>
        </w:rPr>
        <w:t>Figura: Diagrama de Análisis de Clases (BCE) — CU12: Buscar y filtrar catálogo + disponibilidad por sucursal</w:t>
      </w:r>
    </w:p>
    <w:p>
      <w:pPr>
        <w:spacing w:after="60"/>
      </w:pPr>
      <w:r>
        <w:rPr>
          <w:b/>
          <w:color w:val="1E1B4B"/>
          <w:sz w:val="19"/>
        </w:rPr>
        <w:t>Especificación de Clases y Responsabilidades del Caso de Uso:</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1872"/>
            <w:shd w:fill="EDE9FE"/>
          </w:tcPr>
          <w:p>
            <w:r>
              <w:rPr>
                <w:b/>
                <w:color w:val="4338CA"/>
                <w:sz w:val="18"/>
              </w:rPr>
              <w:t>Estereotipo</w:t>
            </w:r>
          </w:p>
        </w:tc>
        <w:tc>
          <w:tcPr>
            <w:tcW w:type="dxa" w:w="3168"/>
            <w:shd w:fill="EDE9FE"/>
          </w:tcPr>
          <w:p>
            <w:r>
              <w:rPr>
                <w:b/>
                <w:color w:val="4338CA"/>
                <w:sz w:val="18"/>
              </w:rPr>
              <w:t>Nombre de Clase</w:t>
            </w:r>
          </w:p>
        </w:tc>
        <w:tc>
          <w:tcPr>
            <w:tcW w:type="dxa" w:w="4752"/>
            <w:shd w:fill="EDE9FE"/>
          </w:tcPr>
          <w:p>
            <w:r>
              <w:rPr>
                <w:b/>
                <w:color w:val="4338CA"/>
                <w:sz w:val="18"/>
              </w:rPr>
              <w:t>Responsabilidad en el Caso de Uso</w:t>
            </w:r>
          </w:p>
        </w:tc>
      </w:tr>
      <w:tr>
        <w:tc>
          <w:tcPr>
            <w:tcW w:type="dxa" w:w="1872"/>
          </w:tcPr>
          <w:p>
            <w:pPr>
              <w:spacing w:before="40" w:after="40"/>
            </w:pPr>
            <w:r>
              <w:rPr>
                <w:rFonts w:ascii="Calibri" w:hAnsi="Calibri"/>
                <w:sz w:val="17"/>
              </w:rPr>
              <w:t>Boundary (IU)</w:t>
            </w:r>
          </w:p>
        </w:tc>
        <w:tc>
          <w:tcPr>
            <w:tcW w:type="dxa" w:w="3168"/>
          </w:tcPr>
          <w:p>
            <w:pPr>
              <w:spacing w:before="40" w:after="40"/>
            </w:pPr>
            <w:r>
              <w:rPr>
                <w:rFonts w:ascii="Calibri" w:hAnsi="Calibri"/>
                <w:sz w:val="17"/>
              </w:rPr>
              <w:t>IU_FiltrosCatalogo</w:t>
            </w:r>
          </w:p>
        </w:tc>
        <w:tc>
          <w:tcPr>
            <w:tcW w:type="dxa" w:w="4752"/>
          </w:tcPr>
          <w:p>
            <w:pPr>
              <w:spacing w:before="40" w:after="40"/>
            </w:pPr>
            <w:r>
              <w:rPr>
                <w:rFonts w:ascii="Calibri" w:hAnsi="Calibri"/>
                <w:sz w:val="17"/>
              </w:rPr>
              <w:t>Interfaz gráfica del actor Cliente / Visitante. Captura eventos de usuario y despliega datos y alertas.</w:t>
            </w:r>
          </w:p>
        </w:tc>
      </w:tr>
      <w:tr>
        <w:tc>
          <w:tcPr>
            <w:tcW w:type="dxa" w:w="1872"/>
          </w:tcPr>
          <w:p>
            <w:pPr>
              <w:spacing w:before="40" w:after="40"/>
            </w:pPr>
            <w:r>
              <w:rPr>
                <w:rFonts w:ascii="Calibri" w:hAnsi="Calibri"/>
                <w:sz w:val="17"/>
              </w:rPr>
              <w:t>Control (CTR)</w:t>
            </w:r>
          </w:p>
        </w:tc>
        <w:tc>
          <w:tcPr>
            <w:tcW w:type="dxa" w:w="3168"/>
          </w:tcPr>
          <w:p>
            <w:pPr>
              <w:spacing w:before="40" w:after="40"/>
            </w:pPr>
            <w:r>
              <w:rPr>
                <w:rFonts w:ascii="Calibri" w:hAnsi="Calibri"/>
                <w:sz w:val="17"/>
              </w:rPr>
              <w:t>CTR_BusquedaCatalogo</w:t>
            </w:r>
          </w:p>
        </w:tc>
        <w:tc>
          <w:tcPr>
            <w:tcW w:type="dxa" w:w="4752"/>
          </w:tcPr>
          <w:p>
            <w:pPr>
              <w:spacing w:before="40" w:after="40"/>
            </w:pPr>
            <w:r>
              <w:rPr>
                <w:rFonts w:ascii="Calibri" w:hAnsi="Calibri"/>
                <w:sz w:val="17"/>
              </w:rPr>
              <w:t>Orquestador de lógica del negocio. Ejecuta validaciones y coordina operaciones sobre las entidades.</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CE_Product</w:t>
            </w:r>
          </w:p>
        </w:tc>
        <w:tc>
          <w:tcPr>
            <w:tcW w:type="dxa" w:w="4752"/>
          </w:tcPr>
          <w:p>
            <w:pPr>
              <w:spacing w:before="40" w:after="40"/>
            </w:pPr>
            <w:r>
              <w:rPr>
                <w:rFonts w:ascii="Calibri" w:hAnsi="Calibri"/>
                <w:sz w:val="17"/>
              </w:rPr>
              <w:t>Persistencia física en PostgreSQL. Mapea atributos (id, name, base_price, compare_at_price...)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CE_ProductVariant</w:t>
            </w:r>
          </w:p>
        </w:tc>
        <w:tc>
          <w:tcPr>
            <w:tcW w:type="dxa" w:w="4752"/>
          </w:tcPr>
          <w:p>
            <w:pPr>
              <w:spacing w:before="40" w:after="40"/>
            </w:pPr>
            <w:r>
              <w:rPr>
                <w:rFonts w:ascii="Calibri" w:hAnsi="Calibri"/>
                <w:sz w:val="17"/>
              </w:rPr>
              <w:t>Persistencia física en PostgreSQL. Mapea atributos (id, product_id, color_id, size_id...)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CE_Inventory</w:t>
            </w:r>
          </w:p>
        </w:tc>
        <w:tc>
          <w:tcPr>
            <w:tcW w:type="dxa" w:w="4752"/>
          </w:tcPr>
          <w:p>
            <w:pPr>
              <w:spacing w:before="40" w:after="40"/>
            </w:pPr>
            <w:r>
              <w:rPr>
                <w:rFonts w:ascii="Calibri" w:hAnsi="Calibri"/>
                <w:sz w:val="17"/>
              </w:rPr>
              <w:t>Persistencia física en PostgreSQL. Mapea atributos (id, branch_id, product_variant_id, physical_stock...)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CE_Branch</w:t>
            </w:r>
          </w:p>
        </w:tc>
        <w:tc>
          <w:tcPr>
            <w:tcW w:type="dxa" w:w="4752"/>
          </w:tcPr>
          <w:p>
            <w:pPr>
              <w:spacing w:before="40" w:after="40"/>
            </w:pPr>
            <w:r>
              <w:rPr>
                <w:rFonts w:ascii="Calibri" w:hAnsi="Calibri"/>
                <w:sz w:val="17"/>
              </w:rPr>
              <w:t>Persistencia física en PostgreSQL. Mapea atributos (id, name, address, is_active...) y estado transaccional.</w:t>
            </w:r>
          </w:p>
        </w:tc>
      </w:tr>
    </w:tbl>
    <w:p>
      <w:pPr>
        <w:spacing w:after="240"/>
      </w:pPr>
    </w:p>
    <w:p>
      <w:pPr>
        <w:pStyle w:val="Heading2"/>
        <w:spacing w:before="280" w:after="80"/>
      </w:pPr>
      <w:r>
        <w:t>CU13: Gestionar promociones: cupones y ofertas de temporada</w:t>
      </w:r>
    </w:p>
    <w:p>
      <w:pPr>
        <w:spacing w:after="160"/>
      </w:pPr>
      <w:r>
        <w:rPr>
          <w:b/>
          <w:color w:val="475569"/>
          <w:sz w:val="20"/>
        </w:rPr>
        <w:t>Actor Primario: Superadmin   |   Paquete Arquitectónico: catalogo_y_tiendas</w:t>
      </w:r>
    </w:p>
    <w:p>
      <w:pPr>
        <w:spacing w:before="120" w:after="120"/>
        <w:jc w:val="center"/>
      </w:pPr>
      <w:r>
        <w:drawing>
          <wp:inline xmlns:a="http://schemas.openxmlformats.org/drawingml/2006/main" xmlns:pic="http://schemas.openxmlformats.org/drawingml/2006/picture">
            <wp:extent cx="6035040" cy="2999665"/>
            <wp:docPr id="17" name="Picture 17"/>
            <wp:cNvGraphicFramePr>
              <a:graphicFrameLocks noChangeAspect="1"/>
            </wp:cNvGraphicFramePr>
            <a:graphic>
              <a:graphicData uri="http://schemas.openxmlformats.org/drawingml/2006/picture">
                <pic:pic>
                  <pic:nvPicPr>
                    <pic:cNvPr id="0" name="CU13_Gestionar_promociones_cupones_y_ofertas_de_temporada.png"/>
                    <pic:cNvPicPr/>
                  </pic:nvPicPr>
                  <pic:blipFill>
                    <a:blip r:embed="rId25"/>
                    <a:stretch>
                      <a:fillRect/>
                    </a:stretch>
                  </pic:blipFill>
                  <pic:spPr>
                    <a:xfrm>
                      <a:off x="0" y="0"/>
                      <a:ext cx="6035040" cy="2999665"/>
                    </a:xfrm>
                    <a:prstGeom prst="rect"/>
                  </pic:spPr>
                </pic:pic>
              </a:graphicData>
            </a:graphic>
          </wp:inline>
        </w:drawing>
      </w:r>
    </w:p>
    <w:p>
      <w:pPr>
        <w:spacing w:after="160"/>
        <w:jc w:val="center"/>
      </w:pPr>
      <w:r>
        <w:rPr>
          <w:i/>
          <w:color w:val="64748B"/>
          <w:sz w:val="17"/>
        </w:rPr>
        <w:t>Figura: Diagrama de Análisis de Clases (BCE) — CU13: Gestionar promociones: cupones y ofertas de temporada</w:t>
      </w:r>
    </w:p>
    <w:p>
      <w:pPr>
        <w:spacing w:after="60"/>
      </w:pPr>
      <w:r>
        <w:rPr>
          <w:b/>
          <w:color w:val="1E1B4B"/>
          <w:sz w:val="19"/>
        </w:rPr>
        <w:t>Especificación de Clases y Responsabilidades del Caso de Uso:</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1872"/>
            <w:shd w:fill="EDE9FE"/>
          </w:tcPr>
          <w:p>
            <w:r>
              <w:rPr>
                <w:b/>
                <w:color w:val="4338CA"/>
                <w:sz w:val="18"/>
              </w:rPr>
              <w:t>Estereotipo</w:t>
            </w:r>
          </w:p>
        </w:tc>
        <w:tc>
          <w:tcPr>
            <w:tcW w:type="dxa" w:w="3168"/>
            <w:shd w:fill="EDE9FE"/>
          </w:tcPr>
          <w:p>
            <w:r>
              <w:rPr>
                <w:b/>
                <w:color w:val="4338CA"/>
                <w:sz w:val="18"/>
              </w:rPr>
              <w:t>Nombre de Clase</w:t>
            </w:r>
          </w:p>
        </w:tc>
        <w:tc>
          <w:tcPr>
            <w:tcW w:type="dxa" w:w="4752"/>
            <w:shd w:fill="EDE9FE"/>
          </w:tcPr>
          <w:p>
            <w:r>
              <w:rPr>
                <w:b/>
                <w:color w:val="4338CA"/>
                <w:sz w:val="18"/>
              </w:rPr>
              <w:t>Responsabilidad en el Caso de Uso</w:t>
            </w:r>
          </w:p>
        </w:tc>
      </w:tr>
      <w:tr>
        <w:tc>
          <w:tcPr>
            <w:tcW w:type="dxa" w:w="1872"/>
          </w:tcPr>
          <w:p>
            <w:pPr>
              <w:spacing w:before="40" w:after="40"/>
            </w:pPr>
            <w:r>
              <w:rPr>
                <w:rFonts w:ascii="Calibri" w:hAnsi="Calibri"/>
                <w:sz w:val="17"/>
              </w:rPr>
              <w:t>Boundary (IU)</w:t>
            </w:r>
          </w:p>
        </w:tc>
        <w:tc>
          <w:tcPr>
            <w:tcW w:type="dxa" w:w="3168"/>
          </w:tcPr>
          <w:p>
            <w:pPr>
              <w:spacing w:before="40" w:after="40"/>
            </w:pPr>
            <w:r>
              <w:rPr>
                <w:rFonts w:ascii="Calibri" w:hAnsi="Calibri"/>
                <w:sz w:val="17"/>
              </w:rPr>
              <w:t>IU_GestionPromociones</w:t>
            </w:r>
          </w:p>
        </w:tc>
        <w:tc>
          <w:tcPr>
            <w:tcW w:type="dxa" w:w="4752"/>
          </w:tcPr>
          <w:p>
            <w:pPr>
              <w:spacing w:before="40" w:after="40"/>
            </w:pPr>
            <w:r>
              <w:rPr>
                <w:rFonts w:ascii="Calibri" w:hAnsi="Calibri"/>
                <w:sz w:val="17"/>
              </w:rPr>
              <w:t>Interfaz gráfica del actor Superadmin. Captura eventos de usuario y despliega datos y alertas.</w:t>
            </w:r>
          </w:p>
        </w:tc>
      </w:tr>
      <w:tr>
        <w:tc>
          <w:tcPr>
            <w:tcW w:type="dxa" w:w="1872"/>
          </w:tcPr>
          <w:p>
            <w:pPr>
              <w:spacing w:before="40" w:after="40"/>
            </w:pPr>
            <w:r>
              <w:rPr>
                <w:rFonts w:ascii="Calibri" w:hAnsi="Calibri"/>
                <w:sz w:val="17"/>
              </w:rPr>
              <w:t>Control (CTR)</w:t>
            </w:r>
          </w:p>
        </w:tc>
        <w:tc>
          <w:tcPr>
            <w:tcW w:type="dxa" w:w="3168"/>
          </w:tcPr>
          <w:p>
            <w:pPr>
              <w:spacing w:before="40" w:after="40"/>
            </w:pPr>
            <w:r>
              <w:rPr>
                <w:rFonts w:ascii="Calibri" w:hAnsi="Calibri"/>
                <w:sz w:val="17"/>
              </w:rPr>
              <w:t>CTR_Promociones</w:t>
            </w:r>
          </w:p>
        </w:tc>
        <w:tc>
          <w:tcPr>
            <w:tcW w:type="dxa" w:w="4752"/>
          </w:tcPr>
          <w:p>
            <w:pPr>
              <w:spacing w:before="40" w:after="40"/>
            </w:pPr>
            <w:r>
              <w:rPr>
                <w:rFonts w:ascii="Calibri" w:hAnsi="Calibri"/>
                <w:sz w:val="17"/>
              </w:rPr>
              <w:t>Orquestador de lógica del negocio. Ejecuta validaciones y coordina operaciones sobre las entidades.</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CE_Coupon</w:t>
            </w:r>
          </w:p>
        </w:tc>
        <w:tc>
          <w:tcPr>
            <w:tcW w:type="dxa" w:w="4752"/>
          </w:tcPr>
          <w:p>
            <w:pPr>
              <w:spacing w:before="40" w:after="40"/>
            </w:pPr>
            <w:r>
              <w:rPr>
                <w:rFonts w:ascii="Calibri" w:hAnsi="Calibri"/>
                <w:sz w:val="17"/>
              </w:rPr>
              <w:t>Persistencia física en PostgreSQL. Mapea atributos (id, code, discount_type, discount_value...)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CE_SeasonalPromotion</w:t>
            </w:r>
          </w:p>
        </w:tc>
        <w:tc>
          <w:tcPr>
            <w:tcW w:type="dxa" w:w="4752"/>
          </w:tcPr>
          <w:p>
            <w:pPr>
              <w:spacing w:before="40" w:after="40"/>
            </w:pPr>
            <w:r>
              <w:rPr>
                <w:rFonts w:ascii="Calibri" w:hAnsi="Calibri"/>
                <w:sz w:val="17"/>
              </w:rPr>
              <w:t>Persistencia física en PostgreSQL. Mapea atributos (id, category_id, name, discount_percent...) y estado transaccional.</w:t>
            </w:r>
          </w:p>
        </w:tc>
      </w:tr>
    </w:tbl>
    <w:p>
      <w:pPr>
        <w:spacing w:after="240"/>
      </w:pPr>
    </w:p>
    <w:p>
      <w:pPr>
        <w:pStyle w:val="Heading2"/>
        <w:spacing w:before="280" w:after="80"/>
      </w:pPr>
      <w:r>
        <w:t>CU14+: Wishlists múltiples/compartibles y reseñas con moderación</w:t>
      </w:r>
    </w:p>
    <w:p>
      <w:pPr>
        <w:spacing w:after="160"/>
      </w:pPr>
      <w:r>
        <w:rPr>
          <w:b/>
          <w:color w:val="475569"/>
          <w:sz w:val="20"/>
        </w:rPr>
        <w:t>Actor Primario: Cliente / Administrador   |   Paquete Arquitectónico: catalogo_y_tiendas</w:t>
      </w:r>
    </w:p>
    <w:p>
      <w:pPr>
        <w:spacing w:before="120" w:after="120"/>
        <w:jc w:val="center"/>
      </w:pPr>
      <w:r>
        <w:drawing>
          <wp:inline xmlns:a="http://schemas.openxmlformats.org/drawingml/2006/main" xmlns:pic="http://schemas.openxmlformats.org/drawingml/2006/picture">
            <wp:extent cx="6035040" cy="3249637"/>
            <wp:docPr id="18" name="Picture 18"/>
            <wp:cNvGraphicFramePr>
              <a:graphicFrameLocks noChangeAspect="1"/>
            </wp:cNvGraphicFramePr>
            <a:graphic>
              <a:graphicData uri="http://schemas.openxmlformats.org/drawingml/2006/picture">
                <pic:pic>
                  <pic:nvPicPr>
                    <pic:cNvPr id="0" name="CU14_EXP_Wishlists_m_ltiples_compartibles_y_rese_as_con_moderaci_n.png"/>
                    <pic:cNvPicPr/>
                  </pic:nvPicPr>
                  <pic:blipFill>
                    <a:blip r:embed="rId20"/>
                    <a:stretch>
                      <a:fillRect/>
                    </a:stretch>
                  </pic:blipFill>
                  <pic:spPr>
                    <a:xfrm>
                      <a:off x="0" y="0"/>
                      <a:ext cx="6035040" cy="3249637"/>
                    </a:xfrm>
                    <a:prstGeom prst="rect"/>
                  </pic:spPr>
                </pic:pic>
              </a:graphicData>
            </a:graphic>
          </wp:inline>
        </w:drawing>
      </w:r>
    </w:p>
    <w:p>
      <w:pPr>
        <w:spacing w:after="160"/>
        <w:jc w:val="center"/>
      </w:pPr>
      <w:r>
        <w:rPr>
          <w:i/>
          <w:color w:val="64748B"/>
          <w:sz w:val="17"/>
        </w:rPr>
        <w:t>Figura: Diagrama de Análisis de Clases (BCE) — CU14+: Wishlists múltiples/compartibles y reseñas con moderación</w:t>
      </w:r>
    </w:p>
    <w:p>
      <w:pPr>
        <w:spacing w:after="60"/>
      </w:pPr>
      <w:r>
        <w:rPr>
          <w:b/>
          <w:color w:val="1E1B4B"/>
          <w:sz w:val="19"/>
        </w:rPr>
        <w:t>Especificación de Clases y Responsabilidades del Caso de Uso:</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1872"/>
            <w:shd w:fill="EDE9FE"/>
          </w:tcPr>
          <w:p>
            <w:r>
              <w:rPr>
                <w:b/>
                <w:color w:val="4338CA"/>
                <w:sz w:val="18"/>
              </w:rPr>
              <w:t>Estereotipo</w:t>
            </w:r>
          </w:p>
        </w:tc>
        <w:tc>
          <w:tcPr>
            <w:tcW w:type="dxa" w:w="3168"/>
            <w:shd w:fill="EDE9FE"/>
          </w:tcPr>
          <w:p>
            <w:r>
              <w:rPr>
                <w:b/>
                <w:color w:val="4338CA"/>
                <w:sz w:val="18"/>
              </w:rPr>
              <w:t>Nombre de Clase</w:t>
            </w:r>
          </w:p>
        </w:tc>
        <w:tc>
          <w:tcPr>
            <w:tcW w:type="dxa" w:w="4752"/>
            <w:shd w:fill="EDE9FE"/>
          </w:tcPr>
          <w:p>
            <w:r>
              <w:rPr>
                <w:b/>
                <w:color w:val="4338CA"/>
                <w:sz w:val="18"/>
              </w:rPr>
              <w:t>Responsabilidad en el Caso de Uso</w:t>
            </w:r>
          </w:p>
        </w:tc>
      </w:tr>
      <w:tr>
        <w:tc>
          <w:tcPr>
            <w:tcW w:type="dxa" w:w="1872"/>
          </w:tcPr>
          <w:p>
            <w:pPr>
              <w:spacing w:before="40" w:after="40"/>
            </w:pPr>
            <w:r>
              <w:rPr>
                <w:rFonts w:ascii="Calibri" w:hAnsi="Calibri"/>
                <w:sz w:val="17"/>
              </w:rPr>
              <w:t>Boundary (IU)</w:t>
            </w:r>
          </w:p>
        </w:tc>
        <w:tc>
          <w:tcPr>
            <w:tcW w:type="dxa" w:w="3168"/>
          </w:tcPr>
          <w:p>
            <w:pPr>
              <w:spacing w:before="40" w:after="40"/>
            </w:pPr>
            <w:r>
              <w:rPr>
                <w:rFonts w:ascii="Calibri" w:hAnsi="Calibri"/>
                <w:sz w:val="17"/>
              </w:rPr>
              <w:t>IU_WishlistResenasAvanzadas</w:t>
            </w:r>
          </w:p>
        </w:tc>
        <w:tc>
          <w:tcPr>
            <w:tcW w:type="dxa" w:w="4752"/>
          </w:tcPr>
          <w:p>
            <w:pPr>
              <w:spacing w:before="40" w:after="40"/>
            </w:pPr>
            <w:r>
              <w:rPr>
                <w:rFonts w:ascii="Calibri" w:hAnsi="Calibri"/>
                <w:sz w:val="17"/>
              </w:rPr>
              <w:t>Interfaz gráfica del actor Cliente / Administrador. Captura eventos de usuario y despliega datos y alertas.</w:t>
            </w:r>
          </w:p>
        </w:tc>
      </w:tr>
      <w:tr>
        <w:tc>
          <w:tcPr>
            <w:tcW w:type="dxa" w:w="1872"/>
          </w:tcPr>
          <w:p>
            <w:pPr>
              <w:spacing w:before="40" w:after="40"/>
            </w:pPr>
            <w:r>
              <w:rPr>
                <w:rFonts w:ascii="Calibri" w:hAnsi="Calibri"/>
                <w:sz w:val="17"/>
              </w:rPr>
              <w:t>Control (CTR)</w:t>
            </w:r>
          </w:p>
        </w:tc>
        <w:tc>
          <w:tcPr>
            <w:tcW w:type="dxa" w:w="3168"/>
          </w:tcPr>
          <w:p>
            <w:pPr>
              <w:spacing w:before="40" w:after="40"/>
            </w:pPr>
            <w:r>
              <w:rPr>
                <w:rFonts w:ascii="Calibri" w:hAnsi="Calibri"/>
                <w:sz w:val="17"/>
              </w:rPr>
              <w:t>CTR_WishlistResenasAvanzado</w:t>
            </w:r>
          </w:p>
        </w:tc>
        <w:tc>
          <w:tcPr>
            <w:tcW w:type="dxa" w:w="4752"/>
          </w:tcPr>
          <w:p>
            <w:pPr>
              <w:spacing w:before="40" w:after="40"/>
            </w:pPr>
            <w:r>
              <w:rPr>
                <w:rFonts w:ascii="Calibri" w:hAnsi="Calibri"/>
                <w:sz w:val="17"/>
              </w:rPr>
              <w:t>Orquestador de lógica del negocio. Ejecuta validaciones y coordina operaciones sobre las entidades.</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CE_Wishlist</w:t>
            </w:r>
          </w:p>
        </w:tc>
        <w:tc>
          <w:tcPr>
            <w:tcW w:type="dxa" w:w="4752"/>
          </w:tcPr>
          <w:p>
            <w:pPr>
              <w:spacing w:before="40" w:after="40"/>
            </w:pPr>
            <w:r>
              <w:rPr>
                <w:rFonts w:ascii="Calibri" w:hAnsi="Calibri"/>
                <w:sz w:val="17"/>
              </w:rPr>
              <w:t>Persistencia física en PostgreSQL. Mapea atributos (id, user_id, name, share_token...)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CE_WishlistGroupItem</w:t>
            </w:r>
          </w:p>
        </w:tc>
        <w:tc>
          <w:tcPr>
            <w:tcW w:type="dxa" w:w="4752"/>
          </w:tcPr>
          <w:p>
            <w:pPr>
              <w:spacing w:before="40" w:after="40"/>
            </w:pPr>
            <w:r>
              <w:rPr>
                <w:rFonts w:ascii="Calibri" w:hAnsi="Calibri"/>
                <w:sz w:val="17"/>
              </w:rPr>
              <w:t>Persistencia física en PostgreSQL. Mapea atributos (id, wishlist_id, product_id, added_at...)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CE_ProductReview</w:t>
            </w:r>
          </w:p>
        </w:tc>
        <w:tc>
          <w:tcPr>
            <w:tcW w:type="dxa" w:w="4752"/>
          </w:tcPr>
          <w:p>
            <w:pPr>
              <w:spacing w:before="40" w:after="40"/>
            </w:pPr>
            <w:r>
              <w:rPr>
                <w:rFonts w:ascii="Calibri" w:hAnsi="Calibri"/>
                <w:sz w:val="17"/>
              </w:rPr>
              <w:t>Persistencia física en PostgreSQL. Mapea atributos (id, user_id, product_id, rating...) y estado transaccional.</w:t>
            </w:r>
          </w:p>
        </w:tc>
      </w:tr>
    </w:tbl>
    <w:p>
      <w:pPr>
        <w:spacing w:after="240"/>
      </w:pPr>
    </w:p>
    <w:p>
      <w:pPr>
        <w:pStyle w:val="Heading2"/>
        <w:spacing w:before="280" w:after="80"/>
      </w:pPr>
      <w:r>
        <w:t>CU15: Gestionar transferencias de mercadería entre sucursales</w:t>
      </w:r>
    </w:p>
    <w:p>
      <w:pPr>
        <w:spacing w:after="160"/>
      </w:pPr>
      <w:r>
        <w:rPr>
          <w:b/>
          <w:color w:val="475569"/>
          <w:sz w:val="20"/>
        </w:rPr>
        <w:t>Actor Primario: Encargado de Sucursal   |   Paquete Arquitectónico: inventario_y_proveedores</w:t>
      </w:r>
    </w:p>
    <w:p>
      <w:pPr>
        <w:spacing w:before="120" w:after="120"/>
        <w:jc w:val="center"/>
      </w:pPr>
      <w:r>
        <w:drawing>
          <wp:inline xmlns:a="http://schemas.openxmlformats.org/drawingml/2006/main" xmlns:pic="http://schemas.openxmlformats.org/drawingml/2006/picture">
            <wp:extent cx="6035040" cy="3249637"/>
            <wp:docPr id="19" name="Picture 19"/>
            <wp:cNvGraphicFramePr>
              <a:graphicFrameLocks noChangeAspect="1"/>
            </wp:cNvGraphicFramePr>
            <a:graphic>
              <a:graphicData uri="http://schemas.openxmlformats.org/drawingml/2006/picture">
                <pic:pic>
                  <pic:nvPicPr>
                    <pic:cNvPr id="0" name="CU15_Gestionar_transferencias_de_mercader_a_entre_sucursales.png"/>
                    <pic:cNvPicPr/>
                  </pic:nvPicPr>
                  <pic:blipFill>
                    <a:blip r:embed="rId26"/>
                    <a:stretch>
                      <a:fillRect/>
                    </a:stretch>
                  </pic:blipFill>
                  <pic:spPr>
                    <a:xfrm>
                      <a:off x="0" y="0"/>
                      <a:ext cx="6035040" cy="3249637"/>
                    </a:xfrm>
                    <a:prstGeom prst="rect"/>
                  </pic:spPr>
                </pic:pic>
              </a:graphicData>
            </a:graphic>
          </wp:inline>
        </w:drawing>
      </w:r>
    </w:p>
    <w:p>
      <w:pPr>
        <w:spacing w:after="160"/>
        <w:jc w:val="center"/>
      </w:pPr>
      <w:r>
        <w:rPr>
          <w:i/>
          <w:color w:val="64748B"/>
          <w:sz w:val="17"/>
        </w:rPr>
        <w:t>Figura: Diagrama de Análisis de Clases (BCE) — CU15: Gestionar transferencias de mercadería entre sucursales</w:t>
      </w:r>
    </w:p>
    <w:p>
      <w:pPr>
        <w:spacing w:after="60"/>
      </w:pPr>
      <w:r>
        <w:rPr>
          <w:b/>
          <w:color w:val="1E1B4B"/>
          <w:sz w:val="19"/>
        </w:rPr>
        <w:t>Especificación de Clases y Responsabilidades del Caso de Uso:</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1872"/>
            <w:shd w:fill="EDE9FE"/>
          </w:tcPr>
          <w:p>
            <w:r>
              <w:rPr>
                <w:b/>
                <w:color w:val="4338CA"/>
                <w:sz w:val="18"/>
              </w:rPr>
              <w:t>Estereotipo</w:t>
            </w:r>
          </w:p>
        </w:tc>
        <w:tc>
          <w:tcPr>
            <w:tcW w:type="dxa" w:w="3168"/>
            <w:shd w:fill="EDE9FE"/>
          </w:tcPr>
          <w:p>
            <w:r>
              <w:rPr>
                <w:b/>
                <w:color w:val="4338CA"/>
                <w:sz w:val="18"/>
              </w:rPr>
              <w:t>Nombre de Clase</w:t>
            </w:r>
          </w:p>
        </w:tc>
        <w:tc>
          <w:tcPr>
            <w:tcW w:type="dxa" w:w="4752"/>
            <w:shd w:fill="EDE9FE"/>
          </w:tcPr>
          <w:p>
            <w:r>
              <w:rPr>
                <w:b/>
                <w:color w:val="4338CA"/>
                <w:sz w:val="18"/>
              </w:rPr>
              <w:t>Responsabilidad en el Caso de Uso</w:t>
            </w:r>
          </w:p>
        </w:tc>
      </w:tr>
      <w:tr>
        <w:tc>
          <w:tcPr>
            <w:tcW w:type="dxa" w:w="1872"/>
          </w:tcPr>
          <w:p>
            <w:pPr>
              <w:spacing w:before="40" w:after="40"/>
            </w:pPr>
            <w:r>
              <w:rPr>
                <w:rFonts w:ascii="Calibri" w:hAnsi="Calibri"/>
                <w:sz w:val="17"/>
              </w:rPr>
              <w:t>Boundary (IU)</w:t>
            </w:r>
          </w:p>
        </w:tc>
        <w:tc>
          <w:tcPr>
            <w:tcW w:type="dxa" w:w="3168"/>
          </w:tcPr>
          <w:p>
            <w:pPr>
              <w:spacing w:before="40" w:after="40"/>
            </w:pPr>
            <w:r>
              <w:rPr>
                <w:rFonts w:ascii="Calibri" w:hAnsi="Calibri"/>
                <w:sz w:val="17"/>
              </w:rPr>
              <w:t>IU_TransferenciasStock</w:t>
            </w:r>
          </w:p>
        </w:tc>
        <w:tc>
          <w:tcPr>
            <w:tcW w:type="dxa" w:w="4752"/>
          </w:tcPr>
          <w:p>
            <w:pPr>
              <w:spacing w:before="40" w:after="40"/>
            </w:pPr>
            <w:r>
              <w:rPr>
                <w:rFonts w:ascii="Calibri" w:hAnsi="Calibri"/>
                <w:sz w:val="17"/>
              </w:rPr>
              <w:t>Interfaz gráfica del actor Encargado de Sucursal. Captura eventos de usuario y despliega datos y alertas.</w:t>
            </w:r>
          </w:p>
        </w:tc>
      </w:tr>
      <w:tr>
        <w:tc>
          <w:tcPr>
            <w:tcW w:type="dxa" w:w="1872"/>
          </w:tcPr>
          <w:p>
            <w:pPr>
              <w:spacing w:before="40" w:after="40"/>
            </w:pPr>
            <w:r>
              <w:rPr>
                <w:rFonts w:ascii="Calibri" w:hAnsi="Calibri"/>
                <w:sz w:val="17"/>
              </w:rPr>
              <w:t>Control (CTR)</w:t>
            </w:r>
          </w:p>
        </w:tc>
        <w:tc>
          <w:tcPr>
            <w:tcW w:type="dxa" w:w="3168"/>
          </w:tcPr>
          <w:p>
            <w:pPr>
              <w:spacing w:before="40" w:after="40"/>
            </w:pPr>
            <w:r>
              <w:rPr>
                <w:rFonts w:ascii="Calibri" w:hAnsi="Calibri"/>
                <w:sz w:val="17"/>
              </w:rPr>
              <w:t>CTR_TransferenciasStock</w:t>
            </w:r>
          </w:p>
        </w:tc>
        <w:tc>
          <w:tcPr>
            <w:tcW w:type="dxa" w:w="4752"/>
          </w:tcPr>
          <w:p>
            <w:pPr>
              <w:spacing w:before="40" w:after="40"/>
            </w:pPr>
            <w:r>
              <w:rPr>
                <w:rFonts w:ascii="Calibri" w:hAnsi="Calibri"/>
                <w:sz w:val="17"/>
              </w:rPr>
              <w:t>Orquestador de lógica del negocio. Ejecuta validaciones y coordina operaciones sobre las entidades.</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CE_StockTransfer</w:t>
            </w:r>
          </w:p>
        </w:tc>
        <w:tc>
          <w:tcPr>
            <w:tcW w:type="dxa" w:w="4752"/>
          </w:tcPr>
          <w:p>
            <w:pPr>
              <w:spacing w:before="40" w:after="40"/>
            </w:pPr>
            <w:r>
              <w:rPr>
                <w:rFonts w:ascii="Calibri" w:hAnsi="Calibri"/>
                <w:sz w:val="17"/>
              </w:rPr>
              <w:t>Persistencia física en PostgreSQL. Mapea atributos (id, origin_branch_id, dest_branch_id, status...)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CE_StockTransferDetail</w:t>
            </w:r>
          </w:p>
        </w:tc>
        <w:tc>
          <w:tcPr>
            <w:tcW w:type="dxa" w:w="4752"/>
          </w:tcPr>
          <w:p>
            <w:pPr>
              <w:spacing w:before="40" w:after="40"/>
            </w:pPr>
            <w:r>
              <w:rPr>
                <w:rFonts w:ascii="Calibri" w:hAnsi="Calibri"/>
                <w:sz w:val="17"/>
              </w:rPr>
              <w:t>Persistencia física en PostgreSQL. Mapea atributos (id, transfer_id, product_variant_id, quantity...)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CE_Inventory</w:t>
            </w:r>
          </w:p>
        </w:tc>
        <w:tc>
          <w:tcPr>
            <w:tcW w:type="dxa" w:w="4752"/>
          </w:tcPr>
          <w:p>
            <w:pPr>
              <w:spacing w:before="40" w:after="40"/>
            </w:pPr>
            <w:r>
              <w:rPr>
                <w:rFonts w:ascii="Calibri" w:hAnsi="Calibri"/>
                <w:sz w:val="17"/>
              </w:rPr>
              <w:t>Persistencia física en PostgreSQL. Mapea atributos (id, branch_id, product_variant_id, physical_stock...) y estado transaccional.</w:t>
            </w:r>
          </w:p>
        </w:tc>
      </w:tr>
    </w:tbl>
    <w:p>
      <w:pPr>
        <w:spacing w:after="240"/>
      </w:pPr>
    </w:p>
    <w:p>
      <w:pPr>
        <w:pStyle w:val="Heading2"/>
        <w:spacing w:before="280" w:after="80"/>
      </w:pPr>
      <w:r>
        <w:t>CU16: Configurar y notificar alertas de stock (mínimo/máximo)</w:t>
      </w:r>
    </w:p>
    <w:p>
      <w:pPr>
        <w:spacing w:after="160"/>
      </w:pPr>
      <w:r>
        <w:rPr>
          <w:b/>
          <w:color w:val="475569"/>
          <w:sz w:val="20"/>
        </w:rPr>
        <w:t>Actor Primario: Encargado de Sucursal   |   Paquete Arquitectónico: inventario_y_proveedores</w:t>
      </w:r>
    </w:p>
    <w:p>
      <w:pPr>
        <w:spacing w:before="120" w:after="120"/>
        <w:jc w:val="center"/>
      </w:pPr>
      <w:r>
        <w:drawing>
          <wp:inline xmlns:a="http://schemas.openxmlformats.org/drawingml/2006/main" xmlns:pic="http://schemas.openxmlformats.org/drawingml/2006/picture">
            <wp:extent cx="6035040" cy="2999665"/>
            <wp:docPr id="20" name="Picture 20"/>
            <wp:cNvGraphicFramePr>
              <a:graphicFrameLocks noChangeAspect="1"/>
            </wp:cNvGraphicFramePr>
            <a:graphic>
              <a:graphicData uri="http://schemas.openxmlformats.org/drawingml/2006/picture">
                <pic:pic>
                  <pic:nvPicPr>
                    <pic:cNvPr id="0" name="CU16_Configurar_y_notificar_alertas_de_stock_m_nimo_m_ximo.png"/>
                    <pic:cNvPicPr/>
                  </pic:nvPicPr>
                  <pic:blipFill>
                    <a:blip r:embed="rId27"/>
                    <a:stretch>
                      <a:fillRect/>
                    </a:stretch>
                  </pic:blipFill>
                  <pic:spPr>
                    <a:xfrm>
                      <a:off x="0" y="0"/>
                      <a:ext cx="6035040" cy="2999665"/>
                    </a:xfrm>
                    <a:prstGeom prst="rect"/>
                  </pic:spPr>
                </pic:pic>
              </a:graphicData>
            </a:graphic>
          </wp:inline>
        </w:drawing>
      </w:r>
    </w:p>
    <w:p>
      <w:pPr>
        <w:spacing w:after="160"/>
        <w:jc w:val="center"/>
      </w:pPr>
      <w:r>
        <w:rPr>
          <w:i/>
          <w:color w:val="64748B"/>
          <w:sz w:val="17"/>
        </w:rPr>
        <w:t>Figura: Diagrama de Análisis de Clases (BCE) — CU16: Configurar y notificar alertas de stock (mínimo/máximo)</w:t>
      </w:r>
    </w:p>
    <w:p>
      <w:pPr>
        <w:spacing w:after="60"/>
      </w:pPr>
      <w:r>
        <w:rPr>
          <w:b/>
          <w:color w:val="1E1B4B"/>
          <w:sz w:val="19"/>
        </w:rPr>
        <w:t>Especificación de Clases y Responsabilidades del Caso de Uso:</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1872"/>
            <w:shd w:fill="EDE9FE"/>
          </w:tcPr>
          <w:p>
            <w:r>
              <w:rPr>
                <w:b/>
                <w:color w:val="4338CA"/>
                <w:sz w:val="18"/>
              </w:rPr>
              <w:t>Estereotipo</w:t>
            </w:r>
          </w:p>
        </w:tc>
        <w:tc>
          <w:tcPr>
            <w:tcW w:type="dxa" w:w="3168"/>
            <w:shd w:fill="EDE9FE"/>
          </w:tcPr>
          <w:p>
            <w:r>
              <w:rPr>
                <w:b/>
                <w:color w:val="4338CA"/>
                <w:sz w:val="18"/>
              </w:rPr>
              <w:t>Nombre de Clase</w:t>
            </w:r>
          </w:p>
        </w:tc>
        <w:tc>
          <w:tcPr>
            <w:tcW w:type="dxa" w:w="4752"/>
            <w:shd w:fill="EDE9FE"/>
          </w:tcPr>
          <w:p>
            <w:r>
              <w:rPr>
                <w:b/>
                <w:color w:val="4338CA"/>
                <w:sz w:val="18"/>
              </w:rPr>
              <w:t>Responsabilidad en el Caso de Uso</w:t>
            </w:r>
          </w:p>
        </w:tc>
      </w:tr>
      <w:tr>
        <w:tc>
          <w:tcPr>
            <w:tcW w:type="dxa" w:w="1872"/>
          </w:tcPr>
          <w:p>
            <w:pPr>
              <w:spacing w:before="40" w:after="40"/>
            </w:pPr>
            <w:r>
              <w:rPr>
                <w:rFonts w:ascii="Calibri" w:hAnsi="Calibri"/>
                <w:sz w:val="17"/>
              </w:rPr>
              <w:t>Boundary (IU)</w:t>
            </w:r>
          </w:p>
        </w:tc>
        <w:tc>
          <w:tcPr>
            <w:tcW w:type="dxa" w:w="3168"/>
          </w:tcPr>
          <w:p>
            <w:pPr>
              <w:spacing w:before="40" w:after="40"/>
            </w:pPr>
            <w:r>
              <w:rPr>
                <w:rFonts w:ascii="Calibri" w:hAnsi="Calibri"/>
                <w:sz w:val="17"/>
              </w:rPr>
              <w:t>IU_AlertasStock</w:t>
            </w:r>
          </w:p>
        </w:tc>
        <w:tc>
          <w:tcPr>
            <w:tcW w:type="dxa" w:w="4752"/>
          </w:tcPr>
          <w:p>
            <w:pPr>
              <w:spacing w:before="40" w:after="40"/>
            </w:pPr>
            <w:r>
              <w:rPr>
                <w:rFonts w:ascii="Calibri" w:hAnsi="Calibri"/>
                <w:sz w:val="17"/>
              </w:rPr>
              <w:t>Interfaz gráfica del actor Encargado de Sucursal. Captura eventos de usuario y despliega datos y alertas.</w:t>
            </w:r>
          </w:p>
        </w:tc>
      </w:tr>
      <w:tr>
        <w:tc>
          <w:tcPr>
            <w:tcW w:type="dxa" w:w="1872"/>
          </w:tcPr>
          <w:p>
            <w:pPr>
              <w:spacing w:before="40" w:after="40"/>
            </w:pPr>
            <w:r>
              <w:rPr>
                <w:rFonts w:ascii="Calibri" w:hAnsi="Calibri"/>
                <w:sz w:val="17"/>
              </w:rPr>
              <w:t>Control (CTR)</w:t>
            </w:r>
          </w:p>
        </w:tc>
        <w:tc>
          <w:tcPr>
            <w:tcW w:type="dxa" w:w="3168"/>
          </w:tcPr>
          <w:p>
            <w:pPr>
              <w:spacing w:before="40" w:after="40"/>
            </w:pPr>
            <w:r>
              <w:rPr>
                <w:rFonts w:ascii="Calibri" w:hAnsi="Calibri"/>
                <w:sz w:val="17"/>
              </w:rPr>
              <w:t>CTR_AlertasStock</w:t>
            </w:r>
          </w:p>
        </w:tc>
        <w:tc>
          <w:tcPr>
            <w:tcW w:type="dxa" w:w="4752"/>
          </w:tcPr>
          <w:p>
            <w:pPr>
              <w:spacing w:before="40" w:after="40"/>
            </w:pPr>
            <w:r>
              <w:rPr>
                <w:rFonts w:ascii="Calibri" w:hAnsi="Calibri"/>
                <w:sz w:val="17"/>
              </w:rPr>
              <w:t>Orquestador de lógica del negocio. Ejecuta validaciones y coordina operaciones sobre las entidades.</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CE_Inventory</w:t>
            </w:r>
          </w:p>
        </w:tc>
        <w:tc>
          <w:tcPr>
            <w:tcW w:type="dxa" w:w="4752"/>
          </w:tcPr>
          <w:p>
            <w:pPr>
              <w:spacing w:before="40" w:after="40"/>
            </w:pPr>
            <w:r>
              <w:rPr>
                <w:rFonts w:ascii="Calibri" w:hAnsi="Calibri"/>
                <w:sz w:val="17"/>
              </w:rPr>
              <w:t>Persistencia física en PostgreSQL. Mapea atributos (id, branch_id, product_variant_id, physical_stock...)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CE_InAppNotification</w:t>
            </w:r>
          </w:p>
        </w:tc>
        <w:tc>
          <w:tcPr>
            <w:tcW w:type="dxa" w:w="4752"/>
          </w:tcPr>
          <w:p>
            <w:pPr>
              <w:spacing w:before="40" w:after="40"/>
            </w:pPr>
            <w:r>
              <w:rPr>
                <w:rFonts w:ascii="Calibri" w:hAnsi="Calibri"/>
                <w:sz w:val="17"/>
              </w:rPr>
              <w:t>Persistencia física en PostgreSQL. Mapea atributos (id, user_id, title, message...) y estado transaccional.</w:t>
            </w:r>
          </w:p>
        </w:tc>
      </w:tr>
    </w:tbl>
    <w:p>
      <w:pPr>
        <w:spacing w:after="240"/>
      </w:pPr>
    </w:p>
    <w:p>
      <w:pPr>
        <w:pStyle w:val="Heading2"/>
        <w:spacing w:before="280" w:after="80"/>
      </w:pPr>
      <w:r>
        <w:t>CU17: Gestionar carrito de compra digital</w:t>
      </w:r>
    </w:p>
    <w:p>
      <w:pPr>
        <w:spacing w:after="160"/>
      </w:pPr>
      <w:r>
        <w:rPr>
          <w:b/>
          <w:color w:val="475569"/>
          <w:sz w:val="20"/>
        </w:rPr>
        <w:t>Actor Primario: Cliente   |   Paquete Arquitectónico: ventas_y_pagos</w:t>
      </w:r>
    </w:p>
    <w:p>
      <w:pPr>
        <w:spacing w:before="120" w:after="120"/>
        <w:jc w:val="center"/>
      </w:pPr>
      <w:r>
        <w:drawing>
          <wp:inline xmlns:a="http://schemas.openxmlformats.org/drawingml/2006/main" xmlns:pic="http://schemas.openxmlformats.org/drawingml/2006/picture">
            <wp:extent cx="6035040" cy="3249637"/>
            <wp:docPr id="21" name="Picture 21"/>
            <wp:cNvGraphicFramePr>
              <a:graphicFrameLocks noChangeAspect="1"/>
            </wp:cNvGraphicFramePr>
            <a:graphic>
              <a:graphicData uri="http://schemas.openxmlformats.org/drawingml/2006/picture">
                <pic:pic>
                  <pic:nvPicPr>
                    <pic:cNvPr id="0" name="CU17_Gestionar_carrito_de_compra_digital.png"/>
                    <pic:cNvPicPr/>
                  </pic:nvPicPr>
                  <pic:blipFill>
                    <a:blip r:embed="rId28"/>
                    <a:stretch>
                      <a:fillRect/>
                    </a:stretch>
                  </pic:blipFill>
                  <pic:spPr>
                    <a:xfrm>
                      <a:off x="0" y="0"/>
                      <a:ext cx="6035040" cy="3249637"/>
                    </a:xfrm>
                    <a:prstGeom prst="rect"/>
                  </pic:spPr>
                </pic:pic>
              </a:graphicData>
            </a:graphic>
          </wp:inline>
        </w:drawing>
      </w:r>
    </w:p>
    <w:p>
      <w:pPr>
        <w:spacing w:after="160"/>
        <w:jc w:val="center"/>
      </w:pPr>
      <w:r>
        <w:rPr>
          <w:i/>
          <w:color w:val="64748B"/>
          <w:sz w:val="17"/>
        </w:rPr>
        <w:t>Figura: Diagrama de Análisis de Clases (BCE) — CU17: Gestionar carrito de compra digital</w:t>
      </w:r>
    </w:p>
    <w:p>
      <w:pPr>
        <w:spacing w:after="60"/>
      </w:pPr>
      <w:r>
        <w:rPr>
          <w:b/>
          <w:color w:val="1E1B4B"/>
          <w:sz w:val="19"/>
        </w:rPr>
        <w:t>Especificación de Clases y Responsabilidades del Caso de Uso:</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1872"/>
            <w:shd w:fill="EDE9FE"/>
          </w:tcPr>
          <w:p>
            <w:r>
              <w:rPr>
                <w:b/>
                <w:color w:val="4338CA"/>
                <w:sz w:val="18"/>
              </w:rPr>
              <w:t>Estereotipo</w:t>
            </w:r>
          </w:p>
        </w:tc>
        <w:tc>
          <w:tcPr>
            <w:tcW w:type="dxa" w:w="3168"/>
            <w:shd w:fill="EDE9FE"/>
          </w:tcPr>
          <w:p>
            <w:r>
              <w:rPr>
                <w:b/>
                <w:color w:val="4338CA"/>
                <w:sz w:val="18"/>
              </w:rPr>
              <w:t>Nombre de Clase</w:t>
            </w:r>
          </w:p>
        </w:tc>
        <w:tc>
          <w:tcPr>
            <w:tcW w:type="dxa" w:w="4752"/>
            <w:shd w:fill="EDE9FE"/>
          </w:tcPr>
          <w:p>
            <w:r>
              <w:rPr>
                <w:b/>
                <w:color w:val="4338CA"/>
                <w:sz w:val="18"/>
              </w:rPr>
              <w:t>Responsabilidad en el Caso de Uso</w:t>
            </w:r>
          </w:p>
        </w:tc>
      </w:tr>
      <w:tr>
        <w:tc>
          <w:tcPr>
            <w:tcW w:type="dxa" w:w="1872"/>
          </w:tcPr>
          <w:p>
            <w:pPr>
              <w:spacing w:before="40" w:after="40"/>
            </w:pPr>
            <w:r>
              <w:rPr>
                <w:rFonts w:ascii="Calibri" w:hAnsi="Calibri"/>
                <w:sz w:val="17"/>
              </w:rPr>
              <w:t>Boundary (IU)</w:t>
            </w:r>
          </w:p>
        </w:tc>
        <w:tc>
          <w:tcPr>
            <w:tcW w:type="dxa" w:w="3168"/>
          </w:tcPr>
          <w:p>
            <w:pPr>
              <w:spacing w:before="40" w:after="40"/>
            </w:pPr>
            <w:r>
              <w:rPr>
                <w:rFonts w:ascii="Calibri" w:hAnsi="Calibri"/>
                <w:sz w:val="17"/>
              </w:rPr>
              <w:t>IU_CarritoCompras</w:t>
            </w:r>
          </w:p>
        </w:tc>
        <w:tc>
          <w:tcPr>
            <w:tcW w:type="dxa" w:w="4752"/>
          </w:tcPr>
          <w:p>
            <w:pPr>
              <w:spacing w:before="40" w:after="40"/>
            </w:pPr>
            <w:r>
              <w:rPr>
                <w:rFonts w:ascii="Calibri" w:hAnsi="Calibri"/>
                <w:sz w:val="17"/>
              </w:rPr>
              <w:t>Interfaz gráfica del actor Cliente. Captura eventos de usuario y despliega datos y alertas.</w:t>
            </w:r>
          </w:p>
        </w:tc>
      </w:tr>
      <w:tr>
        <w:tc>
          <w:tcPr>
            <w:tcW w:type="dxa" w:w="1872"/>
          </w:tcPr>
          <w:p>
            <w:pPr>
              <w:spacing w:before="40" w:after="40"/>
            </w:pPr>
            <w:r>
              <w:rPr>
                <w:rFonts w:ascii="Calibri" w:hAnsi="Calibri"/>
                <w:sz w:val="17"/>
              </w:rPr>
              <w:t>Control (CTR)</w:t>
            </w:r>
          </w:p>
        </w:tc>
        <w:tc>
          <w:tcPr>
            <w:tcW w:type="dxa" w:w="3168"/>
          </w:tcPr>
          <w:p>
            <w:pPr>
              <w:spacing w:before="40" w:after="40"/>
            </w:pPr>
            <w:r>
              <w:rPr>
                <w:rFonts w:ascii="Calibri" w:hAnsi="Calibri"/>
                <w:sz w:val="17"/>
              </w:rPr>
              <w:t>CTR_CarritoCompras</w:t>
            </w:r>
          </w:p>
        </w:tc>
        <w:tc>
          <w:tcPr>
            <w:tcW w:type="dxa" w:w="4752"/>
          </w:tcPr>
          <w:p>
            <w:pPr>
              <w:spacing w:before="40" w:after="40"/>
            </w:pPr>
            <w:r>
              <w:rPr>
                <w:rFonts w:ascii="Calibri" w:hAnsi="Calibri"/>
                <w:sz w:val="17"/>
              </w:rPr>
              <w:t>Orquestador de lógica del negocio. Ejecuta validaciones y coordina operaciones sobre las entidades.</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CE_Cart</w:t>
            </w:r>
          </w:p>
        </w:tc>
        <w:tc>
          <w:tcPr>
            <w:tcW w:type="dxa" w:w="4752"/>
          </w:tcPr>
          <w:p>
            <w:pPr>
              <w:spacing w:before="40" w:after="40"/>
            </w:pPr>
            <w:r>
              <w:rPr>
                <w:rFonts w:ascii="Calibri" w:hAnsi="Calibri"/>
                <w:sz w:val="17"/>
              </w:rPr>
              <w:t>Persistencia física en PostgreSQL. Mapea atributos (id, user_id, session_token, updated_at...)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CE_CartItem</w:t>
            </w:r>
          </w:p>
        </w:tc>
        <w:tc>
          <w:tcPr>
            <w:tcW w:type="dxa" w:w="4752"/>
          </w:tcPr>
          <w:p>
            <w:pPr>
              <w:spacing w:before="40" w:after="40"/>
            </w:pPr>
            <w:r>
              <w:rPr>
                <w:rFonts w:ascii="Calibri" w:hAnsi="Calibri"/>
                <w:sz w:val="17"/>
              </w:rPr>
              <w:t>Persistencia física en PostgreSQL. Mapea atributos (id, cart_id, product_variant_id, quantity...)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CE_Inventory</w:t>
            </w:r>
          </w:p>
        </w:tc>
        <w:tc>
          <w:tcPr>
            <w:tcW w:type="dxa" w:w="4752"/>
          </w:tcPr>
          <w:p>
            <w:pPr>
              <w:spacing w:before="40" w:after="40"/>
            </w:pPr>
            <w:r>
              <w:rPr>
                <w:rFonts w:ascii="Calibri" w:hAnsi="Calibri"/>
                <w:sz w:val="17"/>
              </w:rPr>
              <w:t>Persistencia física en PostgreSQL. Mapea atributos (id, product_variant_id, physical_stock, reserved_stock...) y estado transaccional.</w:t>
            </w:r>
          </w:p>
        </w:tc>
      </w:tr>
    </w:tbl>
    <w:p>
      <w:pPr>
        <w:spacing w:after="240"/>
      </w:pPr>
    </w:p>
    <w:p>
      <w:pPr>
        <w:pStyle w:val="Heading2"/>
        <w:spacing w:before="280" w:after="80"/>
      </w:pPr>
      <w:r>
        <w:t>CU18: Procesar venta / checkout con herencia de medios de pago</w:t>
      </w:r>
    </w:p>
    <w:p>
      <w:pPr>
        <w:spacing w:after="160"/>
      </w:pPr>
      <w:r>
        <w:rPr>
          <w:b/>
          <w:color w:val="475569"/>
          <w:sz w:val="20"/>
        </w:rPr>
        <w:t>Actor Primario: Cliente   |   Paquete Arquitectónico: ventas_y_pagos</w:t>
      </w:r>
    </w:p>
    <w:p>
      <w:pPr>
        <w:spacing w:before="120" w:after="120"/>
        <w:jc w:val="center"/>
      </w:pPr>
      <w:r>
        <w:drawing>
          <wp:inline xmlns:a="http://schemas.openxmlformats.org/drawingml/2006/main" xmlns:pic="http://schemas.openxmlformats.org/drawingml/2006/picture">
            <wp:extent cx="6035040" cy="3249637"/>
            <wp:docPr id="22" name="Picture 22"/>
            <wp:cNvGraphicFramePr>
              <a:graphicFrameLocks noChangeAspect="1"/>
            </wp:cNvGraphicFramePr>
            <a:graphic>
              <a:graphicData uri="http://schemas.openxmlformats.org/drawingml/2006/picture">
                <pic:pic>
                  <pic:nvPicPr>
                    <pic:cNvPr id="0" name="CU18_Procesar_venta_checkout_con_herencia_de_medios_de_pago.png"/>
                    <pic:cNvPicPr/>
                  </pic:nvPicPr>
                  <pic:blipFill>
                    <a:blip r:embed="rId29"/>
                    <a:stretch>
                      <a:fillRect/>
                    </a:stretch>
                  </pic:blipFill>
                  <pic:spPr>
                    <a:xfrm>
                      <a:off x="0" y="0"/>
                      <a:ext cx="6035040" cy="3249637"/>
                    </a:xfrm>
                    <a:prstGeom prst="rect"/>
                  </pic:spPr>
                </pic:pic>
              </a:graphicData>
            </a:graphic>
          </wp:inline>
        </w:drawing>
      </w:r>
    </w:p>
    <w:p>
      <w:pPr>
        <w:spacing w:after="160"/>
        <w:jc w:val="center"/>
      </w:pPr>
      <w:r>
        <w:rPr>
          <w:i/>
          <w:color w:val="64748B"/>
          <w:sz w:val="17"/>
        </w:rPr>
        <w:t>Figura: Diagrama de Análisis de Clases (BCE) — CU18: Procesar venta / checkout con herencia de medios de pago</w:t>
      </w:r>
    </w:p>
    <w:p>
      <w:pPr>
        <w:spacing w:after="60"/>
      </w:pPr>
      <w:r>
        <w:rPr>
          <w:b/>
          <w:color w:val="1E1B4B"/>
          <w:sz w:val="19"/>
        </w:rPr>
        <w:t>Especificación de Clases y Responsabilidades del Caso de Uso:</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1872"/>
            <w:shd w:fill="EDE9FE"/>
          </w:tcPr>
          <w:p>
            <w:r>
              <w:rPr>
                <w:b/>
                <w:color w:val="4338CA"/>
                <w:sz w:val="18"/>
              </w:rPr>
              <w:t>Estereotipo</w:t>
            </w:r>
          </w:p>
        </w:tc>
        <w:tc>
          <w:tcPr>
            <w:tcW w:type="dxa" w:w="3168"/>
            <w:shd w:fill="EDE9FE"/>
          </w:tcPr>
          <w:p>
            <w:r>
              <w:rPr>
                <w:b/>
                <w:color w:val="4338CA"/>
                <w:sz w:val="18"/>
              </w:rPr>
              <w:t>Nombre de Clase</w:t>
            </w:r>
          </w:p>
        </w:tc>
        <w:tc>
          <w:tcPr>
            <w:tcW w:type="dxa" w:w="4752"/>
            <w:shd w:fill="EDE9FE"/>
          </w:tcPr>
          <w:p>
            <w:r>
              <w:rPr>
                <w:b/>
                <w:color w:val="4338CA"/>
                <w:sz w:val="18"/>
              </w:rPr>
              <w:t>Responsabilidad en el Caso de Uso</w:t>
            </w:r>
          </w:p>
        </w:tc>
      </w:tr>
      <w:tr>
        <w:tc>
          <w:tcPr>
            <w:tcW w:type="dxa" w:w="1872"/>
          </w:tcPr>
          <w:p>
            <w:pPr>
              <w:spacing w:before="40" w:after="40"/>
            </w:pPr>
            <w:r>
              <w:rPr>
                <w:rFonts w:ascii="Calibri" w:hAnsi="Calibri"/>
                <w:sz w:val="17"/>
              </w:rPr>
              <w:t>Boundary (IU)</w:t>
            </w:r>
          </w:p>
        </w:tc>
        <w:tc>
          <w:tcPr>
            <w:tcW w:type="dxa" w:w="3168"/>
          </w:tcPr>
          <w:p>
            <w:pPr>
              <w:spacing w:before="40" w:after="40"/>
            </w:pPr>
            <w:r>
              <w:rPr>
                <w:rFonts w:ascii="Calibri" w:hAnsi="Calibri"/>
                <w:sz w:val="17"/>
              </w:rPr>
              <w:t>IU_CheckoutOnline</w:t>
            </w:r>
          </w:p>
        </w:tc>
        <w:tc>
          <w:tcPr>
            <w:tcW w:type="dxa" w:w="4752"/>
          </w:tcPr>
          <w:p>
            <w:pPr>
              <w:spacing w:before="40" w:after="40"/>
            </w:pPr>
            <w:r>
              <w:rPr>
                <w:rFonts w:ascii="Calibri" w:hAnsi="Calibri"/>
                <w:sz w:val="17"/>
              </w:rPr>
              <w:t>Interfaz gráfica del actor Cliente. Captura eventos de usuario y despliega datos y alertas.</w:t>
            </w:r>
          </w:p>
        </w:tc>
      </w:tr>
      <w:tr>
        <w:tc>
          <w:tcPr>
            <w:tcW w:type="dxa" w:w="1872"/>
          </w:tcPr>
          <w:p>
            <w:pPr>
              <w:spacing w:before="40" w:after="40"/>
            </w:pPr>
            <w:r>
              <w:rPr>
                <w:rFonts w:ascii="Calibri" w:hAnsi="Calibri"/>
                <w:sz w:val="17"/>
              </w:rPr>
              <w:t>Control (CTR)</w:t>
            </w:r>
          </w:p>
        </w:tc>
        <w:tc>
          <w:tcPr>
            <w:tcW w:type="dxa" w:w="3168"/>
          </w:tcPr>
          <w:p>
            <w:pPr>
              <w:spacing w:before="40" w:after="40"/>
            </w:pPr>
            <w:r>
              <w:rPr>
                <w:rFonts w:ascii="Calibri" w:hAnsi="Calibri"/>
                <w:sz w:val="17"/>
              </w:rPr>
              <w:t>CTR_CheckoutVenta</w:t>
            </w:r>
          </w:p>
        </w:tc>
        <w:tc>
          <w:tcPr>
            <w:tcW w:type="dxa" w:w="4752"/>
          </w:tcPr>
          <w:p>
            <w:pPr>
              <w:spacing w:before="40" w:after="40"/>
            </w:pPr>
            <w:r>
              <w:rPr>
                <w:rFonts w:ascii="Calibri" w:hAnsi="Calibri"/>
                <w:sz w:val="17"/>
              </w:rPr>
              <w:t>Orquestador de lógica del negocio. Ejecuta validaciones y coordina operaciones sobre las entidades.</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CE_Order</w:t>
            </w:r>
          </w:p>
        </w:tc>
        <w:tc>
          <w:tcPr>
            <w:tcW w:type="dxa" w:w="4752"/>
          </w:tcPr>
          <w:p>
            <w:pPr>
              <w:spacing w:before="40" w:after="40"/>
            </w:pPr>
            <w:r>
              <w:rPr>
                <w:rFonts w:ascii="Calibri" w:hAnsi="Calibri"/>
                <w:sz w:val="17"/>
              </w:rPr>
              <w:t>Persistencia física en PostgreSQL. Mapea atributos (id, user_id, channel, status...)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CE_OrderItem</w:t>
            </w:r>
          </w:p>
        </w:tc>
        <w:tc>
          <w:tcPr>
            <w:tcW w:type="dxa" w:w="4752"/>
          </w:tcPr>
          <w:p>
            <w:pPr>
              <w:spacing w:before="40" w:after="40"/>
            </w:pPr>
            <w:r>
              <w:rPr>
                <w:rFonts w:ascii="Calibri" w:hAnsi="Calibri"/>
                <w:sz w:val="17"/>
              </w:rPr>
              <w:t>Persistencia física en PostgreSQL. Mapea atributos (id, order_id, product_variant_id, quantity...)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CE_Payment</w:t>
            </w:r>
          </w:p>
        </w:tc>
        <w:tc>
          <w:tcPr>
            <w:tcW w:type="dxa" w:w="4752"/>
          </w:tcPr>
          <w:p>
            <w:pPr>
              <w:spacing w:before="40" w:after="40"/>
            </w:pPr>
            <w:r>
              <w:rPr>
                <w:rFonts w:ascii="Calibri" w:hAnsi="Calibri"/>
                <w:sz w:val="17"/>
              </w:rPr>
              <w:t>Persistencia física en PostgreSQL. Mapea atributos (id, order_id, payment_type, amount...) y estado transaccional.</w:t>
            </w:r>
          </w:p>
        </w:tc>
      </w:tr>
    </w:tbl>
    <w:p>
      <w:pPr>
        <w:spacing w:after="240"/>
      </w:pPr>
    </w:p>
    <w:p>
      <w:pPr>
        <w:pStyle w:val="Heading2"/>
        <w:spacing w:before="280" w:after="80"/>
      </w:pPr>
      <w:r>
        <w:t>CU19: Procesar venta presencial en caja (POS)</w:t>
      </w:r>
    </w:p>
    <w:p>
      <w:pPr>
        <w:spacing w:after="160"/>
      </w:pPr>
      <w:r>
        <w:rPr>
          <w:b/>
          <w:color w:val="475569"/>
          <w:sz w:val="20"/>
        </w:rPr>
        <w:t>Actor Primario: Cajero   |   Paquete Arquitectónico: ventas_y_pagos</w:t>
      </w:r>
    </w:p>
    <w:p>
      <w:pPr>
        <w:spacing w:before="120" w:after="120"/>
        <w:jc w:val="center"/>
      </w:pPr>
      <w:r>
        <w:drawing>
          <wp:inline xmlns:a="http://schemas.openxmlformats.org/drawingml/2006/main" xmlns:pic="http://schemas.openxmlformats.org/drawingml/2006/picture">
            <wp:extent cx="6035040" cy="3079737"/>
            <wp:docPr id="23" name="Picture 23"/>
            <wp:cNvGraphicFramePr>
              <a:graphicFrameLocks noChangeAspect="1"/>
            </wp:cNvGraphicFramePr>
            <a:graphic>
              <a:graphicData uri="http://schemas.openxmlformats.org/drawingml/2006/picture">
                <pic:pic>
                  <pic:nvPicPr>
                    <pic:cNvPr id="0" name="CU19_Procesar_venta_presencial_en_caja_POS.png"/>
                    <pic:cNvPicPr/>
                  </pic:nvPicPr>
                  <pic:blipFill>
                    <a:blip r:embed="rId30"/>
                    <a:stretch>
                      <a:fillRect/>
                    </a:stretch>
                  </pic:blipFill>
                  <pic:spPr>
                    <a:xfrm>
                      <a:off x="0" y="0"/>
                      <a:ext cx="6035040" cy="3079737"/>
                    </a:xfrm>
                    <a:prstGeom prst="rect"/>
                  </pic:spPr>
                </pic:pic>
              </a:graphicData>
            </a:graphic>
          </wp:inline>
        </w:drawing>
      </w:r>
    </w:p>
    <w:p>
      <w:pPr>
        <w:spacing w:after="160"/>
        <w:jc w:val="center"/>
      </w:pPr>
      <w:r>
        <w:rPr>
          <w:i/>
          <w:color w:val="64748B"/>
          <w:sz w:val="17"/>
        </w:rPr>
        <w:t>Figura: Diagrama de Análisis de Clases (BCE) — CU19: Procesar venta presencial en caja (POS)</w:t>
      </w:r>
    </w:p>
    <w:p>
      <w:pPr>
        <w:spacing w:after="60"/>
      </w:pPr>
      <w:r>
        <w:rPr>
          <w:b/>
          <w:color w:val="1E1B4B"/>
          <w:sz w:val="19"/>
        </w:rPr>
        <w:t>Especificación de Clases y Responsabilidades del Caso de Uso:</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1872"/>
            <w:shd w:fill="EDE9FE"/>
          </w:tcPr>
          <w:p>
            <w:r>
              <w:rPr>
                <w:b/>
                <w:color w:val="4338CA"/>
                <w:sz w:val="18"/>
              </w:rPr>
              <w:t>Estereotipo</w:t>
            </w:r>
          </w:p>
        </w:tc>
        <w:tc>
          <w:tcPr>
            <w:tcW w:type="dxa" w:w="3168"/>
            <w:shd w:fill="EDE9FE"/>
          </w:tcPr>
          <w:p>
            <w:r>
              <w:rPr>
                <w:b/>
                <w:color w:val="4338CA"/>
                <w:sz w:val="18"/>
              </w:rPr>
              <w:t>Nombre de Clase</w:t>
            </w:r>
          </w:p>
        </w:tc>
        <w:tc>
          <w:tcPr>
            <w:tcW w:type="dxa" w:w="4752"/>
            <w:shd w:fill="EDE9FE"/>
          </w:tcPr>
          <w:p>
            <w:r>
              <w:rPr>
                <w:b/>
                <w:color w:val="4338CA"/>
                <w:sz w:val="18"/>
              </w:rPr>
              <w:t>Responsabilidad en el Caso de Uso</w:t>
            </w:r>
          </w:p>
        </w:tc>
      </w:tr>
      <w:tr>
        <w:tc>
          <w:tcPr>
            <w:tcW w:type="dxa" w:w="1872"/>
          </w:tcPr>
          <w:p>
            <w:pPr>
              <w:spacing w:before="40" w:after="40"/>
            </w:pPr>
            <w:r>
              <w:rPr>
                <w:rFonts w:ascii="Calibri" w:hAnsi="Calibri"/>
                <w:sz w:val="17"/>
              </w:rPr>
              <w:t>Boundary (IU)</w:t>
            </w:r>
          </w:p>
        </w:tc>
        <w:tc>
          <w:tcPr>
            <w:tcW w:type="dxa" w:w="3168"/>
          </w:tcPr>
          <w:p>
            <w:pPr>
              <w:spacing w:before="40" w:after="40"/>
            </w:pPr>
            <w:r>
              <w:rPr>
                <w:rFonts w:ascii="Calibri" w:hAnsi="Calibri"/>
                <w:sz w:val="17"/>
              </w:rPr>
              <w:t>IU_PuntoDeVentaPOS</w:t>
            </w:r>
          </w:p>
        </w:tc>
        <w:tc>
          <w:tcPr>
            <w:tcW w:type="dxa" w:w="4752"/>
          </w:tcPr>
          <w:p>
            <w:pPr>
              <w:spacing w:before="40" w:after="40"/>
            </w:pPr>
            <w:r>
              <w:rPr>
                <w:rFonts w:ascii="Calibri" w:hAnsi="Calibri"/>
                <w:sz w:val="17"/>
              </w:rPr>
              <w:t>Interfaz gráfica del actor Cajero. Captura eventos de usuario y despliega datos y alertas.</w:t>
            </w:r>
          </w:p>
        </w:tc>
      </w:tr>
      <w:tr>
        <w:tc>
          <w:tcPr>
            <w:tcW w:type="dxa" w:w="1872"/>
          </w:tcPr>
          <w:p>
            <w:pPr>
              <w:spacing w:before="40" w:after="40"/>
            </w:pPr>
            <w:r>
              <w:rPr>
                <w:rFonts w:ascii="Calibri" w:hAnsi="Calibri"/>
                <w:sz w:val="17"/>
              </w:rPr>
              <w:t>Control (CTR)</w:t>
            </w:r>
          </w:p>
        </w:tc>
        <w:tc>
          <w:tcPr>
            <w:tcW w:type="dxa" w:w="3168"/>
          </w:tcPr>
          <w:p>
            <w:pPr>
              <w:spacing w:before="40" w:after="40"/>
            </w:pPr>
            <w:r>
              <w:rPr>
                <w:rFonts w:ascii="Calibri" w:hAnsi="Calibri"/>
                <w:sz w:val="17"/>
              </w:rPr>
              <w:t>CTR_POS</w:t>
            </w:r>
          </w:p>
        </w:tc>
        <w:tc>
          <w:tcPr>
            <w:tcW w:type="dxa" w:w="4752"/>
          </w:tcPr>
          <w:p>
            <w:pPr>
              <w:spacing w:before="40" w:after="40"/>
            </w:pPr>
            <w:r>
              <w:rPr>
                <w:rFonts w:ascii="Calibri" w:hAnsi="Calibri"/>
                <w:sz w:val="17"/>
              </w:rPr>
              <w:t>Orquestador de lógica del negocio. Ejecuta validaciones y coordina operaciones sobre las entidades.</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CE_CashShift</w:t>
            </w:r>
          </w:p>
        </w:tc>
        <w:tc>
          <w:tcPr>
            <w:tcW w:type="dxa" w:w="4752"/>
          </w:tcPr>
          <w:p>
            <w:pPr>
              <w:spacing w:before="40" w:after="40"/>
            </w:pPr>
            <w:r>
              <w:rPr>
                <w:rFonts w:ascii="Calibri" w:hAnsi="Calibri"/>
                <w:sz w:val="17"/>
              </w:rPr>
              <w:t>Persistencia física en PostgreSQL. Mapea atributos (id, cashier_id, branch_id, status...)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CE_Order</w:t>
            </w:r>
          </w:p>
        </w:tc>
        <w:tc>
          <w:tcPr>
            <w:tcW w:type="dxa" w:w="4752"/>
          </w:tcPr>
          <w:p>
            <w:pPr>
              <w:spacing w:before="40" w:after="40"/>
            </w:pPr>
            <w:r>
              <w:rPr>
                <w:rFonts w:ascii="Calibri" w:hAnsi="Calibri"/>
                <w:sz w:val="17"/>
              </w:rPr>
              <w:t>Persistencia física en PostgreSQL. Mapea atributos (id, user_id, branch_id, channel...)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CE_OrderItem</w:t>
            </w:r>
          </w:p>
        </w:tc>
        <w:tc>
          <w:tcPr>
            <w:tcW w:type="dxa" w:w="4752"/>
          </w:tcPr>
          <w:p>
            <w:pPr>
              <w:spacing w:before="40" w:after="40"/>
            </w:pPr>
            <w:r>
              <w:rPr>
                <w:rFonts w:ascii="Calibri" w:hAnsi="Calibri"/>
                <w:sz w:val="17"/>
              </w:rPr>
              <w:t>Persistencia física en PostgreSQL. Mapea atributos (id, order_id, product_variant_id, quantity...)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CE_Invoice</w:t>
            </w:r>
          </w:p>
        </w:tc>
        <w:tc>
          <w:tcPr>
            <w:tcW w:type="dxa" w:w="4752"/>
          </w:tcPr>
          <w:p>
            <w:pPr>
              <w:spacing w:before="40" w:after="40"/>
            </w:pPr>
            <w:r>
              <w:rPr>
                <w:rFonts w:ascii="Calibri" w:hAnsi="Calibri"/>
                <w:sz w:val="17"/>
              </w:rPr>
              <w:t>Persistencia física en PostgreSQL. Mapea atributos (id, order_id, doc_type, total...) y estado transaccional.</w:t>
            </w:r>
          </w:p>
        </w:tc>
      </w:tr>
    </w:tbl>
    <w:p>
      <w:pPr>
        <w:spacing w:after="240"/>
      </w:pPr>
    </w:p>
    <w:p>
      <w:pPr>
        <w:pStyle w:val="Heading2"/>
        <w:spacing w:before="280" w:after="80"/>
      </w:pPr>
      <w:r>
        <w:t>CU20: Emitir factura y nota de entrega (IVA 13%)</w:t>
      </w:r>
    </w:p>
    <w:p>
      <w:pPr>
        <w:spacing w:after="160"/>
      </w:pPr>
      <w:r>
        <w:rPr>
          <w:b/>
          <w:color w:val="475569"/>
          <w:sz w:val="20"/>
        </w:rPr>
        <w:t>Actor Primario: Sistema / CTR_Ventas   |   Paquete Arquitectónico: ventas_y_pagos</w:t>
      </w:r>
    </w:p>
    <w:p>
      <w:pPr>
        <w:spacing w:before="120" w:after="120"/>
        <w:jc w:val="center"/>
      </w:pPr>
      <w:r>
        <w:drawing>
          <wp:inline xmlns:a="http://schemas.openxmlformats.org/drawingml/2006/main" xmlns:pic="http://schemas.openxmlformats.org/drawingml/2006/picture">
            <wp:extent cx="6035040" cy="2999665"/>
            <wp:docPr id="24" name="Picture 24"/>
            <wp:cNvGraphicFramePr>
              <a:graphicFrameLocks noChangeAspect="1"/>
            </wp:cNvGraphicFramePr>
            <a:graphic>
              <a:graphicData uri="http://schemas.openxmlformats.org/drawingml/2006/picture">
                <pic:pic>
                  <pic:nvPicPr>
                    <pic:cNvPr id="0" name="CU20_Emitir_factura_y_nota_de_entrega_IVA_13.png"/>
                    <pic:cNvPicPr/>
                  </pic:nvPicPr>
                  <pic:blipFill>
                    <a:blip r:embed="rId31"/>
                    <a:stretch>
                      <a:fillRect/>
                    </a:stretch>
                  </pic:blipFill>
                  <pic:spPr>
                    <a:xfrm>
                      <a:off x="0" y="0"/>
                      <a:ext cx="6035040" cy="2999665"/>
                    </a:xfrm>
                    <a:prstGeom prst="rect"/>
                  </pic:spPr>
                </pic:pic>
              </a:graphicData>
            </a:graphic>
          </wp:inline>
        </w:drawing>
      </w:r>
    </w:p>
    <w:p>
      <w:pPr>
        <w:spacing w:after="160"/>
        <w:jc w:val="center"/>
      </w:pPr>
      <w:r>
        <w:rPr>
          <w:i/>
          <w:color w:val="64748B"/>
          <w:sz w:val="17"/>
        </w:rPr>
        <w:t>Figura: Diagrama de Análisis de Clases (BCE) — CU20: Emitir factura y nota de entrega (IVA 13%)</w:t>
      </w:r>
    </w:p>
    <w:p>
      <w:pPr>
        <w:spacing w:after="60"/>
      </w:pPr>
      <w:r>
        <w:rPr>
          <w:b/>
          <w:color w:val="1E1B4B"/>
          <w:sz w:val="19"/>
        </w:rPr>
        <w:t>Especificación de Clases y Responsabilidades del Caso de Uso:</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1872"/>
            <w:shd w:fill="EDE9FE"/>
          </w:tcPr>
          <w:p>
            <w:r>
              <w:rPr>
                <w:b/>
                <w:color w:val="4338CA"/>
                <w:sz w:val="18"/>
              </w:rPr>
              <w:t>Estereotipo</w:t>
            </w:r>
          </w:p>
        </w:tc>
        <w:tc>
          <w:tcPr>
            <w:tcW w:type="dxa" w:w="3168"/>
            <w:shd w:fill="EDE9FE"/>
          </w:tcPr>
          <w:p>
            <w:r>
              <w:rPr>
                <w:b/>
                <w:color w:val="4338CA"/>
                <w:sz w:val="18"/>
              </w:rPr>
              <w:t>Nombre de Clase</w:t>
            </w:r>
          </w:p>
        </w:tc>
        <w:tc>
          <w:tcPr>
            <w:tcW w:type="dxa" w:w="4752"/>
            <w:shd w:fill="EDE9FE"/>
          </w:tcPr>
          <w:p>
            <w:r>
              <w:rPr>
                <w:b/>
                <w:color w:val="4338CA"/>
                <w:sz w:val="18"/>
              </w:rPr>
              <w:t>Responsabilidad en el Caso de Uso</w:t>
            </w:r>
          </w:p>
        </w:tc>
      </w:tr>
      <w:tr>
        <w:tc>
          <w:tcPr>
            <w:tcW w:type="dxa" w:w="1872"/>
          </w:tcPr>
          <w:p>
            <w:pPr>
              <w:spacing w:before="40" w:after="40"/>
            </w:pPr>
            <w:r>
              <w:rPr>
                <w:rFonts w:ascii="Calibri" w:hAnsi="Calibri"/>
                <w:sz w:val="17"/>
              </w:rPr>
              <w:t>Boundary (IU)</w:t>
            </w:r>
          </w:p>
        </w:tc>
        <w:tc>
          <w:tcPr>
            <w:tcW w:type="dxa" w:w="3168"/>
          </w:tcPr>
          <w:p>
            <w:pPr>
              <w:spacing w:before="40" w:after="40"/>
            </w:pPr>
            <w:r>
              <w:rPr>
                <w:rFonts w:ascii="Calibri" w:hAnsi="Calibri"/>
                <w:sz w:val="17"/>
              </w:rPr>
              <w:t>IU_VisorComprobantes</w:t>
            </w:r>
          </w:p>
        </w:tc>
        <w:tc>
          <w:tcPr>
            <w:tcW w:type="dxa" w:w="4752"/>
          </w:tcPr>
          <w:p>
            <w:pPr>
              <w:spacing w:before="40" w:after="40"/>
            </w:pPr>
            <w:r>
              <w:rPr>
                <w:rFonts w:ascii="Calibri" w:hAnsi="Calibri"/>
                <w:sz w:val="17"/>
              </w:rPr>
              <w:t>Interfaz gráfica del actor Sistema / CTR_Ventas. Captura eventos de usuario y despliega datos y alertas.</w:t>
            </w:r>
          </w:p>
        </w:tc>
      </w:tr>
      <w:tr>
        <w:tc>
          <w:tcPr>
            <w:tcW w:type="dxa" w:w="1872"/>
          </w:tcPr>
          <w:p>
            <w:pPr>
              <w:spacing w:before="40" w:after="40"/>
            </w:pPr>
            <w:r>
              <w:rPr>
                <w:rFonts w:ascii="Calibri" w:hAnsi="Calibri"/>
                <w:sz w:val="17"/>
              </w:rPr>
              <w:t>Control (CTR)</w:t>
            </w:r>
          </w:p>
        </w:tc>
        <w:tc>
          <w:tcPr>
            <w:tcW w:type="dxa" w:w="3168"/>
          </w:tcPr>
          <w:p>
            <w:pPr>
              <w:spacing w:before="40" w:after="40"/>
            </w:pPr>
            <w:r>
              <w:rPr>
                <w:rFonts w:ascii="Calibri" w:hAnsi="Calibri"/>
                <w:sz w:val="17"/>
              </w:rPr>
              <w:t>CTR_Facturacion</w:t>
            </w:r>
          </w:p>
        </w:tc>
        <w:tc>
          <w:tcPr>
            <w:tcW w:type="dxa" w:w="4752"/>
          </w:tcPr>
          <w:p>
            <w:pPr>
              <w:spacing w:before="40" w:after="40"/>
            </w:pPr>
            <w:r>
              <w:rPr>
                <w:rFonts w:ascii="Calibri" w:hAnsi="Calibri"/>
                <w:sz w:val="17"/>
              </w:rPr>
              <w:t>Orquestador de lógica del negocio. Ejecuta validaciones y coordina operaciones sobre las entidades.</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CE_Invoice</w:t>
            </w:r>
          </w:p>
        </w:tc>
        <w:tc>
          <w:tcPr>
            <w:tcW w:type="dxa" w:w="4752"/>
          </w:tcPr>
          <w:p>
            <w:pPr>
              <w:spacing w:before="40" w:after="40"/>
            </w:pPr>
            <w:r>
              <w:rPr>
                <w:rFonts w:ascii="Calibri" w:hAnsi="Calibri"/>
                <w:sz w:val="17"/>
              </w:rPr>
              <w:t>Persistencia física en PostgreSQL. Mapea atributos (id, order_id, doc_type, tax_rate...)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CE_Order</w:t>
            </w:r>
          </w:p>
        </w:tc>
        <w:tc>
          <w:tcPr>
            <w:tcW w:type="dxa" w:w="4752"/>
          </w:tcPr>
          <w:p>
            <w:pPr>
              <w:spacing w:before="40" w:after="40"/>
            </w:pPr>
            <w:r>
              <w:rPr>
                <w:rFonts w:ascii="Calibri" w:hAnsi="Calibri"/>
                <w:sz w:val="17"/>
              </w:rPr>
              <w:t>Persistencia física en PostgreSQL. Mapea atributos (id, user_id, branch_id, status...) y estado transaccional.</w:t>
            </w:r>
          </w:p>
        </w:tc>
      </w:tr>
    </w:tbl>
    <w:p>
      <w:pPr>
        <w:spacing w:after="240"/>
      </w:pPr>
    </w:p>
    <w:p>
      <w:pPr>
        <w:pStyle w:val="Heading2"/>
        <w:spacing w:before="280" w:after="80"/>
      </w:pPr>
      <w:r>
        <w:t>CU21: Generar cotización formal</w:t>
      </w:r>
    </w:p>
    <w:p>
      <w:pPr>
        <w:spacing w:after="160"/>
      </w:pPr>
      <w:r>
        <w:rPr>
          <w:b/>
          <w:color w:val="475569"/>
          <w:sz w:val="20"/>
        </w:rPr>
        <w:t>Actor Primario: Cajero / Cliente   |   Paquete Arquitectónico: ventas_y_pagos</w:t>
      </w:r>
    </w:p>
    <w:p>
      <w:pPr>
        <w:spacing w:before="120" w:after="120"/>
        <w:jc w:val="center"/>
      </w:pPr>
      <w:r>
        <w:drawing>
          <wp:inline xmlns:a="http://schemas.openxmlformats.org/drawingml/2006/main" xmlns:pic="http://schemas.openxmlformats.org/drawingml/2006/picture">
            <wp:extent cx="6035040" cy="2999665"/>
            <wp:docPr id="25" name="Picture 25"/>
            <wp:cNvGraphicFramePr>
              <a:graphicFrameLocks noChangeAspect="1"/>
            </wp:cNvGraphicFramePr>
            <a:graphic>
              <a:graphicData uri="http://schemas.openxmlformats.org/drawingml/2006/picture">
                <pic:pic>
                  <pic:nvPicPr>
                    <pic:cNvPr id="0" name="CU21_Generar_cotizaci_n_formal.png"/>
                    <pic:cNvPicPr/>
                  </pic:nvPicPr>
                  <pic:blipFill>
                    <a:blip r:embed="rId32"/>
                    <a:stretch>
                      <a:fillRect/>
                    </a:stretch>
                  </pic:blipFill>
                  <pic:spPr>
                    <a:xfrm>
                      <a:off x="0" y="0"/>
                      <a:ext cx="6035040" cy="2999665"/>
                    </a:xfrm>
                    <a:prstGeom prst="rect"/>
                  </pic:spPr>
                </pic:pic>
              </a:graphicData>
            </a:graphic>
          </wp:inline>
        </w:drawing>
      </w:r>
    </w:p>
    <w:p>
      <w:pPr>
        <w:spacing w:after="160"/>
        <w:jc w:val="center"/>
      </w:pPr>
      <w:r>
        <w:rPr>
          <w:i/>
          <w:color w:val="64748B"/>
          <w:sz w:val="17"/>
        </w:rPr>
        <w:t>Figura: Diagrama de Análisis de Clases (BCE) — CU21: Generar cotización formal</w:t>
      </w:r>
    </w:p>
    <w:p>
      <w:pPr>
        <w:spacing w:after="60"/>
      </w:pPr>
      <w:r>
        <w:rPr>
          <w:b/>
          <w:color w:val="1E1B4B"/>
          <w:sz w:val="19"/>
        </w:rPr>
        <w:t>Especificación de Clases y Responsabilidades del Caso de Uso:</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1872"/>
            <w:shd w:fill="EDE9FE"/>
          </w:tcPr>
          <w:p>
            <w:r>
              <w:rPr>
                <w:b/>
                <w:color w:val="4338CA"/>
                <w:sz w:val="18"/>
              </w:rPr>
              <w:t>Estereotipo</w:t>
            </w:r>
          </w:p>
        </w:tc>
        <w:tc>
          <w:tcPr>
            <w:tcW w:type="dxa" w:w="3168"/>
            <w:shd w:fill="EDE9FE"/>
          </w:tcPr>
          <w:p>
            <w:r>
              <w:rPr>
                <w:b/>
                <w:color w:val="4338CA"/>
                <w:sz w:val="18"/>
              </w:rPr>
              <w:t>Nombre de Clase</w:t>
            </w:r>
          </w:p>
        </w:tc>
        <w:tc>
          <w:tcPr>
            <w:tcW w:type="dxa" w:w="4752"/>
            <w:shd w:fill="EDE9FE"/>
          </w:tcPr>
          <w:p>
            <w:r>
              <w:rPr>
                <w:b/>
                <w:color w:val="4338CA"/>
                <w:sz w:val="18"/>
              </w:rPr>
              <w:t>Responsabilidad en el Caso de Uso</w:t>
            </w:r>
          </w:p>
        </w:tc>
      </w:tr>
      <w:tr>
        <w:tc>
          <w:tcPr>
            <w:tcW w:type="dxa" w:w="1872"/>
          </w:tcPr>
          <w:p>
            <w:pPr>
              <w:spacing w:before="40" w:after="40"/>
            </w:pPr>
            <w:r>
              <w:rPr>
                <w:rFonts w:ascii="Calibri" w:hAnsi="Calibri"/>
                <w:sz w:val="17"/>
              </w:rPr>
              <w:t>Boundary (IU)</w:t>
            </w:r>
          </w:p>
        </w:tc>
        <w:tc>
          <w:tcPr>
            <w:tcW w:type="dxa" w:w="3168"/>
          </w:tcPr>
          <w:p>
            <w:pPr>
              <w:spacing w:before="40" w:after="40"/>
            </w:pPr>
            <w:r>
              <w:rPr>
                <w:rFonts w:ascii="Calibri" w:hAnsi="Calibri"/>
                <w:sz w:val="17"/>
              </w:rPr>
              <w:t>IU_GenerarCotizacion</w:t>
            </w:r>
          </w:p>
        </w:tc>
        <w:tc>
          <w:tcPr>
            <w:tcW w:type="dxa" w:w="4752"/>
          </w:tcPr>
          <w:p>
            <w:pPr>
              <w:spacing w:before="40" w:after="40"/>
            </w:pPr>
            <w:r>
              <w:rPr>
                <w:rFonts w:ascii="Calibri" w:hAnsi="Calibri"/>
                <w:sz w:val="17"/>
              </w:rPr>
              <w:t>Interfaz gráfica del actor Cajero / Cliente. Captura eventos de usuario y despliega datos y alertas.</w:t>
            </w:r>
          </w:p>
        </w:tc>
      </w:tr>
      <w:tr>
        <w:tc>
          <w:tcPr>
            <w:tcW w:type="dxa" w:w="1872"/>
          </w:tcPr>
          <w:p>
            <w:pPr>
              <w:spacing w:before="40" w:after="40"/>
            </w:pPr>
            <w:r>
              <w:rPr>
                <w:rFonts w:ascii="Calibri" w:hAnsi="Calibri"/>
                <w:sz w:val="17"/>
              </w:rPr>
              <w:t>Control (CTR)</w:t>
            </w:r>
          </w:p>
        </w:tc>
        <w:tc>
          <w:tcPr>
            <w:tcW w:type="dxa" w:w="3168"/>
          </w:tcPr>
          <w:p>
            <w:pPr>
              <w:spacing w:before="40" w:after="40"/>
            </w:pPr>
            <w:r>
              <w:rPr>
                <w:rFonts w:ascii="Calibri" w:hAnsi="Calibri"/>
                <w:sz w:val="17"/>
              </w:rPr>
              <w:t>CTR_Cotizaciones</w:t>
            </w:r>
          </w:p>
        </w:tc>
        <w:tc>
          <w:tcPr>
            <w:tcW w:type="dxa" w:w="4752"/>
          </w:tcPr>
          <w:p>
            <w:pPr>
              <w:spacing w:before="40" w:after="40"/>
            </w:pPr>
            <w:r>
              <w:rPr>
                <w:rFonts w:ascii="Calibri" w:hAnsi="Calibri"/>
                <w:sz w:val="17"/>
              </w:rPr>
              <w:t>Orquestador de lógica del negocio. Ejecuta validaciones y coordina operaciones sobre las entidades.</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CE_Quotation</w:t>
            </w:r>
          </w:p>
        </w:tc>
        <w:tc>
          <w:tcPr>
            <w:tcW w:type="dxa" w:w="4752"/>
          </w:tcPr>
          <w:p>
            <w:pPr>
              <w:spacing w:before="40" w:after="40"/>
            </w:pPr>
            <w:r>
              <w:rPr>
                <w:rFonts w:ascii="Calibri" w:hAnsi="Calibri"/>
                <w:sz w:val="17"/>
              </w:rPr>
              <w:t>Persistencia física en PostgreSQL. Mapea atributos (id, user_id, total_amount, valid_until...)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CE_QuotationItem</w:t>
            </w:r>
          </w:p>
        </w:tc>
        <w:tc>
          <w:tcPr>
            <w:tcW w:type="dxa" w:w="4752"/>
          </w:tcPr>
          <w:p>
            <w:pPr>
              <w:spacing w:before="40" w:after="40"/>
            </w:pPr>
            <w:r>
              <w:rPr>
                <w:rFonts w:ascii="Calibri" w:hAnsi="Calibri"/>
                <w:sz w:val="17"/>
              </w:rPr>
              <w:t>Persistencia física en PostgreSQL. Mapea atributos (id, quotation_id, product_variant_id, quantity...) y estado transaccional.</w:t>
            </w:r>
          </w:p>
        </w:tc>
      </w:tr>
    </w:tbl>
    <w:p>
      <w:pPr>
        <w:spacing w:after="240"/>
      </w:pPr>
    </w:p>
    <w:p>
      <w:pPr>
        <w:pStyle w:val="Heading2"/>
        <w:spacing w:before="280" w:after="80"/>
      </w:pPr>
      <w:r>
        <w:t>CU22: Gestionar devoluciones y cambios de prendas</w:t>
      </w:r>
    </w:p>
    <w:p>
      <w:pPr>
        <w:spacing w:after="160"/>
      </w:pPr>
      <w:r>
        <w:rPr>
          <w:b/>
          <w:color w:val="475569"/>
          <w:sz w:val="20"/>
        </w:rPr>
        <w:t>Actor Primario: Cajero   |   Paquete Arquitectónico: ventas_y_pagos</w:t>
      </w:r>
    </w:p>
    <w:p>
      <w:pPr>
        <w:spacing w:before="120" w:after="120"/>
        <w:jc w:val="center"/>
      </w:pPr>
      <w:r>
        <w:drawing>
          <wp:inline xmlns:a="http://schemas.openxmlformats.org/drawingml/2006/main" xmlns:pic="http://schemas.openxmlformats.org/drawingml/2006/picture">
            <wp:extent cx="6035040" cy="3166237"/>
            <wp:docPr id="26" name="Picture 26"/>
            <wp:cNvGraphicFramePr>
              <a:graphicFrameLocks noChangeAspect="1"/>
            </wp:cNvGraphicFramePr>
            <a:graphic>
              <a:graphicData uri="http://schemas.openxmlformats.org/drawingml/2006/picture">
                <pic:pic>
                  <pic:nvPicPr>
                    <pic:cNvPr id="0" name="CU22_Gestionar_devoluciones_y_cambios_de_prendas.png"/>
                    <pic:cNvPicPr/>
                  </pic:nvPicPr>
                  <pic:blipFill>
                    <a:blip r:embed="rId33"/>
                    <a:stretch>
                      <a:fillRect/>
                    </a:stretch>
                  </pic:blipFill>
                  <pic:spPr>
                    <a:xfrm>
                      <a:off x="0" y="0"/>
                      <a:ext cx="6035040" cy="3166237"/>
                    </a:xfrm>
                    <a:prstGeom prst="rect"/>
                  </pic:spPr>
                </pic:pic>
              </a:graphicData>
            </a:graphic>
          </wp:inline>
        </w:drawing>
      </w:r>
    </w:p>
    <w:p>
      <w:pPr>
        <w:spacing w:after="160"/>
        <w:jc w:val="center"/>
      </w:pPr>
      <w:r>
        <w:rPr>
          <w:i/>
          <w:color w:val="64748B"/>
          <w:sz w:val="17"/>
        </w:rPr>
        <w:t>Figura: Diagrama de Análisis de Clases (BCE) — CU22: Gestionar devoluciones y cambios de prendas</w:t>
      </w:r>
    </w:p>
    <w:p>
      <w:pPr>
        <w:spacing w:after="60"/>
      </w:pPr>
      <w:r>
        <w:rPr>
          <w:b/>
          <w:color w:val="1E1B4B"/>
          <w:sz w:val="19"/>
        </w:rPr>
        <w:t>Especificación de Clases y Responsabilidades del Caso de Uso:</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1872"/>
            <w:shd w:fill="EDE9FE"/>
          </w:tcPr>
          <w:p>
            <w:r>
              <w:rPr>
                <w:b/>
                <w:color w:val="4338CA"/>
                <w:sz w:val="18"/>
              </w:rPr>
              <w:t>Estereotipo</w:t>
            </w:r>
          </w:p>
        </w:tc>
        <w:tc>
          <w:tcPr>
            <w:tcW w:type="dxa" w:w="3168"/>
            <w:shd w:fill="EDE9FE"/>
          </w:tcPr>
          <w:p>
            <w:r>
              <w:rPr>
                <w:b/>
                <w:color w:val="4338CA"/>
                <w:sz w:val="18"/>
              </w:rPr>
              <w:t>Nombre de Clase</w:t>
            </w:r>
          </w:p>
        </w:tc>
        <w:tc>
          <w:tcPr>
            <w:tcW w:type="dxa" w:w="4752"/>
            <w:shd w:fill="EDE9FE"/>
          </w:tcPr>
          <w:p>
            <w:r>
              <w:rPr>
                <w:b/>
                <w:color w:val="4338CA"/>
                <w:sz w:val="18"/>
              </w:rPr>
              <w:t>Responsabilidad en el Caso de Uso</w:t>
            </w:r>
          </w:p>
        </w:tc>
      </w:tr>
      <w:tr>
        <w:tc>
          <w:tcPr>
            <w:tcW w:type="dxa" w:w="1872"/>
          </w:tcPr>
          <w:p>
            <w:pPr>
              <w:spacing w:before="40" w:after="40"/>
            </w:pPr>
            <w:r>
              <w:rPr>
                <w:rFonts w:ascii="Calibri" w:hAnsi="Calibri"/>
                <w:sz w:val="17"/>
              </w:rPr>
              <w:t>Boundary (IU)</w:t>
            </w:r>
          </w:p>
        </w:tc>
        <w:tc>
          <w:tcPr>
            <w:tcW w:type="dxa" w:w="3168"/>
          </w:tcPr>
          <w:p>
            <w:pPr>
              <w:spacing w:before="40" w:after="40"/>
            </w:pPr>
            <w:r>
              <w:rPr>
                <w:rFonts w:ascii="Calibri" w:hAnsi="Calibri"/>
                <w:sz w:val="17"/>
              </w:rPr>
              <w:t>IU_Devoluciones</w:t>
            </w:r>
          </w:p>
        </w:tc>
        <w:tc>
          <w:tcPr>
            <w:tcW w:type="dxa" w:w="4752"/>
          </w:tcPr>
          <w:p>
            <w:pPr>
              <w:spacing w:before="40" w:after="40"/>
            </w:pPr>
            <w:r>
              <w:rPr>
                <w:rFonts w:ascii="Calibri" w:hAnsi="Calibri"/>
                <w:sz w:val="17"/>
              </w:rPr>
              <w:t>Interfaz gráfica del actor Cajero. Captura eventos de usuario y despliega datos y alertas.</w:t>
            </w:r>
          </w:p>
        </w:tc>
      </w:tr>
      <w:tr>
        <w:tc>
          <w:tcPr>
            <w:tcW w:type="dxa" w:w="1872"/>
          </w:tcPr>
          <w:p>
            <w:pPr>
              <w:spacing w:before="40" w:after="40"/>
            </w:pPr>
            <w:r>
              <w:rPr>
                <w:rFonts w:ascii="Calibri" w:hAnsi="Calibri"/>
                <w:sz w:val="17"/>
              </w:rPr>
              <w:t>Control (CTR)</w:t>
            </w:r>
          </w:p>
        </w:tc>
        <w:tc>
          <w:tcPr>
            <w:tcW w:type="dxa" w:w="3168"/>
          </w:tcPr>
          <w:p>
            <w:pPr>
              <w:spacing w:before="40" w:after="40"/>
            </w:pPr>
            <w:r>
              <w:rPr>
                <w:rFonts w:ascii="Calibri" w:hAnsi="Calibri"/>
                <w:sz w:val="17"/>
              </w:rPr>
              <w:t>CTR_Devoluciones</w:t>
            </w:r>
          </w:p>
        </w:tc>
        <w:tc>
          <w:tcPr>
            <w:tcW w:type="dxa" w:w="4752"/>
          </w:tcPr>
          <w:p>
            <w:pPr>
              <w:spacing w:before="40" w:after="40"/>
            </w:pPr>
            <w:r>
              <w:rPr>
                <w:rFonts w:ascii="Calibri" w:hAnsi="Calibri"/>
                <w:sz w:val="17"/>
              </w:rPr>
              <w:t>Orquestador de lógica del negocio. Ejecuta validaciones y coordina operaciones sobre las entidades.</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CE_CashShift</w:t>
            </w:r>
          </w:p>
        </w:tc>
        <w:tc>
          <w:tcPr>
            <w:tcW w:type="dxa" w:w="4752"/>
          </w:tcPr>
          <w:p>
            <w:pPr>
              <w:spacing w:before="40" w:after="40"/>
            </w:pPr>
            <w:r>
              <w:rPr>
                <w:rFonts w:ascii="Calibri" w:hAnsi="Calibri"/>
                <w:sz w:val="17"/>
              </w:rPr>
              <w:t>Persistencia física en PostgreSQL. Mapea atributos (id, cashier_id, difference, status...)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CE_OrderReturn</w:t>
            </w:r>
          </w:p>
        </w:tc>
        <w:tc>
          <w:tcPr>
            <w:tcW w:type="dxa" w:w="4752"/>
          </w:tcPr>
          <w:p>
            <w:pPr>
              <w:spacing w:before="40" w:after="40"/>
            </w:pPr>
            <w:r>
              <w:rPr>
                <w:rFonts w:ascii="Calibri" w:hAnsi="Calibri"/>
                <w:sz w:val="17"/>
              </w:rPr>
              <w:t>Persistencia física en PostgreSQL. Mapea atributos (id, return_number, order_id, processed_by_id...)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CE_OrderReturnItem</w:t>
            </w:r>
          </w:p>
        </w:tc>
        <w:tc>
          <w:tcPr>
            <w:tcW w:type="dxa" w:w="4752"/>
          </w:tcPr>
          <w:p>
            <w:pPr>
              <w:spacing w:before="40" w:after="40"/>
            </w:pPr>
            <w:r>
              <w:rPr>
                <w:rFonts w:ascii="Calibri" w:hAnsi="Calibri"/>
                <w:sz w:val="17"/>
              </w:rPr>
              <w:t>Persistencia física en PostgreSQL. Mapea atributos (id, return_id, variant_id, quantity...)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CE_Order</w:t>
            </w:r>
          </w:p>
        </w:tc>
        <w:tc>
          <w:tcPr>
            <w:tcW w:type="dxa" w:w="4752"/>
          </w:tcPr>
          <w:p>
            <w:pPr>
              <w:spacing w:before="40" w:after="40"/>
            </w:pPr>
            <w:r>
              <w:rPr>
                <w:rFonts w:ascii="Calibri" w:hAnsi="Calibri"/>
                <w:sz w:val="17"/>
              </w:rPr>
              <w:t>Persistencia física en PostgreSQL. Mapea atributos (id, user_id, total_amount, created_at...) y estado transaccional.</w:t>
            </w:r>
          </w:p>
        </w:tc>
      </w:tr>
    </w:tbl>
    <w:p>
      <w:pPr>
        <w:spacing w:after="240"/>
      </w:pPr>
    </w:p>
    <w:p>
      <w:pPr>
        <w:pStyle w:val="Heading2"/>
        <w:spacing w:before="280" w:after="80"/>
      </w:pPr>
      <w:r>
        <w:t>CU23: Gestionar arqueo de caja (Apertura y cierre)</w:t>
      </w:r>
    </w:p>
    <w:p>
      <w:pPr>
        <w:spacing w:after="160"/>
      </w:pPr>
      <w:r>
        <w:rPr>
          <w:b/>
          <w:color w:val="475569"/>
          <w:sz w:val="20"/>
        </w:rPr>
        <w:t>Actor Primario: Cajero   |   Paquete Arquitectónico: ventas_y_pagos</w:t>
      </w:r>
    </w:p>
    <w:p>
      <w:pPr>
        <w:spacing w:before="120" w:after="120"/>
        <w:jc w:val="center"/>
      </w:pPr>
      <w:r>
        <w:drawing>
          <wp:inline xmlns:a="http://schemas.openxmlformats.org/drawingml/2006/main" xmlns:pic="http://schemas.openxmlformats.org/drawingml/2006/picture">
            <wp:extent cx="6035040" cy="3249637"/>
            <wp:docPr id="27" name="Picture 27"/>
            <wp:cNvGraphicFramePr>
              <a:graphicFrameLocks noChangeAspect="1"/>
            </wp:cNvGraphicFramePr>
            <a:graphic>
              <a:graphicData uri="http://schemas.openxmlformats.org/drawingml/2006/picture">
                <pic:pic>
                  <pic:nvPicPr>
                    <pic:cNvPr id="0" name="CU23_Gestionar_arqueo_de_caja_Apertura_y_cierre.png"/>
                    <pic:cNvPicPr/>
                  </pic:nvPicPr>
                  <pic:blipFill>
                    <a:blip r:embed="rId34"/>
                    <a:stretch>
                      <a:fillRect/>
                    </a:stretch>
                  </pic:blipFill>
                  <pic:spPr>
                    <a:xfrm>
                      <a:off x="0" y="0"/>
                      <a:ext cx="6035040" cy="3249637"/>
                    </a:xfrm>
                    <a:prstGeom prst="rect"/>
                  </pic:spPr>
                </pic:pic>
              </a:graphicData>
            </a:graphic>
          </wp:inline>
        </w:drawing>
      </w:r>
    </w:p>
    <w:p>
      <w:pPr>
        <w:spacing w:after="160"/>
        <w:jc w:val="center"/>
      </w:pPr>
      <w:r>
        <w:rPr>
          <w:i/>
          <w:color w:val="64748B"/>
          <w:sz w:val="17"/>
        </w:rPr>
        <w:t>Figura: Diagrama de Análisis de Clases (BCE) — CU23: Gestionar arqueo de caja (Apertura y cierre)</w:t>
      </w:r>
    </w:p>
    <w:p>
      <w:pPr>
        <w:spacing w:after="60"/>
      </w:pPr>
      <w:r>
        <w:rPr>
          <w:b/>
          <w:color w:val="1E1B4B"/>
          <w:sz w:val="19"/>
        </w:rPr>
        <w:t>Especificación de Clases y Responsabilidades del Caso de Uso:</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1872"/>
            <w:shd w:fill="EDE9FE"/>
          </w:tcPr>
          <w:p>
            <w:r>
              <w:rPr>
                <w:b/>
                <w:color w:val="4338CA"/>
                <w:sz w:val="18"/>
              </w:rPr>
              <w:t>Estereotipo</w:t>
            </w:r>
          </w:p>
        </w:tc>
        <w:tc>
          <w:tcPr>
            <w:tcW w:type="dxa" w:w="3168"/>
            <w:shd w:fill="EDE9FE"/>
          </w:tcPr>
          <w:p>
            <w:r>
              <w:rPr>
                <w:b/>
                <w:color w:val="4338CA"/>
                <w:sz w:val="18"/>
              </w:rPr>
              <w:t>Nombre de Clase</w:t>
            </w:r>
          </w:p>
        </w:tc>
        <w:tc>
          <w:tcPr>
            <w:tcW w:type="dxa" w:w="4752"/>
            <w:shd w:fill="EDE9FE"/>
          </w:tcPr>
          <w:p>
            <w:r>
              <w:rPr>
                <w:b/>
                <w:color w:val="4338CA"/>
                <w:sz w:val="18"/>
              </w:rPr>
              <w:t>Responsabilidad en el Caso de Uso</w:t>
            </w:r>
          </w:p>
        </w:tc>
      </w:tr>
      <w:tr>
        <w:tc>
          <w:tcPr>
            <w:tcW w:type="dxa" w:w="1872"/>
          </w:tcPr>
          <w:p>
            <w:pPr>
              <w:spacing w:before="40" w:after="40"/>
            </w:pPr>
            <w:r>
              <w:rPr>
                <w:rFonts w:ascii="Calibri" w:hAnsi="Calibri"/>
                <w:sz w:val="17"/>
              </w:rPr>
              <w:t>Boundary (IU)</w:t>
            </w:r>
          </w:p>
        </w:tc>
        <w:tc>
          <w:tcPr>
            <w:tcW w:type="dxa" w:w="3168"/>
          </w:tcPr>
          <w:p>
            <w:pPr>
              <w:spacing w:before="40" w:after="40"/>
            </w:pPr>
            <w:r>
              <w:rPr>
                <w:rFonts w:ascii="Calibri" w:hAnsi="Calibri"/>
                <w:sz w:val="17"/>
              </w:rPr>
              <w:t>IU_ArqueoCaja</w:t>
            </w:r>
          </w:p>
        </w:tc>
        <w:tc>
          <w:tcPr>
            <w:tcW w:type="dxa" w:w="4752"/>
          </w:tcPr>
          <w:p>
            <w:pPr>
              <w:spacing w:before="40" w:after="40"/>
            </w:pPr>
            <w:r>
              <w:rPr>
                <w:rFonts w:ascii="Calibri" w:hAnsi="Calibri"/>
                <w:sz w:val="17"/>
              </w:rPr>
              <w:t>Interfaz gráfica del actor Cajero. Captura eventos de usuario y despliega datos y alertas.</w:t>
            </w:r>
          </w:p>
        </w:tc>
      </w:tr>
      <w:tr>
        <w:tc>
          <w:tcPr>
            <w:tcW w:type="dxa" w:w="1872"/>
          </w:tcPr>
          <w:p>
            <w:pPr>
              <w:spacing w:before="40" w:after="40"/>
            </w:pPr>
            <w:r>
              <w:rPr>
                <w:rFonts w:ascii="Calibri" w:hAnsi="Calibri"/>
                <w:sz w:val="17"/>
              </w:rPr>
              <w:t>Control (CTR)</w:t>
            </w:r>
          </w:p>
        </w:tc>
        <w:tc>
          <w:tcPr>
            <w:tcW w:type="dxa" w:w="3168"/>
          </w:tcPr>
          <w:p>
            <w:pPr>
              <w:spacing w:before="40" w:after="40"/>
            </w:pPr>
            <w:r>
              <w:rPr>
                <w:rFonts w:ascii="Calibri" w:hAnsi="Calibri"/>
                <w:sz w:val="17"/>
              </w:rPr>
              <w:t>CTR_Arqueo</w:t>
            </w:r>
          </w:p>
        </w:tc>
        <w:tc>
          <w:tcPr>
            <w:tcW w:type="dxa" w:w="4752"/>
          </w:tcPr>
          <w:p>
            <w:pPr>
              <w:spacing w:before="40" w:after="40"/>
            </w:pPr>
            <w:r>
              <w:rPr>
                <w:rFonts w:ascii="Calibri" w:hAnsi="Calibri"/>
                <w:sz w:val="17"/>
              </w:rPr>
              <w:t>Orquestador de lógica del negocio. Ejecuta validaciones y coordina operaciones sobre las entidades.</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CE_OrderReturn</w:t>
            </w:r>
          </w:p>
        </w:tc>
        <w:tc>
          <w:tcPr>
            <w:tcW w:type="dxa" w:w="4752"/>
          </w:tcPr>
          <w:p>
            <w:pPr>
              <w:spacing w:before="40" w:after="40"/>
            </w:pPr>
            <w:r>
              <w:rPr>
                <w:rFonts w:ascii="Calibri" w:hAnsi="Calibri"/>
                <w:sz w:val="17"/>
              </w:rPr>
              <w:t>Persistencia física en PostgreSQL. Mapea atributos (id, order_id, refund_amount, status...)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CE_CashShift</w:t>
            </w:r>
          </w:p>
        </w:tc>
        <w:tc>
          <w:tcPr>
            <w:tcW w:type="dxa" w:w="4752"/>
          </w:tcPr>
          <w:p>
            <w:pPr>
              <w:spacing w:before="40" w:after="40"/>
            </w:pPr>
            <w:r>
              <w:rPr>
                <w:rFonts w:ascii="Calibri" w:hAnsi="Calibri"/>
                <w:sz w:val="17"/>
              </w:rPr>
              <w:t>Persistencia física en PostgreSQL. Mapea atributos (id, cashier_id, branch_id, opening_amount...)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CE_Payment</w:t>
            </w:r>
          </w:p>
        </w:tc>
        <w:tc>
          <w:tcPr>
            <w:tcW w:type="dxa" w:w="4752"/>
          </w:tcPr>
          <w:p>
            <w:pPr>
              <w:spacing w:before="40" w:after="40"/>
            </w:pPr>
            <w:r>
              <w:rPr>
                <w:rFonts w:ascii="Calibri" w:hAnsi="Calibri"/>
                <w:sz w:val="17"/>
              </w:rPr>
              <w:t>Persistencia física en PostgreSQL. Mapea atributos (id, order_id, payment_type, amount...) y estado transaccional.</w:t>
            </w:r>
          </w:p>
        </w:tc>
      </w:tr>
    </w:tbl>
    <w:p>
      <w:pPr>
        <w:spacing w:after="240"/>
      </w:pPr>
    </w:p>
    <w:p>
      <w:pPr>
        <w:pStyle w:val="Heading2"/>
        <w:spacing w:before="280" w:after="80"/>
      </w:pPr>
      <w:r>
        <w:t>CU24: Consultar historial de compras (Cliente)</w:t>
      </w:r>
    </w:p>
    <w:p>
      <w:pPr>
        <w:spacing w:after="160"/>
      </w:pPr>
      <w:r>
        <w:rPr>
          <w:b/>
          <w:color w:val="475569"/>
          <w:sz w:val="20"/>
        </w:rPr>
        <w:t>Actor Primario: Cliente   |   Paquete Arquitectónico: ventas_y_pagos</w:t>
      </w:r>
    </w:p>
    <w:p>
      <w:pPr>
        <w:spacing w:before="120" w:after="120"/>
        <w:jc w:val="center"/>
      </w:pPr>
      <w:r>
        <w:drawing>
          <wp:inline xmlns:a="http://schemas.openxmlformats.org/drawingml/2006/main" xmlns:pic="http://schemas.openxmlformats.org/drawingml/2006/picture">
            <wp:extent cx="6035040" cy="3079737"/>
            <wp:docPr id="28" name="Picture 28"/>
            <wp:cNvGraphicFramePr>
              <a:graphicFrameLocks noChangeAspect="1"/>
            </wp:cNvGraphicFramePr>
            <a:graphic>
              <a:graphicData uri="http://schemas.openxmlformats.org/drawingml/2006/picture">
                <pic:pic>
                  <pic:nvPicPr>
                    <pic:cNvPr id="0" name="CU24_Consultar_historial_de_compras_Cliente.png"/>
                    <pic:cNvPicPr/>
                  </pic:nvPicPr>
                  <pic:blipFill>
                    <a:blip r:embed="rId35"/>
                    <a:stretch>
                      <a:fillRect/>
                    </a:stretch>
                  </pic:blipFill>
                  <pic:spPr>
                    <a:xfrm>
                      <a:off x="0" y="0"/>
                      <a:ext cx="6035040" cy="3079737"/>
                    </a:xfrm>
                    <a:prstGeom prst="rect"/>
                  </pic:spPr>
                </pic:pic>
              </a:graphicData>
            </a:graphic>
          </wp:inline>
        </w:drawing>
      </w:r>
    </w:p>
    <w:p>
      <w:pPr>
        <w:spacing w:after="160"/>
        <w:jc w:val="center"/>
      </w:pPr>
      <w:r>
        <w:rPr>
          <w:i/>
          <w:color w:val="64748B"/>
          <w:sz w:val="17"/>
        </w:rPr>
        <w:t>Figura: Diagrama de Análisis de Clases (BCE) — CU24: Consultar historial de compras (Cliente)</w:t>
      </w:r>
    </w:p>
    <w:p>
      <w:pPr>
        <w:spacing w:after="60"/>
      </w:pPr>
      <w:r>
        <w:rPr>
          <w:b/>
          <w:color w:val="1E1B4B"/>
          <w:sz w:val="19"/>
        </w:rPr>
        <w:t>Especificación de Clases y Responsabilidades del Caso de Uso:</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1872"/>
            <w:shd w:fill="EDE9FE"/>
          </w:tcPr>
          <w:p>
            <w:r>
              <w:rPr>
                <w:b/>
                <w:color w:val="4338CA"/>
                <w:sz w:val="18"/>
              </w:rPr>
              <w:t>Estereotipo</w:t>
            </w:r>
          </w:p>
        </w:tc>
        <w:tc>
          <w:tcPr>
            <w:tcW w:type="dxa" w:w="3168"/>
            <w:shd w:fill="EDE9FE"/>
          </w:tcPr>
          <w:p>
            <w:r>
              <w:rPr>
                <w:b/>
                <w:color w:val="4338CA"/>
                <w:sz w:val="18"/>
              </w:rPr>
              <w:t>Nombre de Clase</w:t>
            </w:r>
          </w:p>
        </w:tc>
        <w:tc>
          <w:tcPr>
            <w:tcW w:type="dxa" w:w="4752"/>
            <w:shd w:fill="EDE9FE"/>
          </w:tcPr>
          <w:p>
            <w:r>
              <w:rPr>
                <w:b/>
                <w:color w:val="4338CA"/>
                <w:sz w:val="18"/>
              </w:rPr>
              <w:t>Responsabilidad en el Caso de Uso</w:t>
            </w:r>
          </w:p>
        </w:tc>
      </w:tr>
      <w:tr>
        <w:tc>
          <w:tcPr>
            <w:tcW w:type="dxa" w:w="1872"/>
          </w:tcPr>
          <w:p>
            <w:pPr>
              <w:spacing w:before="40" w:after="40"/>
            </w:pPr>
            <w:r>
              <w:rPr>
                <w:rFonts w:ascii="Calibri" w:hAnsi="Calibri"/>
                <w:sz w:val="17"/>
              </w:rPr>
              <w:t>Boundary (IU)</w:t>
            </w:r>
          </w:p>
        </w:tc>
        <w:tc>
          <w:tcPr>
            <w:tcW w:type="dxa" w:w="3168"/>
          </w:tcPr>
          <w:p>
            <w:pPr>
              <w:spacing w:before="40" w:after="40"/>
            </w:pPr>
            <w:r>
              <w:rPr>
                <w:rFonts w:ascii="Calibri" w:hAnsi="Calibri"/>
                <w:sz w:val="17"/>
              </w:rPr>
              <w:t>IU_HistorialCompras</w:t>
            </w:r>
          </w:p>
        </w:tc>
        <w:tc>
          <w:tcPr>
            <w:tcW w:type="dxa" w:w="4752"/>
          </w:tcPr>
          <w:p>
            <w:pPr>
              <w:spacing w:before="40" w:after="40"/>
            </w:pPr>
            <w:r>
              <w:rPr>
                <w:rFonts w:ascii="Calibri" w:hAnsi="Calibri"/>
                <w:sz w:val="17"/>
              </w:rPr>
              <w:t>Interfaz gráfica del actor Cliente. Captura eventos de usuario y despliega datos y alertas.</w:t>
            </w:r>
          </w:p>
        </w:tc>
      </w:tr>
      <w:tr>
        <w:tc>
          <w:tcPr>
            <w:tcW w:type="dxa" w:w="1872"/>
          </w:tcPr>
          <w:p>
            <w:pPr>
              <w:spacing w:before="40" w:after="40"/>
            </w:pPr>
            <w:r>
              <w:rPr>
                <w:rFonts w:ascii="Calibri" w:hAnsi="Calibri"/>
                <w:sz w:val="17"/>
              </w:rPr>
              <w:t>Control (CTR)</w:t>
            </w:r>
          </w:p>
        </w:tc>
        <w:tc>
          <w:tcPr>
            <w:tcW w:type="dxa" w:w="3168"/>
          </w:tcPr>
          <w:p>
            <w:pPr>
              <w:spacing w:before="40" w:after="40"/>
            </w:pPr>
            <w:r>
              <w:rPr>
                <w:rFonts w:ascii="Calibri" w:hAnsi="Calibri"/>
                <w:sz w:val="17"/>
              </w:rPr>
              <w:t>CTR_Historial</w:t>
            </w:r>
          </w:p>
        </w:tc>
        <w:tc>
          <w:tcPr>
            <w:tcW w:type="dxa" w:w="4752"/>
          </w:tcPr>
          <w:p>
            <w:pPr>
              <w:spacing w:before="40" w:after="40"/>
            </w:pPr>
            <w:r>
              <w:rPr>
                <w:rFonts w:ascii="Calibri" w:hAnsi="Calibri"/>
                <w:sz w:val="17"/>
              </w:rPr>
              <w:t>Orquestador de lógica del negocio. Ejecuta validaciones y coordina operaciones sobre las entidades.</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CE_Order</w:t>
            </w:r>
          </w:p>
        </w:tc>
        <w:tc>
          <w:tcPr>
            <w:tcW w:type="dxa" w:w="4752"/>
          </w:tcPr>
          <w:p>
            <w:pPr>
              <w:spacing w:before="40" w:after="40"/>
            </w:pPr>
            <w:r>
              <w:rPr>
                <w:rFonts w:ascii="Calibri" w:hAnsi="Calibri"/>
                <w:sz w:val="17"/>
              </w:rPr>
              <w:t>Persistencia física en PostgreSQL. Mapea atributos (id, user_id, branch_id, channel...)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CE_OrderItem</w:t>
            </w:r>
          </w:p>
        </w:tc>
        <w:tc>
          <w:tcPr>
            <w:tcW w:type="dxa" w:w="4752"/>
          </w:tcPr>
          <w:p>
            <w:pPr>
              <w:spacing w:before="40" w:after="40"/>
            </w:pPr>
            <w:r>
              <w:rPr>
                <w:rFonts w:ascii="Calibri" w:hAnsi="Calibri"/>
                <w:sz w:val="17"/>
              </w:rPr>
              <w:t>Persistencia física en PostgreSQL. Mapea atributos (id, order_id, variant_id, quantity...)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CE_Payment</w:t>
            </w:r>
          </w:p>
        </w:tc>
        <w:tc>
          <w:tcPr>
            <w:tcW w:type="dxa" w:w="4752"/>
          </w:tcPr>
          <w:p>
            <w:pPr>
              <w:spacing w:before="40" w:after="40"/>
            </w:pPr>
            <w:r>
              <w:rPr>
                <w:rFonts w:ascii="Calibri" w:hAnsi="Calibri"/>
                <w:sz w:val="17"/>
              </w:rPr>
              <w:t>Persistencia física en PostgreSQL. Mapea atributos (id, order_id, payment_type, amount...)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CE_Invoice</w:t>
            </w:r>
          </w:p>
        </w:tc>
        <w:tc>
          <w:tcPr>
            <w:tcW w:type="dxa" w:w="4752"/>
          </w:tcPr>
          <w:p>
            <w:pPr>
              <w:spacing w:before="40" w:after="40"/>
            </w:pPr>
            <w:r>
              <w:rPr>
                <w:rFonts w:ascii="Calibri" w:hAnsi="Calibri"/>
                <w:sz w:val="17"/>
              </w:rPr>
              <w:t>Persistencia física en PostgreSQL. Mapea atributos (id, order_id, doc_type, total...) y estado transaccional.</w:t>
            </w:r>
          </w:p>
        </w:tc>
      </w:tr>
    </w:tbl>
    <w:p>
      <w:pPr>
        <w:spacing w:after="240"/>
      </w:pPr>
    </w:p>
    <w:p>
      <w:r>
        <w:br w:type="page"/>
      </w:r>
    </w:p>
    <w:p>
      <w:pPr>
        <w:pStyle w:val="Heading1"/>
        <w:spacing w:before="240" w:after="200"/>
      </w:pPr>
      <w:r>
        <w:t>4. Análisis de Clases — Ciclo 3: Reservas Omnicanal, Envíos, Vestidor Virtual IA y Notificaciones</w:t>
      </w:r>
    </w:p>
    <w:p>
      <w:pPr>
        <w:pStyle w:val="Heading2"/>
        <w:spacing w:before="280" w:after="80"/>
      </w:pPr>
      <w:r>
        <w:t>CU25: Convertir una reserva en venta confirmada (POS)</w:t>
      </w:r>
    </w:p>
    <w:p>
      <w:pPr>
        <w:spacing w:after="160"/>
      </w:pPr>
      <w:r>
        <w:rPr>
          <w:b/>
          <w:color w:val="475569"/>
          <w:sz w:val="20"/>
        </w:rPr>
        <w:t>Actor Primario: Cajero   |   Paquete Arquitectónico: ventas_y_pagos</w:t>
      </w:r>
    </w:p>
    <w:p>
      <w:pPr>
        <w:spacing w:before="120" w:after="120"/>
        <w:jc w:val="center"/>
      </w:pPr>
      <w:r>
        <w:drawing>
          <wp:inline xmlns:a="http://schemas.openxmlformats.org/drawingml/2006/main" xmlns:pic="http://schemas.openxmlformats.org/drawingml/2006/picture">
            <wp:extent cx="6035040" cy="3249637"/>
            <wp:docPr id="29" name="Picture 29"/>
            <wp:cNvGraphicFramePr>
              <a:graphicFrameLocks noChangeAspect="1"/>
            </wp:cNvGraphicFramePr>
            <a:graphic>
              <a:graphicData uri="http://schemas.openxmlformats.org/drawingml/2006/picture">
                <pic:pic>
                  <pic:nvPicPr>
                    <pic:cNvPr id="0" name="CU25_Convertir_una_reserva_en_venta_confirmada_POS.png"/>
                    <pic:cNvPicPr/>
                  </pic:nvPicPr>
                  <pic:blipFill>
                    <a:blip r:embed="rId36"/>
                    <a:stretch>
                      <a:fillRect/>
                    </a:stretch>
                  </pic:blipFill>
                  <pic:spPr>
                    <a:xfrm>
                      <a:off x="0" y="0"/>
                      <a:ext cx="6035040" cy="3249637"/>
                    </a:xfrm>
                    <a:prstGeom prst="rect"/>
                  </pic:spPr>
                </pic:pic>
              </a:graphicData>
            </a:graphic>
          </wp:inline>
        </w:drawing>
      </w:r>
    </w:p>
    <w:p>
      <w:pPr>
        <w:spacing w:after="160"/>
        <w:jc w:val="center"/>
      </w:pPr>
      <w:r>
        <w:rPr>
          <w:i/>
          <w:color w:val="64748B"/>
          <w:sz w:val="17"/>
        </w:rPr>
        <w:t>Figura: Diagrama de Análisis de Clases (BCE) — CU25: Convertir una reserva en venta confirmada (POS)</w:t>
      </w:r>
    </w:p>
    <w:p>
      <w:pPr>
        <w:spacing w:after="60"/>
      </w:pPr>
      <w:r>
        <w:rPr>
          <w:b/>
          <w:color w:val="1E1B4B"/>
          <w:sz w:val="19"/>
        </w:rPr>
        <w:t>Especificación de Clases y Responsabilidades del Caso de Uso:</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1872"/>
            <w:shd w:fill="EDE9FE"/>
          </w:tcPr>
          <w:p>
            <w:r>
              <w:rPr>
                <w:b/>
                <w:color w:val="4338CA"/>
                <w:sz w:val="18"/>
              </w:rPr>
              <w:t>Estereotipo</w:t>
            </w:r>
          </w:p>
        </w:tc>
        <w:tc>
          <w:tcPr>
            <w:tcW w:type="dxa" w:w="3168"/>
            <w:shd w:fill="EDE9FE"/>
          </w:tcPr>
          <w:p>
            <w:r>
              <w:rPr>
                <w:b/>
                <w:color w:val="4338CA"/>
                <w:sz w:val="18"/>
              </w:rPr>
              <w:t>Nombre de Clase</w:t>
            </w:r>
          </w:p>
        </w:tc>
        <w:tc>
          <w:tcPr>
            <w:tcW w:type="dxa" w:w="4752"/>
            <w:shd w:fill="EDE9FE"/>
          </w:tcPr>
          <w:p>
            <w:r>
              <w:rPr>
                <w:b/>
                <w:color w:val="4338CA"/>
                <w:sz w:val="18"/>
              </w:rPr>
              <w:t>Responsabilidad en el Caso de Uso</w:t>
            </w:r>
          </w:p>
        </w:tc>
      </w:tr>
      <w:tr>
        <w:tc>
          <w:tcPr>
            <w:tcW w:type="dxa" w:w="1872"/>
          </w:tcPr>
          <w:p>
            <w:pPr>
              <w:spacing w:before="40" w:after="40"/>
            </w:pPr>
            <w:r>
              <w:rPr>
                <w:rFonts w:ascii="Calibri" w:hAnsi="Calibri"/>
                <w:sz w:val="17"/>
              </w:rPr>
              <w:t>Boundary (IU)</w:t>
            </w:r>
          </w:p>
        </w:tc>
        <w:tc>
          <w:tcPr>
            <w:tcW w:type="dxa" w:w="3168"/>
          </w:tcPr>
          <w:p>
            <w:pPr>
              <w:spacing w:before="40" w:after="40"/>
            </w:pPr>
            <w:r>
              <w:rPr>
                <w:rFonts w:ascii="Calibri" w:hAnsi="Calibri"/>
                <w:sz w:val="17"/>
              </w:rPr>
              <w:t>IU_ConversionReservaVenta</w:t>
            </w:r>
          </w:p>
        </w:tc>
        <w:tc>
          <w:tcPr>
            <w:tcW w:type="dxa" w:w="4752"/>
          </w:tcPr>
          <w:p>
            <w:pPr>
              <w:spacing w:before="40" w:after="40"/>
            </w:pPr>
            <w:r>
              <w:rPr>
                <w:rFonts w:ascii="Calibri" w:hAnsi="Calibri"/>
                <w:sz w:val="17"/>
              </w:rPr>
              <w:t>Interfaz gráfica del actor Cajero. Captura eventos de usuario y despliega datos y alertas.</w:t>
            </w:r>
          </w:p>
        </w:tc>
      </w:tr>
      <w:tr>
        <w:tc>
          <w:tcPr>
            <w:tcW w:type="dxa" w:w="1872"/>
          </w:tcPr>
          <w:p>
            <w:pPr>
              <w:spacing w:before="40" w:after="40"/>
            </w:pPr>
            <w:r>
              <w:rPr>
                <w:rFonts w:ascii="Calibri" w:hAnsi="Calibri"/>
                <w:sz w:val="17"/>
              </w:rPr>
              <w:t>Control (CTR)</w:t>
            </w:r>
          </w:p>
        </w:tc>
        <w:tc>
          <w:tcPr>
            <w:tcW w:type="dxa" w:w="3168"/>
          </w:tcPr>
          <w:p>
            <w:pPr>
              <w:spacing w:before="40" w:after="40"/>
            </w:pPr>
            <w:r>
              <w:rPr>
                <w:rFonts w:ascii="Calibri" w:hAnsi="Calibri"/>
                <w:sz w:val="17"/>
              </w:rPr>
              <w:t>CTR_ConversionReserva</w:t>
            </w:r>
          </w:p>
        </w:tc>
        <w:tc>
          <w:tcPr>
            <w:tcW w:type="dxa" w:w="4752"/>
          </w:tcPr>
          <w:p>
            <w:pPr>
              <w:spacing w:before="40" w:after="40"/>
            </w:pPr>
            <w:r>
              <w:rPr>
                <w:rFonts w:ascii="Calibri" w:hAnsi="Calibri"/>
                <w:sz w:val="17"/>
              </w:rPr>
              <w:t>Orquestador de lógica del negocio. Ejecuta validaciones y coordina operaciones sobre las entidades.</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CE_Reservation</w:t>
            </w:r>
          </w:p>
        </w:tc>
        <w:tc>
          <w:tcPr>
            <w:tcW w:type="dxa" w:w="4752"/>
          </w:tcPr>
          <w:p>
            <w:pPr>
              <w:spacing w:before="40" w:after="40"/>
            </w:pPr>
            <w:r>
              <w:rPr>
                <w:rFonts w:ascii="Calibri" w:hAnsi="Calibri"/>
                <w:sz w:val="17"/>
              </w:rPr>
              <w:t>Persistencia física en PostgreSQL. Mapea atributos (id, user_id, branch_id, reservation_code...)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CE_ReservationItem</w:t>
            </w:r>
          </w:p>
        </w:tc>
        <w:tc>
          <w:tcPr>
            <w:tcW w:type="dxa" w:w="4752"/>
          </w:tcPr>
          <w:p>
            <w:pPr>
              <w:spacing w:before="40" w:after="40"/>
            </w:pPr>
            <w:r>
              <w:rPr>
                <w:rFonts w:ascii="Calibri" w:hAnsi="Calibri"/>
                <w:sz w:val="17"/>
              </w:rPr>
              <w:t>Persistencia física en PostgreSQL. Mapea atributos (id, reservation_id, product_variant_id, status...)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CE_Order</w:t>
            </w:r>
          </w:p>
        </w:tc>
        <w:tc>
          <w:tcPr>
            <w:tcW w:type="dxa" w:w="4752"/>
          </w:tcPr>
          <w:p>
            <w:pPr>
              <w:spacing w:before="40" w:after="40"/>
            </w:pPr>
            <w:r>
              <w:rPr>
                <w:rFonts w:ascii="Calibri" w:hAnsi="Calibri"/>
                <w:sz w:val="17"/>
              </w:rPr>
              <w:t>Persistencia física en PostgreSQL. Mapea atributos (id, user_id, branch_id, total_amount...) y estado transaccional.</w:t>
            </w:r>
          </w:p>
        </w:tc>
      </w:tr>
    </w:tbl>
    <w:p>
      <w:pPr>
        <w:spacing w:after="240"/>
      </w:pPr>
    </w:p>
    <w:p>
      <w:pPr>
        <w:pStyle w:val="Heading2"/>
        <w:spacing w:before="280" w:after="80"/>
      </w:pPr>
      <w:r>
        <w:t>CU26: Agendar reserva de prendas para prueba física</w:t>
      </w:r>
    </w:p>
    <w:p>
      <w:pPr>
        <w:spacing w:after="160"/>
      </w:pPr>
      <w:r>
        <w:rPr>
          <w:b/>
          <w:color w:val="475569"/>
          <w:sz w:val="20"/>
        </w:rPr>
        <w:t>Actor Primario: Cliente (Móvil)   |   Paquete Arquitectónico: reservas_y_citas</w:t>
      </w:r>
    </w:p>
    <w:p>
      <w:pPr>
        <w:spacing w:before="120" w:after="120"/>
        <w:jc w:val="center"/>
      </w:pPr>
      <w:r>
        <w:drawing>
          <wp:inline xmlns:a="http://schemas.openxmlformats.org/drawingml/2006/main" xmlns:pic="http://schemas.openxmlformats.org/drawingml/2006/picture">
            <wp:extent cx="6035040" cy="3249637"/>
            <wp:docPr id="30" name="Picture 30"/>
            <wp:cNvGraphicFramePr>
              <a:graphicFrameLocks noChangeAspect="1"/>
            </wp:cNvGraphicFramePr>
            <a:graphic>
              <a:graphicData uri="http://schemas.openxmlformats.org/drawingml/2006/picture">
                <pic:pic>
                  <pic:nvPicPr>
                    <pic:cNvPr id="0" name="CU26_Agendar_reserva_de_prendas_para_prueba_f_sica.png"/>
                    <pic:cNvPicPr/>
                  </pic:nvPicPr>
                  <pic:blipFill>
                    <a:blip r:embed="rId37"/>
                    <a:stretch>
                      <a:fillRect/>
                    </a:stretch>
                  </pic:blipFill>
                  <pic:spPr>
                    <a:xfrm>
                      <a:off x="0" y="0"/>
                      <a:ext cx="6035040" cy="3249637"/>
                    </a:xfrm>
                    <a:prstGeom prst="rect"/>
                  </pic:spPr>
                </pic:pic>
              </a:graphicData>
            </a:graphic>
          </wp:inline>
        </w:drawing>
      </w:r>
    </w:p>
    <w:p>
      <w:pPr>
        <w:spacing w:after="160"/>
        <w:jc w:val="center"/>
      </w:pPr>
      <w:r>
        <w:rPr>
          <w:i/>
          <w:color w:val="64748B"/>
          <w:sz w:val="17"/>
        </w:rPr>
        <w:t>Figura: Diagrama de Análisis de Clases (BCE) — CU26: Agendar reserva de prendas para prueba física</w:t>
      </w:r>
    </w:p>
    <w:p>
      <w:pPr>
        <w:spacing w:after="60"/>
      </w:pPr>
      <w:r>
        <w:rPr>
          <w:b/>
          <w:color w:val="1E1B4B"/>
          <w:sz w:val="19"/>
        </w:rPr>
        <w:t>Especificación de Clases y Responsabilidades del Caso de Uso:</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1872"/>
            <w:shd w:fill="EDE9FE"/>
          </w:tcPr>
          <w:p>
            <w:r>
              <w:rPr>
                <w:b/>
                <w:color w:val="4338CA"/>
                <w:sz w:val="18"/>
              </w:rPr>
              <w:t>Estereotipo</w:t>
            </w:r>
          </w:p>
        </w:tc>
        <w:tc>
          <w:tcPr>
            <w:tcW w:type="dxa" w:w="3168"/>
            <w:shd w:fill="EDE9FE"/>
          </w:tcPr>
          <w:p>
            <w:r>
              <w:rPr>
                <w:b/>
                <w:color w:val="4338CA"/>
                <w:sz w:val="18"/>
              </w:rPr>
              <w:t>Nombre de Clase</w:t>
            </w:r>
          </w:p>
        </w:tc>
        <w:tc>
          <w:tcPr>
            <w:tcW w:type="dxa" w:w="4752"/>
            <w:shd w:fill="EDE9FE"/>
          </w:tcPr>
          <w:p>
            <w:r>
              <w:rPr>
                <w:b/>
                <w:color w:val="4338CA"/>
                <w:sz w:val="18"/>
              </w:rPr>
              <w:t>Responsabilidad en el Caso de Uso</w:t>
            </w:r>
          </w:p>
        </w:tc>
      </w:tr>
      <w:tr>
        <w:tc>
          <w:tcPr>
            <w:tcW w:type="dxa" w:w="1872"/>
          </w:tcPr>
          <w:p>
            <w:pPr>
              <w:spacing w:before="40" w:after="40"/>
            </w:pPr>
            <w:r>
              <w:rPr>
                <w:rFonts w:ascii="Calibri" w:hAnsi="Calibri"/>
                <w:sz w:val="17"/>
              </w:rPr>
              <w:t>Boundary (IU)</w:t>
            </w:r>
          </w:p>
        </w:tc>
        <w:tc>
          <w:tcPr>
            <w:tcW w:type="dxa" w:w="3168"/>
          </w:tcPr>
          <w:p>
            <w:pPr>
              <w:spacing w:before="40" w:after="40"/>
            </w:pPr>
            <w:r>
              <w:rPr>
                <w:rFonts w:ascii="Calibri" w:hAnsi="Calibri"/>
                <w:sz w:val="17"/>
              </w:rPr>
              <w:t>IU_AgendarCitaProbador</w:t>
            </w:r>
          </w:p>
        </w:tc>
        <w:tc>
          <w:tcPr>
            <w:tcW w:type="dxa" w:w="4752"/>
          </w:tcPr>
          <w:p>
            <w:pPr>
              <w:spacing w:before="40" w:after="40"/>
            </w:pPr>
            <w:r>
              <w:rPr>
                <w:rFonts w:ascii="Calibri" w:hAnsi="Calibri"/>
                <w:sz w:val="17"/>
              </w:rPr>
              <w:t>Interfaz gráfica del actor Cliente (Móvil). Captura eventos de usuario y despliega datos y alertas.</w:t>
            </w:r>
          </w:p>
        </w:tc>
      </w:tr>
      <w:tr>
        <w:tc>
          <w:tcPr>
            <w:tcW w:type="dxa" w:w="1872"/>
          </w:tcPr>
          <w:p>
            <w:pPr>
              <w:spacing w:before="40" w:after="40"/>
            </w:pPr>
            <w:r>
              <w:rPr>
                <w:rFonts w:ascii="Calibri" w:hAnsi="Calibri"/>
                <w:sz w:val="17"/>
              </w:rPr>
              <w:t>Control (CTR)</w:t>
            </w:r>
          </w:p>
        </w:tc>
        <w:tc>
          <w:tcPr>
            <w:tcW w:type="dxa" w:w="3168"/>
          </w:tcPr>
          <w:p>
            <w:pPr>
              <w:spacing w:before="40" w:after="40"/>
            </w:pPr>
            <w:r>
              <w:rPr>
                <w:rFonts w:ascii="Calibri" w:hAnsi="Calibri"/>
                <w:sz w:val="17"/>
              </w:rPr>
              <w:t>CTR_AgendamientoReservas</w:t>
            </w:r>
          </w:p>
        </w:tc>
        <w:tc>
          <w:tcPr>
            <w:tcW w:type="dxa" w:w="4752"/>
          </w:tcPr>
          <w:p>
            <w:pPr>
              <w:spacing w:before="40" w:after="40"/>
            </w:pPr>
            <w:r>
              <w:rPr>
                <w:rFonts w:ascii="Calibri" w:hAnsi="Calibri"/>
                <w:sz w:val="17"/>
              </w:rPr>
              <w:t>Orquestador de lógica del negocio. Ejecuta validaciones y coordina operaciones sobre las entidades.</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CE_Reservation</w:t>
            </w:r>
          </w:p>
        </w:tc>
        <w:tc>
          <w:tcPr>
            <w:tcW w:type="dxa" w:w="4752"/>
          </w:tcPr>
          <w:p>
            <w:pPr>
              <w:spacing w:before="40" w:after="40"/>
            </w:pPr>
            <w:r>
              <w:rPr>
                <w:rFonts w:ascii="Calibri" w:hAnsi="Calibri"/>
                <w:sz w:val="17"/>
              </w:rPr>
              <w:t>Persistencia física en PostgreSQL. Mapea atributos (id, user_id, branch_id, reservation_code...)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CE_ReservationItem</w:t>
            </w:r>
          </w:p>
        </w:tc>
        <w:tc>
          <w:tcPr>
            <w:tcW w:type="dxa" w:w="4752"/>
          </w:tcPr>
          <w:p>
            <w:pPr>
              <w:spacing w:before="40" w:after="40"/>
            </w:pPr>
            <w:r>
              <w:rPr>
                <w:rFonts w:ascii="Calibri" w:hAnsi="Calibri"/>
                <w:sz w:val="17"/>
              </w:rPr>
              <w:t>Persistencia física en PostgreSQL. Mapea atributos (id, reservation_id, product_variant_id, status...)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CE_Inventory</w:t>
            </w:r>
          </w:p>
        </w:tc>
        <w:tc>
          <w:tcPr>
            <w:tcW w:type="dxa" w:w="4752"/>
          </w:tcPr>
          <w:p>
            <w:pPr>
              <w:spacing w:before="40" w:after="40"/>
            </w:pPr>
            <w:r>
              <w:rPr>
                <w:rFonts w:ascii="Calibri" w:hAnsi="Calibri"/>
                <w:sz w:val="17"/>
              </w:rPr>
              <w:t>Persistencia física en PostgreSQL. Mapea atributos (id, branch_id, product_variant_id, physical_stock...) y estado transaccional.</w:t>
            </w:r>
          </w:p>
        </w:tc>
      </w:tr>
    </w:tbl>
    <w:p>
      <w:pPr>
        <w:spacing w:after="240"/>
      </w:pPr>
    </w:p>
    <w:p>
      <w:pPr>
        <w:pStyle w:val="Heading2"/>
        <w:spacing w:before="280" w:after="80"/>
      </w:pPr>
      <w:r>
        <w:t>CU27: Gestionar bandeja de reservas entrantes de sucursal</w:t>
      </w:r>
    </w:p>
    <w:p>
      <w:pPr>
        <w:spacing w:after="160"/>
      </w:pPr>
      <w:r>
        <w:rPr>
          <w:b/>
          <w:color w:val="475569"/>
          <w:sz w:val="20"/>
        </w:rPr>
        <w:t>Actor Primario: Personal de Sucursal   |   Paquete Arquitectónico: reservas_y_citas</w:t>
      </w:r>
    </w:p>
    <w:p>
      <w:pPr>
        <w:spacing w:before="120" w:after="120"/>
        <w:jc w:val="center"/>
      </w:pPr>
      <w:r>
        <w:drawing>
          <wp:inline xmlns:a="http://schemas.openxmlformats.org/drawingml/2006/main" xmlns:pic="http://schemas.openxmlformats.org/drawingml/2006/picture">
            <wp:extent cx="6035040" cy="3249637"/>
            <wp:docPr id="31" name="Picture 31"/>
            <wp:cNvGraphicFramePr>
              <a:graphicFrameLocks noChangeAspect="1"/>
            </wp:cNvGraphicFramePr>
            <a:graphic>
              <a:graphicData uri="http://schemas.openxmlformats.org/drawingml/2006/picture">
                <pic:pic>
                  <pic:nvPicPr>
                    <pic:cNvPr id="0" name="CU27_Gestionar_bandeja_de_reservas_entrantes_de_sucursal.png"/>
                    <pic:cNvPicPr/>
                  </pic:nvPicPr>
                  <pic:blipFill>
                    <a:blip r:embed="rId38"/>
                    <a:stretch>
                      <a:fillRect/>
                    </a:stretch>
                  </pic:blipFill>
                  <pic:spPr>
                    <a:xfrm>
                      <a:off x="0" y="0"/>
                      <a:ext cx="6035040" cy="3249637"/>
                    </a:xfrm>
                    <a:prstGeom prst="rect"/>
                  </pic:spPr>
                </pic:pic>
              </a:graphicData>
            </a:graphic>
          </wp:inline>
        </w:drawing>
      </w:r>
    </w:p>
    <w:p>
      <w:pPr>
        <w:spacing w:after="160"/>
        <w:jc w:val="center"/>
      </w:pPr>
      <w:r>
        <w:rPr>
          <w:i/>
          <w:color w:val="64748B"/>
          <w:sz w:val="17"/>
        </w:rPr>
        <w:t>Figura: Diagrama de Análisis de Clases (BCE) — CU27: Gestionar bandeja de reservas entrantes de sucursal</w:t>
      </w:r>
    </w:p>
    <w:p>
      <w:pPr>
        <w:spacing w:after="60"/>
      </w:pPr>
      <w:r>
        <w:rPr>
          <w:b/>
          <w:color w:val="1E1B4B"/>
          <w:sz w:val="19"/>
        </w:rPr>
        <w:t>Especificación de Clases y Responsabilidades del Caso de Uso:</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1872"/>
            <w:shd w:fill="EDE9FE"/>
          </w:tcPr>
          <w:p>
            <w:r>
              <w:rPr>
                <w:b/>
                <w:color w:val="4338CA"/>
                <w:sz w:val="18"/>
              </w:rPr>
              <w:t>Estereotipo</w:t>
            </w:r>
          </w:p>
        </w:tc>
        <w:tc>
          <w:tcPr>
            <w:tcW w:type="dxa" w:w="3168"/>
            <w:shd w:fill="EDE9FE"/>
          </w:tcPr>
          <w:p>
            <w:r>
              <w:rPr>
                <w:b/>
                <w:color w:val="4338CA"/>
                <w:sz w:val="18"/>
              </w:rPr>
              <w:t>Nombre de Clase</w:t>
            </w:r>
          </w:p>
        </w:tc>
        <w:tc>
          <w:tcPr>
            <w:tcW w:type="dxa" w:w="4752"/>
            <w:shd w:fill="EDE9FE"/>
          </w:tcPr>
          <w:p>
            <w:r>
              <w:rPr>
                <w:b/>
                <w:color w:val="4338CA"/>
                <w:sz w:val="18"/>
              </w:rPr>
              <w:t>Responsabilidad en el Caso de Uso</w:t>
            </w:r>
          </w:p>
        </w:tc>
      </w:tr>
      <w:tr>
        <w:tc>
          <w:tcPr>
            <w:tcW w:type="dxa" w:w="1872"/>
          </w:tcPr>
          <w:p>
            <w:pPr>
              <w:spacing w:before="40" w:after="40"/>
            </w:pPr>
            <w:r>
              <w:rPr>
                <w:rFonts w:ascii="Calibri" w:hAnsi="Calibri"/>
                <w:sz w:val="17"/>
              </w:rPr>
              <w:t>Boundary (IU)</w:t>
            </w:r>
          </w:p>
        </w:tc>
        <w:tc>
          <w:tcPr>
            <w:tcW w:type="dxa" w:w="3168"/>
          </w:tcPr>
          <w:p>
            <w:pPr>
              <w:spacing w:before="40" w:after="40"/>
            </w:pPr>
            <w:r>
              <w:rPr>
                <w:rFonts w:ascii="Calibri" w:hAnsi="Calibri"/>
                <w:sz w:val="17"/>
              </w:rPr>
              <w:t>IU_BandejaReservasTienda</w:t>
            </w:r>
          </w:p>
        </w:tc>
        <w:tc>
          <w:tcPr>
            <w:tcW w:type="dxa" w:w="4752"/>
          </w:tcPr>
          <w:p>
            <w:pPr>
              <w:spacing w:before="40" w:after="40"/>
            </w:pPr>
            <w:r>
              <w:rPr>
                <w:rFonts w:ascii="Calibri" w:hAnsi="Calibri"/>
                <w:sz w:val="17"/>
              </w:rPr>
              <w:t>Interfaz gráfica del actor Personal de Sucursal. Captura eventos de usuario y despliega datos y alertas.</w:t>
            </w:r>
          </w:p>
        </w:tc>
      </w:tr>
      <w:tr>
        <w:tc>
          <w:tcPr>
            <w:tcW w:type="dxa" w:w="1872"/>
          </w:tcPr>
          <w:p>
            <w:pPr>
              <w:spacing w:before="40" w:after="40"/>
            </w:pPr>
            <w:r>
              <w:rPr>
                <w:rFonts w:ascii="Calibri" w:hAnsi="Calibri"/>
                <w:sz w:val="17"/>
              </w:rPr>
              <w:t>Control (CTR)</w:t>
            </w:r>
          </w:p>
        </w:tc>
        <w:tc>
          <w:tcPr>
            <w:tcW w:type="dxa" w:w="3168"/>
          </w:tcPr>
          <w:p>
            <w:pPr>
              <w:spacing w:before="40" w:after="40"/>
            </w:pPr>
            <w:r>
              <w:rPr>
                <w:rFonts w:ascii="Calibri" w:hAnsi="Calibri"/>
                <w:sz w:val="17"/>
              </w:rPr>
              <w:t>CTR_BandejaReservas</w:t>
            </w:r>
          </w:p>
        </w:tc>
        <w:tc>
          <w:tcPr>
            <w:tcW w:type="dxa" w:w="4752"/>
          </w:tcPr>
          <w:p>
            <w:pPr>
              <w:spacing w:before="40" w:after="40"/>
            </w:pPr>
            <w:r>
              <w:rPr>
                <w:rFonts w:ascii="Calibri" w:hAnsi="Calibri"/>
                <w:sz w:val="17"/>
              </w:rPr>
              <w:t>Orquestador de lógica del negocio. Ejecuta validaciones y coordina operaciones sobre las entidades.</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CE_Reservation</w:t>
            </w:r>
          </w:p>
        </w:tc>
        <w:tc>
          <w:tcPr>
            <w:tcW w:type="dxa" w:w="4752"/>
          </w:tcPr>
          <w:p>
            <w:pPr>
              <w:spacing w:before="40" w:after="40"/>
            </w:pPr>
            <w:r>
              <w:rPr>
                <w:rFonts w:ascii="Calibri" w:hAnsi="Calibri"/>
                <w:sz w:val="17"/>
              </w:rPr>
              <w:t>Persistencia física en PostgreSQL. Mapea atributos (id, user_id, branch_id, reservation_code...)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CE_ReservationItem</w:t>
            </w:r>
          </w:p>
        </w:tc>
        <w:tc>
          <w:tcPr>
            <w:tcW w:type="dxa" w:w="4752"/>
          </w:tcPr>
          <w:p>
            <w:pPr>
              <w:spacing w:before="40" w:after="40"/>
            </w:pPr>
            <w:r>
              <w:rPr>
                <w:rFonts w:ascii="Calibri" w:hAnsi="Calibri"/>
                <w:sz w:val="17"/>
              </w:rPr>
              <w:t>Persistencia física en PostgreSQL. Mapea atributos (id, reservation_id, product_variant_id, status...)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CE_Inventory</w:t>
            </w:r>
          </w:p>
        </w:tc>
        <w:tc>
          <w:tcPr>
            <w:tcW w:type="dxa" w:w="4752"/>
          </w:tcPr>
          <w:p>
            <w:pPr>
              <w:spacing w:before="40" w:after="40"/>
            </w:pPr>
            <w:r>
              <w:rPr>
                <w:rFonts w:ascii="Calibri" w:hAnsi="Calibri"/>
                <w:sz w:val="17"/>
              </w:rPr>
              <w:t>Persistencia física en PostgreSQL. Mapea atributos (id, branch_id, product_variant_id, reserved_stock...) y estado transaccional.</w:t>
            </w:r>
          </w:p>
        </w:tc>
      </w:tr>
    </w:tbl>
    <w:p>
      <w:pPr>
        <w:spacing w:after="240"/>
      </w:pPr>
    </w:p>
    <w:p>
      <w:pPr>
        <w:pStyle w:val="Heading2"/>
        <w:spacing w:before="280" w:after="80"/>
      </w:pPr>
      <w:r>
        <w:t>CU28: Cancelar reserva de prendas (Libera stock)</w:t>
      </w:r>
    </w:p>
    <w:p>
      <w:pPr>
        <w:spacing w:after="160"/>
      </w:pPr>
      <w:r>
        <w:rPr>
          <w:b/>
          <w:color w:val="475569"/>
          <w:sz w:val="20"/>
        </w:rPr>
        <w:t>Actor Primario: Cliente / Encargado   |   Paquete Arquitectónico: reservas_y_citas</w:t>
      </w:r>
    </w:p>
    <w:p>
      <w:pPr>
        <w:spacing w:before="120" w:after="120"/>
        <w:jc w:val="center"/>
      </w:pPr>
      <w:r>
        <w:drawing>
          <wp:inline xmlns:a="http://schemas.openxmlformats.org/drawingml/2006/main" xmlns:pic="http://schemas.openxmlformats.org/drawingml/2006/picture">
            <wp:extent cx="6035040" cy="3249637"/>
            <wp:docPr id="32" name="Picture 32"/>
            <wp:cNvGraphicFramePr>
              <a:graphicFrameLocks noChangeAspect="1"/>
            </wp:cNvGraphicFramePr>
            <a:graphic>
              <a:graphicData uri="http://schemas.openxmlformats.org/drawingml/2006/picture">
                <pic:pic>
                  <pic:nvPicPr>
                    <pic:cNvPr id="0" name="CU28_Cancelar_reserva_de_prendas_Libera_stock.png"/>
                    <pic:cNvPicPr/>
                  </pic:nvPicPr>
                  <pic:blipFill>
                    <a:blip r:embed="rId39"/>
                    <a:stretch>
                      <a:fillRect/>
                    </a:stretch>
                  </pic:blipFill>
                  <pic:spPr>
                    <a:xfrm>
                      <a:off x="0" y="0"/>
                      <a:ext cx="6035040" cy="3249637"/>
                    </a:xfrm>
                    <a:prstGeom prst="rect"/>
                  </pic:spPr>
                </pic:pic>
              </a:graphicData>
            </a:graphic>
          </wp:inline>
        </w:drawing>
      </w:r>
    </w:p>
    <w:p>
      <w:pPr>
        <w:spacing w:after="160"/>
        <w:jc w:val="center"/>
      </w:pPr>
      <w:r>
        <w:rPr>
          <w:i/>
          <w:color w:val="64748B"/>
          <w:sz w:val="17"/>
        </w:rPr>
        <w:t>Figura: Diagrama de Análisis de Clases (BCE) — CU28: Cancelar reserva de prendas (Libera stock)</w:t>
      </w:r>
    </w:p>
    <w:p>
      <w:pPr>
        <w:spacing w:after="60"/>
      </w:pPr>
      <w:r>
        <w:rPr>
          <w:b/>
          <w:color w:val="1E1B4B"/>
          <w:sz w:val="19"/>
        </w:rPr>
        <w:t>Especificación de Clases y Responsabilidades del Caso de Uso:</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1872"/>
            <w:shd w:fill="EDE9FE"/>
          </w:tcPr>
          <w:p>
            <w:r>
              <w:rPr>
                <w:b/>
                <w:color w:val="4338CA"/>
                <w:sz w:val="18"/>
              </w:rPr>
              <w:t>Estereotipo</w:t>
            </w:r>
          </w:p>
        </w:tc>
        <w:tc>
          <w:tcPr>
            <w:tcW w:type="dxa" w:w="3168"/>
            <w:shd w:fill="EDE9FE"/>
          </w:tcPr>
          <w:p>
            <w:r>
              <w:rPr>
                <w:b/>
                <w:color w:val="4338CA"/>
                <w:sz w:val="18"/>
              </w:rPr>
              <w:t>Nombre de Clase</w:t>
            </w:r>
          </w:p>
        </w:tc>
        <w:tc>
          <w:tcPr>
            <w:tcW w:type="dxa" w:w="4752"/>
            <w:shd w:fill="EDE9FE"/>
          </w:tcPr>
          <w:p>
            <w:r>
              <w:rPr>
                <w:b/>
                <w:color w:val="4338CA"/>
                <w:sz w:val="18"/>
              </w:rPr>
              <w:t>Responsabilidad en el Caso de Uso</w:t>
            </w:r>
          </w:p>
        </w:tc>
      </w:tr>
      <w:tr>
        <w:tc>
          <w:tcPr>
            <w:tcW w:type="dxa" w:w="1872"/>
          </w:tcPr>
          <w:p>
            <w:pPr>
              <w:spacing w:before="40" w:after="40"/>
            </w:pPr>
            <w:r>
              <w:rPr>
                <w:rFonts w:ascii="Calibri" w:hAnsi="Calibri"/>
                <w:sz w:val="17"/>
              </w:rPr>
              <w:t>Boundary (IU)</w:t>
            </w:r>
          </w:p>
        </w:tc>
        <w:tc>
          <w:tcPr>
            <w:tcW w:type="dxa" w:w="3168"/>
          </w:tcPr>
          <w:p>
            <w:pPr>
              <w:spacing w:before="40" w:after="40"/>
            </w:pPr>
            <w:r>
              <w:rPr>
                <w:rFonts w:ascii="Calibri" w:hAnsi="Calibri"/>
                <w:sz w:val="17"/>
              </w:rPr>
              <w:t>IU_CancelarReserva</w:t>
            </w:r>
          </w:p>
        </w:tc>
        <w:tc>
          <w:tcPr>
            <w:tcW w:type="dxa" w:w="4752"/>
          </w:tcPr>
          <w:p>
            <w:pPr>
              <w:spacing w:before="40" w:after="40"/>
            </w:pPr>
            <w:r>
              <w:rPr>
                <w:rFonts w:ascii="Calibri" w:hAnsi="Calibri"/>
                <w:sz w:val="17"/>
              </w:rPr>
              <w:t>Interfaz gráfica del actor Cliente / Encargado. Captura eventos de usuario y despliega datos y alertas.</w:t>
            </w:r>
          </w:p>
        </w:tc>
      </w:tr>
      <w:tr>
        <w:tc>
          <w:tcPr>
            <w:tcW w:type="dxa" w:w="1872"/>
          </w:tcPr>
          <w:p>
            <w:pPr>
              <w:spacing w:before="40" w:after="40"/>
            </w:pPr>
            <w:r>
              <w:rPr>
                <w:rFonts w:ascii="Calibri" w:hAnsi="Calibri"/>
                <w:sz w:val="17"/>
              </w:rPr>
              <w:t>Control (CTR)</w:t>
            </w:r>
          </w:p>
        </w:tc>
        <w:tc>
          <w:tcPr>
            <w:tcW w:type="dxa" w:w="3168"/>
          </w:tcPr>
          <w:p>
            <w:pPr>
              <w:spacing w:before="40" w:after="40"/>
            </w:pPr>
            <w:r>
              <w:rPr>
                <w:rFonts w:ascii="Calibri" w:hAnsi="Calibri"/>
                <w:sz w:val="17"/>
              </w:rPr>
              <w:t>CTR_CancelacionReserva</w:t>
            </w:r>
          </w:p>
        </w:tc>
        <w:tc>
          <w:tcPr>
            <w:tcW w:type="dxa" w:w="4752"/>
          </w:tcPr>
          <w:p>
            <w:pPr>
              <w:spacing w:before="40" w:after="40"/>
            </w:pPr>
            <w:r>
              <w:rPr>
                <w:rFonts w:ascii="Calibri" w:hAnsi="Calibri"/>
                <w:sz w:val="17"/>
              </w:rPr>
              <w:t>Orquestador de lógica del negocio. Ejecuta validaciones y coordina operaciones sobre las entidades.</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CE_Reservation</w:t>
            </w:r>
          </w:p>
        </w:tc>
        <w:tc>
          <w:tcPr>
            <w:tcW w:type="dxa" w:w="4752"/>
          </w:tcPr>
          <w:p>
            <w:pPr>
              <w:spacing w:before="40" w:after="40"/>
            </w:pPr>
            <w:r>
              <w:rPr>
                <w:rFonts w:ascii="Calibri" w:hAnsi="Calibri"/>
                <w:sz w:val="17"/>
              </w:rPr>
              <w:t>Persistencia física en PostgreSQL. Mapea atributos (id, user_id, branch_id, status...)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CE_ReservationItem</w:t>
            </w:r>
          </w:p>
        </w:tc>
        <w:tc>
          <w:tcPr>
            <w:tcW w:type="dxa" w:w="4752"/>
          </w:tcPr>
          <w:p>
            <w:pPr>
              <w:spacing w:before="40" w:after="40"/>
            </w:pPr>
            <w:r>
              <w:rPr>
                <w:rFonts w:ascii="Calibri" w:hAnsi="Calibri"/>
                <w:sz w:val="17"/>
              </w:rPr>
              <w:t>Persistencia física en PostgreSQL. Mapea atributos (id, reservation_id, product_variant_id, status...)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CE_Inventory</w:t>
            </w:r>
          </w:p>
        </w:tc>
        <w:tc>
          <w:tcPr>
            <w:tcW w:type="dxa" w:w="4752"/>
          </w:tcPr>
          <w:p>
            <w:pPr>
              <w:spacing w:before="40" w:after="40"/>
            </w:pPr>
            <w:r>
              <w:rPr>
                <w:rFonts w:ascii="Calibri" w:hAnsi="Calibri"/>
                <w:sz w:val="17"/>
              </w:rPr>
              <w:t>Persistencia física en PostgreSQL. Mapea atributos (id, branch_id, product_variant_id, reserved_stock...) y estado transaccional.</w:t>
            </w:r>
          </w:p>
        </w:tc>
      </w:tr>
    </w:tbl>
    <w:p>
      <w:pPr>
        <w:spacing w:after="240"/>
      </w:pPr>
    </w:p>
    <w:p>
      <w:pPr>
        <w:pStyle w:val="Heading2"/>
        <w:spacing w:before="280" w:after="80"/>
      </w:pPr>
      <w:r>
        <w:t>CU29: Gestionar envíos y logística de despacho (Delivery)</w:t>
      </w:r>
    </w:p>
    <w:p>
      <w:pPr>
        <w:spacing w:after="160"/>
      </w:pPr>
      <w:r>
        <w:rPr>
          <w:b/>
          <w:color w:val="475569"/>
          <w:sz w:val="20"/>
        </w:rPr>
        <w:t>Actor Primario: Encargado de Despacho / Repartidor   |   Paquete Arquitectónico: envios_y_logistica</w:t>
      </w:r>
    </w:p>
    <w:p>
      <w:pPr>
        <w:spacing w:before="120" w:after="120"/>
        <w:jc w:val="center"/>
      </w:pPr>
      <w:r>
        <w:drawing>
          <wp:inline xmlns:a="http://schemas.openxmlformats.org/drawingml/2006/main" xmlns:pic="http://schemas.openxmlformats.org/drawingml/2006/picture">
            <wp:extent cx="6035040" cy="3249637"/>
            <wp:docPr id="33" name="Picture 33"/>
            <wp:cNvGraphicFramePr>
              <a:graphicFrameLocks noChangeAspect="1"/>
            </wp:cNvGraphicFramePr>
            <a:graphic>
              <a:graphicData uri="http://schemas.openxmlformats.org/drawingml/2006/picture">
                <pic:pic>
                  <pic:nvPicPr>
                    <pic:cNvPr id="0" name="CU29_Gestionar_env_os_y_log_stica_de_despacho_Delivery.png"/>
                    <pic:cNvPicPr/>
                  </pic:nvPicPr>
                  <pic:blipFill>
                    <a:blip r:embed="rId40"/>
                    <a:stretch>
                      <a:fillRect/>
                    </a:stretch>
                  </pic:blipFill>
                  <pic:spPr>
                    <a:xfrm>
                      <a:off x="0" y="0"/>
                      <a:ext cx="6035040" cy="3249637"/>
                    </a:xfrm>
                    <a:prstGeom prst="rect"/>
                  </pic:spPr>
                </pic:pic>
              </a:graphicData>
            </a:graphic>
          </wp:inline>
        </w:drawing>
      </w:r>
    </w:p>
    <w:p>
      <w:pPr>
        <w:spacing w:after="160"/>
        <w:jc w:val="center"/>
      </w:pPr>
      <w:r>
        <w:rPr>
          <w:i/>
          <w:color w:val="64748B"/>
          <w:sz w:val="17"/>
        </w:rPr>
        <w:t>Figura: Diagrama de Análisis de Clases (BCE) — CU29: Gestionar envíos y logística de despacho (Delivery)</w:t>
      </w:r>
    </w:p>
    <w:p>
      <w:pPr>
        <w:spacing w:after="60"/>
      </w:pPr>
      <w:r>
        <w:rPr>
          <w:b/>
          <w:color w:val="1E1B4B"/>
          <w:sz w:val="19"/>
        </w:rPr>
        <w:t>Especificación de Clases y Responsabilidades del Caso de Uso:</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1872"/>
            <w:shd w:fill="EDE9FE"/>
          </w:tcPr>
          <w:p>
            <w:r>
              <w:rPr>
                <w:b/>
                <w:color w:val="4338CA"/>
                <w:sz w:val="18"/>
              </w:rPr>
              <w:t>Estereotipo</w:t>
            </w:r>
          </w:p>
        </w:tc>
        <w:tc>
          <w:tcPr>
            <w:tcW w:type="dxa" w:w="3168"/>
            <w:shd w:fill="EDE9FE"/>
          </w:tcPr>
          <w:p>
            <w:r>
              <w:rPr>
                <w:b/>
                <w:color w:val="4338CA"/>
                <w:sz w:val="18"/>
              </w:rPr>
              <w:t>Nombre de Clase</w:t>
            </w:r>
          </w:p>
        </w:tc>
        <w:tc>
          <w:tcPr>
            <w:tcW w:type="dxa" w:w="4752"/>
            <w:shd w:fill="EDE9FE"/>
          </w:tcPr>
          <w:p>
            <w:r>
              <w:rPr>
                <w:b/>
                <w:color w:val="4338CA"/>
                <w:sz w:val="18"/>
              </w:rPr>
              <w:t>Responsabilidad en el Caso de Uso</w:t>
            </w:r>
          </w:p>
        </w:tc>
      </w:tr>
      <w:tr>
        <w:tc>
          <w:tcPr>
            <w:tcW w:type="dxa" w:w="1872"/>
          </w:tcPr>
          <w:p>
            <w:pPr>
              <w:spacing w:before="40" w:after="40"/>
            </w:pPr>
            <w:r>
              <w:rPr>
                <w:rFonts w:ascii="Calibri" w:hAnsi="Calibri"/>
                <w:sz w:val="17"/>
              </w:rPr>
              <w:t>Boundary (IU)</w:t>
            </w:r>
          </w:p>
        </w:tc>
        <w:tc>
          <w:tcPr>
            <w:tcW w:type="dxa" w:w="3168"/>
          </w:tcPr>
          <w:p>
            <w:pPr>
              <w:spacing w:before="40" w:after="40"/>
            </w:pPr>
            <w:r>
              <w:rPr>
                <w:rFonts w:ascii="Calibri" w:hAnsi="Calibri"/>
                <w:sz w:val="17"/>
              </w:rPr>
              <w:t>IU_DespachoEnvios</w:t>
            </w:r>
          </w:p>
        </w:tc>
        <w:tc>
          <w:tcPr>
            <w:tcW w:type="dxa" w:w="4752"/>
          </w:tcPr>
          <w:p>
            <w:pPr>
              <w:spacing w:before="40" w:after="40"/>
            </w:pPr>
            <w:r>
              <w:rPr>
                <w:rFonts w:ascii="Calibri" w:hAnsi="Calibri"/>
                <w:sz w:val="17"/>
              </w:rPr>
              <w:t>Interfaz gráfica del actor Encargado de Despacho / Repartidor. Captura eventos de usuario y despliega datos y alertas.</w:t>
            </w:r>
          </w:p>
        </w:tc>
      </w:tr>
      <w:tr>
        <w:tc>
          <w:tcPr>
            <w:tcW w:type="dxa" w:w="1872"/>
          </w:tcPr>
          <w:p>
            <w:pPr>
              <w:spacing w:before="40" w:after="40"/>
            </w:pPr>
            <w:r>
              <w:rPr>
                <w:rFonts w:ascii="Calibri" w:hAnsi="Calibri"/>
                <w:sz w:val="17"/>
              </w:rPr>
              <w:t>Control (CTR)</w:t>
            </w:r>
          </w:p>
        </w:tc>
        <w:tc>
          <w:tcPr>
            <w:tcW w:type="dxa" w:w="3168"/>
          </w:tcPr>
          <w:p>
            <w:pPr>
              <w:spacing w:before="40" w:after="40"/>
            </w:pPr>
            <w:r>
              <w:rPr>
                <w:rFonts w:ascii="Calibri" w:hAnsi="Calibri"/>
                <w:sz w:val="17"/>
              </w:rPr>
              <w:t>CTR_DespachoEnvios</w:t>
            </w:r>
          </w:p>
        </w:tc>
        <w:tc>
          <w:tcPr>
            <w:tcW w:type="dxa" w:w="4752"/>
          </w:tcPr>
          <w:p>
            <w:pPr>
              <w:spacing w:before="40" w:after="40"/>
            </w:pPr>
            <w:r>
              <w:rPr>
                <w:rFonts w:ascii="Calibri" w:hAnsi="Calibri"/>
                <w:sz w:val="17"/>
              </w:rPr>
              <w:t>Orquestador de lógica del negocio. Ejecuta validaciones y coordina operaciones sobre las entidades.</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CE_Shipment</w:t>
            </w:r>
          </w:p>
        </w:tc>
        <w:tc>
          <w:tcPr>
            <w:tcW w:type="dxa" w:w="4752"/>
          </w:tcPr>
          <w:p>
            <w:pPr>
              <w:spacing w:before="40" w:after="40"/>
            </w:pPr>
            <w:r>
              <w:rPr>
                <w:rFonts w:ascii="Calibri" w:hAnsi="Calibri"/>
                <w:sz w:val="17"/>
              </w:rPr>
              <w:t>Persistencia física en PostgreSQL. Mapea atributos (id, order_id, delivery_person_id, tracking_number...)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CE_DeliveryPerson</w:t>
            </w:r>
          </w:p>
        </w:tc>
        <w:tc>
          <w:tcPr>
            <w:tcW w:type="dxa" w:w="4752"/>
          </w:tcPr>
          <w:p>
            <w:pPr>
              <w:spacing w:before="40" w:after="40"/>
            </w:pPr>
            <w:r>
              <w:rPr>
                <w:rFonts w:ascii="Calibri" w:hAnsi="Calibri"/>
                <w:sz w:val="17"/>
              </w:rPr>
              <w:t>Persistencia física en PostgreSQL. Mapea atributos (id, user_id, vehicle_type, license_plate...)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CE_ShipmentTrackingEvent</w:t>
            </w:r>
          </w:p>
        </w:tc>
        <w:tc>
          <w:tcPr>
            <w:tcW w:type="dxa" w:w="4752"/>
          </w:tcPr>
          <w:p>
            <w:pPr>
              <w:spacing w:before="40" w:after="40"/>
            </w:pPr>
            <w:r>
              <w:rPr>
                <w:rFonts w:ascii="Calibri" w:hAnsi="Calibri"/>
                <w:sz w:val="17"/>
              </w:rPr>
              <w:t>Persistencia física en PostgreSQL. Mapea atributos (id, shipment_id, status, photo_proof_url...) y estado transaccional.</w:t>
            </w:r>
          </w:p>
        </w:tc>
      </w:tr>
    </w:tbl>
    <w:p>
      <w:pPr>
        <w:spacing w:after="240"/>
      </w:pPr>
    </w:p>
    <w:p>
      <w:pPr>
        <w:pStyle w:val="Heading2"/>
        <w:spacing w:before="280" w:after="80"/>
      </w:pPr>
      <w:r>
        <w:t>CU30: Consultar y rastrear estado de un pedido o envío</w:t>
      </w:r>
    </w:p>
    <w:p>
      <w:pPr>
        <w:spacing w:after="160"/>
      </w:pPr>
      <w:r>
        <w:rPr>
          <w:b/>
          <w:color w:val="475569"/>
          <w:sz w:val="20"/>
        </w:rPr>
        <w:t>Actor Primario: Cliente   |   Paquete Arquitectónico: envios_y_logistica</w:t>
      </w:r>
    </w:p>
    <w:p>
      <w:pPr>
        <w:spacing w:before="120" w:after="120"/>
        <w:jc w:val="center"/>
      </w:pPr>
      <w:r>
        <w:drawing>
          <wp:inline xmlns:a="http://schemas.openxmlformats.org/drawingml/2006/main" xmlns:pic="http://schemas.openxmlformats.org/drawingml/2006/picture">
            <wp:extent cx="6035040" cy="3249637"/>
            <wp:docPr id="34" name="Picture 34"/>
            <wp:cNvGraphicFramePr>
              <a:graphicFrameLocks noChangeAspect="1"/>
            </wp:cNvGraphicFramePr>
            <a:graphic>
              <a:graphicData uri="http://schemas.openxmlformats.org/drawingml/2006/picture">
                <pic:pic>
                  <pic:nvPicPr>
                    <pic:cNvPr id="0" name="CU30_Consultar_y_rastrear_estado_de_un_pedido_o_env_o.png"/>
                    <pic:cNvPicPr/>
                  </pic:nvPicPr>
                  <pic:blipFill>
                    <a:blip r:embed="rId41"/>
                    <a:stretch>
                      <a:fillRect/>
                    </a:stretch>
                  </pic:blipFill>
                  <pic:spPr>
                    <a:xfrm>
                      <a:off x="0" y="0"/>
                      <a:ext cx="6035040" cy="3249637"/>
                    </a:xfrm>
                    <a:prstGeom prst="rect"/>
                  </pic:spPr>
                </pic:pic>
              </a:graphicData>
            </a:graphic>
          </wp:inline>
        </w:drawing>
      </w:r>
    </w:p>
    <w:p>
      <w:pPr>
        <w:spacing w:after="160"/>
        <w:jc w:val="center"/>
      </w:pPr>
      <w:r>
        <w:rPr>
          <w:i/>
          <w:color w:val="64748B"/>
          <w:sz w:val="17"/>
        </w:rPr>
        <w:t>Figura: Diagrama de Análisis de Clases (BCE) — CU30: Consultar y rastrear estado de un pedido o envío</w:t>
      </w:r>
    </w:p>
    <w:p>
      <w:pPr>
        <w:spacing w:after="60"/>
      </w:pPr>
      <w:r>
        <w:rPr>
          <w:b/>
          <w:color w:val="1E1B4B"/>
          <w:sz w:val="19"/>
        </w:rPr>
        <w:t>Especificación de Clases y Responsabilidades del Caso de Uso:</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1872"/>
            <w:shd w:fill="EDE9FE"/>
          </w:tcPr>
          <w:p>
            <w:r>
              <w:rPr>
                <w:b/>
                <w:color w:val="4338CA"/>
                <w:sz w:val="18"/>
              </w:rPr>
              <w:t>Estereotipo</w:t>
            </w:r>
          </w:p>
        </w:tc>
        <w:tc>
          <w:tcPr>
            <w:tcW w:type="dxa" w:w="3168"/>
            <w:shd w:fill="EDE9FE"/>
          </w:tcPr>
          <w:p>
            <w:r>
              <w:rPr>
                <w:b/>
                <w:color w:val="4338CA"/>
                <w:sz w:val="18"/>
              </w:rPr>
              <w:t>Nombre de Clase</w:t>
            </w:r>
          </w:p>
        </w:tc>
        <w:tc>
          <w:tcPr>
            <w:tcW w:type="dxa" w:w="4752"/>
            <w:shd w:fill="EDE9FE"/>
          </w:tcPr>
          <w:p>
            <w:r>
              <w:rPr>
                <w:b/>
                <w:color w:val="4338CA"/>
                <w:sz w:val="18"/>
              </w:rPr>
              <w:t>Responsabilidad en el Caso de Uso</w:t>
            </w:r>
          </w:p>
        </w:tc>
      </w:tr>
      <w:tr>
        <w:tc>
          <w:tcPr>
            <w:tcW w:type="dxa" w:w="1872"/>
          </w:tcPr>
          <w:p>
            <w:pPr>
              <w:spacing w:before="40" w:after="40"/>
            </w:pPr>
            <w:r>
              <w:rPr>
                <w:rFonts w:ascii="Calibri" w:hAnsi="Calibri"/>
                <w:sz w:val="17"/>
              </w:rPr>
              <w:t>Boundary (IU)</w:t>
            </w:r>
          </w:p>
        </w:tc>
        <w:tc>
          <w:tcPr>
            <w:tcW w:type="dxa" w:w="3168"/>
          </w:tcPr>
          <w:p>
            <w:pPr>
              <w:spacing w:before="40" w:after="40"/>
            </w:pPr>
            <w:r>
              <w:rPr>
                <w:rFonts w:ascii="Calibri" w:hAnsi="Calibri"/>
                <w:sz w:val="17"/>
              </w:rPr>
              <w:t>IU_TrackingEnvio</w:t>
            </w:r>
          </w:p>
        </w:tc>
        <w:tc>
          <w:tcPr>
            <w:tcW w:type="dxa" w:w="4752"/>
          </w:tcPr>
          <w:p>
            <w:pPr>
              <w:spacing w:before="40" w:after="40"/>
            </w:pPr>
            <w:r>
              <w:rPr>
                <w:rFonts w:ascii="Calibri" w:hAnsi="Calibri"/>
                <w:sz w:val="17"/>
              </w:rPr>
              <w:t>Interfaz gráfica del actor Cliente. Captura eventos de usuario y despliega datos y alertas.</w:t>
            </w:r>
          </w:p>
        </w:tc>
      </w:tr>
      <w:tr>
        <w:tc>
          <w:tcPr>
            <w:tcW w:type="dxa" w:w="1872"/>
          </w:tcPr>
          <w:p>
            <w:pPr>
              <w:spacing w:before="40" w:after="40"/>
            </w:pPr>
            <w:r>
              <w:rPr>
                <w:rFonts w:ascii="Calibri" w:hAnsi="Calibri"/>
                <w:sz w:val="17"/>
              </w:rPr>
              <w:t>Control (CTR)</w:t>
            </w:r>
          </w:p>
        </w:tc>
        <w:tc>
          <w:tcPr>
            <w:tcW w:type="dxa" w:w="3168"/>
          </w:tcPr>
          <w:p>
            <w:pPr>
              <w:spacing w:before="40" w:after="40"/>
            </w:pPr>
            <w:r>
              <w:rPr>
                <w:rFonts w:ascii="Calibri" w:hAnsi="Calibri"/>
                <w:sz w:val="17"/>
              </w:rPr>
              <w:t>CTR_TrackingEnvio</w:t>
            </w:r>
          </w:p>
        </w:tc>
        <w:tc>
          <w:tcPr>
            <w:tcW w:type="dxa" w:w="4752"/>
          </w:tcPr>
          <w:p>
            <w:pPr>
              <w:spacing w:before="40" w:after="40"/>
            </w:pPr>
            <w:r>
              <w:rPr>
                <w:rFonts w:ascii="Calibri" w:hAnsi="Calibri"/>
                <w:sz w:val="17"/>
              </w:rPr>
              <w:t>Orquestador de lógica del negocio. Ejecuta validaciones y coordina operaciones sobre las entidades.</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CE_Shipment</w:t>
            </w:r>
          </w:p>
        </w:tc>
        <w:tc>
          <w:tcPr>
            <w:tcW w:type="dxa" w:w="4752"/>
          </w:tcPr>
          <w:p>
            <w:pPr>
              <w:spacing w:before="40" w:after="40"/>
            </w:pPr>
            <w:r>
              <w:rPr>
                <w:rFonts w:ascii="Calibri" w:hAnsi="Calibri"/>
                <w:sz w:val="17"/>
              </w:rPr>
              <w:t>Persistencia física en PostgreSQL. Mapea atributos (id, order_id, tracking_number, status...)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CE_ShipmentTrackingEvent</w:t>
            </w:r>
          </w:p>
        </w:tc>
        <w:tc>
          <w:tcPr>
            <w:tcW w:type="dxa" w:w="4752"/>
          </w:tcPr>
          <w:p>
            <w:pPr>
              <w:spacing w:before="40" w:after="40"/>
            </w:pPr>
            <w:r>
              <w:rPr>
                <w:rFonts w:ascii="Calibri" w:hAnsi="Calibri"/>
                <w:sz w:val="17"/>
              </w:rPr>
              <w:t>Persistencia física en PostgreSQL. Mapea atributos (id, shipment_id, status, latitude...)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CE_Order</w:t>
            </w:r>
          </w:p>
        </w:tc>
        <w:tc>
          <w:tcPr>
            <w:tcW w:type="dxa" w:w="4752"/>
          </w:tcPr>
          <w:p>
            <w:pPr>
              <w:spacing w:before="40" w:after="40"/>
            </w:pPr>
            <w:r>
              <w:rPr>
                <w:rFonts w:ascii="Calibri" w:hAnsi="Calibri"/>
                <w:sz w:val="17"/>
              </w:rPr>
              <w:t>Persistencia física en PostgreSQL. Mapea atributos (id, user_id, total_amount, status...) y estado transaccional.</w:t>
            </w:r>
          </w:p>
        </w:tc>
      </w:tr>
    </w:tbl>
    <w:p>
      <w:pPr>
        <w:spacing w:after="240"/>
      </w:pPr>
    </w:p>
    <w:p>
      <w:pPr>
        <w:pStyle w:val="Heading2"/>
        <w:spacing w:before="280" w:after="80"/>
      </w:pPr>
      <w:r>
        <w:t>CU31: Gestionar zonas de cobertura y tarifas de envío</w:t>
      </w:r>
    </w:p>
    <w:p>
      <w:pPr>
        <w:spacing w:after="160"/>
      </w:pPr>
      <w:r>
        <w:rPr>
          <w:b/>
          <w:color w:val="475569"/>
          <w:sz w:val="20"/>
        </w:rPr>
        <w:t>Actor Primario: Superadmin   |   Paquete Arquitectónico: envios_y_logistica</w:t>
      </w:r>
    </w:p>
    <w:p>
      <w:pPr>
        <w:spacing w:before="120" w:after="120"/>
        <w:jc w:val="center"/>
      </w:pPr>
      <w:r>
        <w:drawing>
          <wp:inline xmlns:a="http://schemas.openxmlformats.org/drawingml/2006/main" xmlns:pic="http://schemas.openxmlformats.org/drawingml/2006/picture">
            <wp:extent cx="6035040" cy="2999665"/>
            <wp:docPr id="35" name="Picture 35"/>
            <wp:cNvGraphicFramePr>
              <a:graphicFrameLocks noChangeAspect="1"/>
            </wp:cNvGraphicFramePr>
            <a:graphic>
              <a:graphicData uri="http://schemas.openxmlformats.org/drawingml/2006/picture">
                <pic:pic>
                  <pic:nvPicPr>
                    <pic:cNvPr id="0" name="CU31_Gestionar_zonas_de_cobertura_y_tarifas_de_env_o.png"/>
                    <pic:cNvPicPr/>
                  </pic:nvPicPr>
                  <pic:blipFill>
                    <a:blip r:embed="rId42"/>
                    <a:stretch>
                      <a:fillRect/>
                    </a:stretch>
                  </pic:blipFill>
                  <pic:spPr>
                    <a:xfrm>
                      <a:off x="0" y="0"/>
                      <a:ext cx="6035040" cy="2999665"/>
                    </a:xfrm>
                    <a:prstGeom prst="rect"/>
                  </pic:spPr>
                </pic:pic>
              </a:graphicData>
            </a:graphic>
          </wp:inline>
        </w:drawing>
      </w:r>
    </w:p>
    <w:p>
      <w:pPr>
        <w:spacing w:after="160"/>
        <w:jc w:val="center"/>
      </w:pPr>
      <w:r>
        <w:rPr>
          <w:i/>
          <w:color w:val="64748B"/>
          <w:sz w:val="17"/>
        </w:rPr>
        <w:t>Figura: Diagrama de Análisis de Clases (BCE) — CU31: Gestionar zonas de cobertura y tarifas de envío</w:t>
      </w:r>
    </w:p>
    <w:p>
      <w:pPr>
        <w:spacing w:after="60"/>
      </w:pPr>
      <w:r>
        <w:rPr>
          <w:b/>
          <w:color w:val="1E1B4B"/>
          <w:sz w:val="19"/>
        </w:rPr>
        <w:t>Especificación de Clases y Responsabilidades del Caso de Uso:</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1872"/>
            <w:shd w:fill="EDE9FE"/>
          </w:tcPr>
          <w:p>
            <w:r>
              <w:rPr>
                <w:b/>
                <w:color w:val="4338CA"/>
                <w:sz w:val="18"/>
              </w:rPr>
              <w:t>Estereotipo</w:t>
            </w:r>
          </w:p>
        </w:tc>
        <w:tc>
          <w:tcPr>
            <w:tcW w:type="dxa" w:w="3168"/>
            <w:shd w:fill="EDE9FE"/>
          </w:tcPr>
          <w:p>
            <w:r>
              <w:rPr>
                <w:b/>
                <w:color w:val="4338CA"/>
                <w:sz w:val="18"/>
              </w:rPr>
              <w:t>Nombre de Clase</w:t>
            </w:r>
          </w:p>
        </w:tc>
        <w:tc>
          <w:tcPr>
            <w:tcW w:type="dxa" w:w="4752"/>
            <w:shd w:fill="EDE9FE"/>
          </w:tcPr>
          <w:p>
            <w:r>
              <w:rPr>
                <w:b/>
                <w:color w:val="4338CA"/>
                <w:sz w:val="18"/>
              </w:rPr>
              <w:t>Responsabilidad en el Caso de Uso</w:t>
            </w:r>
          </w:p>
        </w:tc>
      </w:tr>
      <w:tr>
        <w:tc>
          <w:tcPr>
            <w:tcW w:type="dxa" w:w="1872"/>
          </w:tcPr>
          <w:p>
            <w:pPr>
              <w:spacing w:before="40" w:after="40"/>
            </w:pPr>
            <w:r>
              <w:rPr>
                <w:rFonts w:ascii="Calibri" w:hAnsi="Calibri"/>
                <w:sz w:val="17"/>
              </w:rPr>
              <w:t>Boundary (IU)</w:t>
            </w:r>
          </w:p>
        </w:tc>
        <w:tc>
          <w:tcPr>
            <w:tcW w:type="dxa" w:w="3168"/>
          </w:tcPr>
          <w:p>
            <w:pPr>
              <w:spacing w:before="40" w:after="40"/>
            </w:pPr>
            <w:r>
              <w:rPr>
                <w:rFonts w:ascii="Calibri" w:hAnsi="Calibri"/>
                <w:sz w:val="17"/>
              </w:rPr>
              <w:t>IU_ZonasTarifasEnvio</w:t>
            </w:r>
          </w:p>
        </w:tc>
        <w:tc>
          <w:tcPr>
            <w:tcW w:type="dxa" w:w="4752"/>
          </w:tcPr>
          <w:p>
            <w:pPr>
              <w:spacing w:before="40" w:after="40"/>
            </w:pPr>
            <w:r>
              <w:rPr>
                <w:rFonts w:ascii="Calibri" w:hAnsi="Calibri"/>
                <w:sz w:val="17"/>
              </w:rPr>
              <w:t>Interfaz gráfica del actor Superadmin. Captura eventos de usuario y despliega datos y alertas.</w:t>
            </w:r>
          </w:p>
        </w:tc>
      </w:tr>
      <w:tr>
        <w:tc>
          <w:tcPr>
            <w:tcW w:type="dxa" w:w="1872"/>
          </w:tcPr>
          <w:p>
            <w:pPr>
              <w:spacing w:before="40" w:after="40"/>
            </w:pPr>
            <w:r>
              <w:rPr>
                <w:rFonts w:ascii="Calibri" w:hAnsi="Calibri"/>
                <w:sz w:val="17"/>
              </w:rPr>
              <w:t>Control (CTR)</w:t>
            </w:r>
          </w:p>
        </w:tc>
        <w:tc>
          <w:tcPr>
            <w:tcW w:type="dxa" w:w="3168"/>
          </w:tcPr>
          <w:p>
            <w:pPr>
              <w:spacing w:before="40" w:after="40"/>
            </w:pPr>
            <w:r>
              <w:rPr>
                <w:rFonts w:ascii="Calibri" w:hAnsi="Calibri"/>
                <w:sz w:val="17"/>
              </w:rPr>
              <w:t>CTR_ZonasTarifas</w:t>
            </w:r>
          </w:p>
        </w:tc>
        <w:tc>
          <w:tcPr>
            <w:tcW w:type="dxa" w:w="4752"/>
          </w:tcPr>
          <w:p>
            <w:pPr>
              <w:spacing w:before="40" w:after="40"/>
            </w:pPr>
            <w:r>
              <w:rPr>
                <w:rFonts w:ascii="Calibri" w:hAnsi="Calibri"/>
                <w:sz w:val="17"/>
              </w:rPr>
              <w:t>Orquestador de lógica del negocio. Ejecuta validaciones y coordina operaciones sobre las entidades.</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CE_DeliveryZone</w:t>
            </w:r>
          </w:p>
        </w:tc>
        <w:tc>
          <w:tcPr>
            <w:tcW w:type="dxa" w:w="4752"/>
          </w:tcPr>
          <w:p>
            <w:pPr>
              <w:spacing w:before="40" w:after="40"/>
            </w:pPr>
            <w:r>
              <w:rPr>
                <w:rFonts w:ascii="Calibri" w:hAnsi="Calibri"/>
                <w:sz w:val="17"/>
              </w:rPr>
              <w:t>Persistencia física en PostgreSQL. Mapea atributos (id, name, radius_km, base_fee...)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CE_Branch</w:t>
            </w:r>
          </w:p>
        </w:tc>
        <w:tc>
          <w:tcPr>
            <w:tcW w:type="dxa" w:w="4752"/>
          </w:tcPr>
          <w:p>
            <w:pPr>
              <w:spacing w:before="40" w:after="40"/>
            </w:pPr>
            <w:r>
              <w:rPr>
                <w:rFonts w:ascii="Calibri" w:hAnsi="Calibri"/>
                <w:sz w:val="17"/>
              </w:rPr>
              <w:t>Persistencia física en PostgreSQL. Mapea atributos (id, name, latitude, longitude...) y estado transaccional.</w:t>
            </w:r>
          </w:p>
        </w:tc>
      </w:tr>
    </w:tbl>
    <w:p>
      <w:pPr>
        <w:spacing w:after="240"/>
      </w:pPr>
    </w:p>
    <w:p>
      <w:pPr>
        <w:pStyle w:val="Heading2"/>
        <w:spacing w:before="280" w:after="80"/>
      </w:pPr>
      <w:r>
        <w:t>CU32: Prueba en Vestidor Virtual (RA / VTON) y guardar capturas</w:t>
      </w:r>
    </w:p>
    <w:p>
      <w:pPr>
        <w:spacing w:after="160"/>
      </w:pPr>
      <w:r>
        <w:rPr>
          <w:b/>
          <w:color w:val="475569"/>
          <w:sz w:val="20"/>
        </w:rPr>
        <w:t>Actor Primario: Cliente (Móvil / Web)   |   Paquete Arquitectónico: inteligente_y_analitica</w:t>
      </w:r>
    </w:p>
    <w:p>
      <w:pPr>
        <w:spacing w:before="120" w:after="120"/>
        <w:jc w:val="center"/>
      </w:pPr>
      <w:r>
        <w:drawing>
          <wp:inline xmlns:a="http://schemas.openxmlformats.org/drawingml/2006/main" xmlns:pic="http://schemas.openxmlformats.org/drawingml/2006/picture">
            <wp:extent cx="6035040" cy="3249637"/>
            <wp:docPr id="36" name="Picture 36"/>
            <wp:cNvGraphicFramePr>
              <a:graphicFrameLocks noChangeAspect="1"/>
            </wp:cNvGraphicFramePr>
            <a:graphic>
              <a:graphicData uri="http://schemas.openxmlformats.org/drawingml/2006/picture">
                <pic:pic>
                  <pic:nvPicPr>
                    <pic:cNvPr id="0" name="CU32_Prueba_en_Vestidor_Virtual_RA_VTON_y_guardar_capturas.png"/>
                    <pic:cNvPicPr/>
                  </pic:nvPicPr>
                  <pic:blipFill>
                    <a:blip r:embed="rId43"/>
                    <a:stretch>
                      <a:fillRect/>
                    </a:stretch>
                  </pic:blipFill>
                  <pic:spPr>
                    <a:xfrm>
                      <a:off x="0" y="0"/>
                      <a:ext cx="6035040" cy="3249637"/>
                    </a:xfrm>
                    <a:prstGeom prst="rect"/>
                  </pic:spPr>
                </pic:pic>
              </a:graphicData>
            </a:graphic>
          </wp:inline>
        </w:drawing>
      </w:r>
    </w:p>
    <w:p>
      <w:pPr>
        <w:spacing w:after="160"/>
        <w:jc w:val="center"/>
      </w:pPr>
      <w:r>
        <w:rPr>
          <w:i/>
          <w:color w:val="64748B"/>
          <w:sz w:val="17"/>
        </w:rPr>
        <w:t>Figura: Diagrama de Análisis de Clases (BCE) — CU32: Prueba en Vestidor Virtual (RA / VTON) y guardar capturas</w:t>
      </w:r>
    </w:p>
    <w:p>
      <w:pPr>
        <w:spacing w:after="60"/>
      </w:pPr>
      <w:r>
        <w:rPr>
          <w:b/>
          <w:color w:val="1E1B4B"/>
          <w:sz w:val="19"/>
        </w:rPr>
        <w:t>Especificación de Clases y Responsabilidades del Caso de Uso:</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1872"/>
            <w:shd w:fill="EDE9FE"/>
          </w:tcPr>
          <w:p>
            <w:r>
              <w:rPr>
                <w:b/>
                <w:color w:val="4338CA"/>
                <w:sz w:val="18"/>
              </w:rPr>
              <w:t>Estereotipo</w:t>
            </w:r>
          </w:p>
        </w:tc>
        <w:tc>
          <w:tcPr>
            <w:tcW w:type="dxa" w:w="3168"/>
            <w:shd w:fill="EDE9FE"/>
          </w:tcPr>
          <w:p>
            <w:r>
              <w:rPr>
                <w:b/>
                <w:color w:val="4338CA"/>
                <w:sz w:val="18"/>
              </w:rPr>
              <w:t>Nombre de Clase</w:t>
            </w:r>
          </w:p>
        </w:tc>
        <w:tc>
          <w:tcPr>
            <w:tcW w:type="dxa" w:w="4752"/>
            <w:shd w:fill="EDE9FE"/>
          </w:tcPr>
          <w:p>
            <w:r>
              <w:rPr>
                <w:b/>
                <w:color w:val="4338CA"/>
                <w:sz w:val="18"/>
              </w:rPr>
              <w:t>Responsabilidad en el Caso de Uso</w:t>
            </w:r>
          </w:p>
        </w:tc>
      </w:tr>
      <w:tr>
        <w:tc>
          <w:tcPr>
            <w:tcW w:type="dxa" w:w="1872"/>
          </w:tcPr>
          <w:p>
            <w:pPr>
              <w:spacing w:before="40" w:after="40"/>
            </w:pPr>
            <w:r>
              <w:rPr>
                <w:rFonts w:ascii="Calibri" w:hAnsi="Calibri"/>
                <w:sz w:val="17"/>
              </w:rPr>
              <w:t>Boundary (IU)</w:t>
            </w:r>
          </w:p>
        </w:tc>
        <w:tc>
          <w:tcPr>
            <w:tcW w:type="dxa" w:w="3168"/>
          </w:tcPr>
          <w:p>
            <w:pPr>
              <w:spacing w:before="40" w:after="40"/>
            </w:pPr>
            <w:r>
              <w:rPr>
                <w:rFonts w:ascii="Calibri" w:hAnsi="Calibri"/>
                <w:sz w:val="17"/>
              </w:rPr>
              <w:t>IU_VestidorVirtual</w:t>
            </w:r>
          </w:p>
        </w:tc>
        <w:tc>
          <w:tcPr>
            <w:tcW w:type="dxa" w:w="4752"/>
          </w:tcPr>
          <w:p>
            <w:pPr>
              <w:spacing w:before="40" w:after="40"/>
            </w:pPr>
            <w:r>
              <w:rPr>
                <w:rFonts w:ascii="Calibri" w:hAnsi="Calibri"/>
                <w:sz w:val="17"/>
              </w:rPr>
              <w:t>Interfaz gráfica del actor Cliente (Móvil / Web). Captura eventos de usuario y despliega datos y alertas.</w:t>
            </w:r>
          </w:p>
        </w:tc>
      </w:tr>
      <w:tr>
        <w:tc>
          <w:tcPr>
            <w:tcW w:type="dxa" w:w="1872"/>
          </w:tcPr>
          <w:p>
            <w:pPr>
              <w:spacing w:before="40" w:after="40"/>
            </w:pPr>
            <w:r>
              <w:rPr>
                <w:rFonts w:ascii="Calibri" w:hAnsi="Calibri"/>
                <w:sz w:val="17"/>
              </w:rPr>
              <w:t>Control (CTR)</w:t>
            </w:r>
          </w:p>
        </w:tc>
        <w:tc>
          <w:tcPr>
            <w:tcW w:type="dxa" w:w="3168"/>
          </w:tcPr>
          <w:p>
            <w:pPr>
              <w:spacing w:before="40" w:after="40"/>
            </w:pPr>
            <w:r>
              <w:rPr>
                <w:rFonts w:ascii="Calibri" w:hAnsi="Calibri"/>
                <w:sz w:val="17"/>
              </w:rPr>
              <w:t>CTR_VestidorVirtual</w:t>
            </w:r>
          </w:p>
        </w:tc>
        <w:tc>
          <w:tcPr>
            <w:tcW w:type="dxa" w:w="4752"/>
          </w:tcPr>
          <w:p>
            <w:pPr>
              <w:spacing w:before="40" w:after="40"/>
            </w:pPr>
            <w:r>
              <w:rPr>
                <w:rFonts w:ascii="Calibri" w:hAnsi="Calibri"/>
                <w:sz w:val="17"/>
              </w:rPr>
              <w:t>Orquestador de lógica del negocio. Ejecuta validaciones y coordina operaciones sobre las entidades.</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CE_VirtualTryonSession</w:t>
            </w:r>
          </w:p>
        </w:tc>
        <w:tc>
          <w:tcPr>
            <w:tcW w:type="dxa" w:w="4752"/>
          </w:tcPr>
          <w:p>
            <w:pPr>
              <w:spacing w:before="40" w:after="40"/>
            </w:pPr>
            <w:r>
              <w:rPr>
                <w:rFonts w:ascii="Calibri" w:hAnsi="Calibri"/>
                <w:sz w:val="17"/>
              </w:rPr>
              <w:t>Persistencia física en PostgreSQL. Mapea atributos (id, user_id, source_type, created_at...)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CE_VirtualTryonItem</w:t>
            </w:r>
          </w:p>
        </w:tc>
        <w:tc>
          <w:tcPr>
            <w:tcW w:type="dxa" w:w="4752"/>
          </w:tcPr>
          <w:p>
            <w:pPr>
              <w:spacing w:before="40" w:after="40"/>
            </w:pPr>
            <w:r>
              <w:rPr>
                <w:rFonts w:ascii="Calibri" w:hAnsi="Calibri"/>
                <w:sz w:val="17"/>
              </w:rPr>
              <w:t>Persistencia física en PostgreSQL. Mapea atributos (id, session_id, product_id, fit_feedback...)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CE_VirtualTryonCapture</w:t>
            </w:r>
          </w:p>
        </w:tc>
        <w:tc>
          <w:tcPr>
            <w:tcW w:type="dxa" w:w="4752"/>
          </w:tcPr>
          <w:p>
            <w:pPr>
              <w:spacing w:before="40" w:after="40"/>
            </w:pPr>
            <w:r>
              <w:rPr>
                <w:rFonts w:ascii="Calibri" w:hAnsi="Calibri"/>
                <w:sz w:val="17"/>
              </w:rPr>
              <w:t>Persistencia física en PostgreSQL. Mapea atributos (id, session_id, capture_url, model_used...) y estado transaccional.</w:t>
            </w:r>
          </w:p>
        </w:tc>
      </w:tr>
    </w:tbl>
    <w:p>
      <w:pPr>
        <w:spacing w:after="240"/>
      </w:pPr>
    </w:p>
    <w:p>
      <w:pPr>
        <w:pStyle w:val="Heading2"/>
        <w:spacing w:before="280" w:after="80"/>
      </w:pPr>
      <w:r>
        <w:t>CU33: Asistente inteligente de recomendaciones y Chatbot</w:t>
      </w:r>
    </w:p>
    <w:p>
      <w:pPr>
        <w:spacing w:after="160"/>
      </w:pPr>
      <w:r>
        <w:rPr>
          <w:b/>
          <w:color w:val="475569"/>
          <w:sz w:val="20"/>
        </w:rPr>
        <w:t>Actor Primario: Cliente   |   Paquete Arquitectónico: inteligente_y_analitica</w:t>
      </w:r>
    </w:p>
    <w:p>
      <w:pPr>
        <w:spacing w:before="120" w:after="120"/>
        <w:jc w:val="center"/>
      </w:pPr>
      <w:r>
        <w:drawing>
          <wp:inline xmlns:a="http://schemas.openxmlformats.org/drawingml/2006/main" xmlns:pic="http://schemas.openxmlformats.org/drawingml/2006/picture">
            <wp:extent cx="6035040" cy="2999665"/>
            <wp:docPr id="37" name="Picture 37"/>
            <wp:cNvGraphicFramePr>
              <a:graphicFrameLocks noChangeAspect="1"/>
            </wp:cNvGraphicFramePr>
            <a:graphic>
              <a:graphicData uri="http://schemas.openxmlformats.org/drawingml/2006/picture">
                <pic:pic>
                  <pic:nvPicPr>
                    <pic:cNvPr id="0" name="CU33_Asistente_inteligente_de_recomendaciones_y_Chatbot.png"/>
                    <pic:cNvPicPr/>
                  </pic:nvPicPr>
                  <pic:blipFill>
                    <a:blip r:embed="rId44"/>
                    <a:stretch>
                      <a:fillRect/>
                    </a:stretch>
                  </pic:blipFill>
                  <pic:spPr>
                    <a:xfrm>
                      <a:off x="0" y="0"/>
                      <a:ext cx="6035040" cy="2999665"/>
                    </a:xfrm>
                    <a:prstGeom prst="rect"/>
                  </pic:spPr>
                </pic:pic>
              </a:graphicData>
            </a:graphic>
          </wp:inline>
        </w:drawing>
      </w:r>
    </w:p>
    <w:p>
      <w:pPr>
        <w:spacing w:after="160"/>
        <w:jc w:val="center"/>
      </w:pPr>
      <w:r>
        <w:rPr>
          <w:i/>
          <w:color w:val="64748B"/>
          <w:sz w:val="17"/>
        </w:rPr>
        <w:t>Figura: Diagrama de Análisis de Clases (BCE) — CU33: Asistente inteligente de recomendaciones y Chatbot</w:t>
      </w:r>
    </w:p>
    <w:p>
      <w:pPr>
        <w:spacing w:after="60"/>
      </w:pPr>
      <w:r>
        <w:rPr>
          <w:b/>
          <w:color w:val="1E1B4B"/>
          <w:sz w:val="19"/>
        </w:rPr>
        <w:t>Especificación de Clases y Responsabilidades del Caso de Uso:</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1872"/>
            <w:shd w:fill="EDE9FE"/>
          </w:tcPr>
          <w:p>
            <w:r>
              <w:rPr>
                <w:b/>
                <w:color w:val="4338CA"/>
                <w:sz w:val="18"/>
              </w:rPr>
              <w:t>Estereotipo</w:t>
            </w:r>
          </w:p>
        </w:tc>
        <w:tc>
          <w:tcPr>
            <w:tcW w:type="dxa" w:w="3168"/>
            <w:shd w:fill="EDE9FE"/>
          </w:tcPr>
          <w:p>
            <w:r>
              <w:rPr>
                <w:b/>
                <w:color w:val="4338CA"/>
                <w:sz w:val="18"/>
              </w:rPr>
              <w:t>Nombre de Clase</w:t>
            </w:r>
          </w:p>
        </w:tc>
        <w:tc>
          <w:tcPr>
            <w:tcW w:type="dxa" w:w="4752"/>
            <w:shd w:fill="EDE9FE"/>
          </w:tcPr>
          <w:p>
            <w:r>
              <w:rPr>
                <w:b/>
                <w:color w:val="4338CA"/>
                <w:sz w:val="18"/>
              </w:rPr>
              <w:t>Responsabilidad en el Caso de Uso</w:t>
            </w:r>
          </w:p>
        </w:tc>
      </w:tr>
      <w:tr>
        <w:tc>
          <w:tcPr>
            <w:tcW w:type="dxa" w:w="1872"/>
          </w:tcPr>
          <w:p>
            <w:pPr>
              <w:spacing w:before="40" w:after="40"/>
            </w:pPr>
            <w:r>
              <w:rPr>
                <w:rFonts w:ascii="Calibri" w:hAnsi="Calibri"/>
                <w:sz w:val="17"/>
              </w:rPr>
              <w:t>Boundary (IU)</w:t>
            </w:r>
          </w:p>
        </w:tc>
        <w:tc>
          <w:tcPr>
            <w:tcW w:type="dxa" w:w="3168"/>
          </w:tcPr>
          <w:p>
            <w:pPr>
              <w:spacing w:before="40" w:after="40"/>
            </w:pPr>
            <w:r>
              <w:rPr>
                <w:rFonts w:ascii="Calibri" w:hAnsi="Calibri"/>
                <w:sz w:val="17"/>
              </w:rPr>
              <w:t>IU_ChatbotAsistente</w:t>
            </w:r>
          </w:p>
        </w:tc>
        <w:tc>
          <w:tcPr>
            <w:tcW w:type="dxa" w:w="4752"/>
          </w:tcPr>
          <w:p>
            <w:pPr>
              <w:spacing w:before="40" w:after="40"/>
            </w:pPr>
            <w:r>
              <w:rPr>
                <w:rFonts w:ascii="Calibri" w:hAnsi="Calibri"/>
                <w:sz w:val="17"/>
              </w:rPr>
              <w:t>Interfaz gráfica del actor Cliente. Captura eventos de usuario y despliega datos y alertas.</w:t>
            </w:r>
          </w:p>
        </w:tc>
      </w:tr>
      <w:tr>
        <w:tc>
          <w:tcPr>
            <w:tcW w:type="dxa" w:w="1872"/>
          </w:tcPr>
          <w:p>
            <w:pPr>
              <w:spacing w:before="40" w:after="40"/>
            </w:pPr>
            <w:r>
              <w:rPr>
                <w:rFonts w:ascii="Calibri" w:hAnsi="Calibri"/>
                <w:sz w:val="17"/>
              </w:rPr>
              <w:t>Control (CTR)</w:t>
            </w:r>
          </w:p>
        </w:tc>
        <w:tc>
          <w:tcPr>
            <w:tcW w:type="dxa" w:w="3168"/>
          </w:tcPr>
          <w:p>
            <w:pPr>
              <w:spacing w:before="40" w:after="40"/>
            </w:pPr>
            <w:r>
              <w:rPr>
                <w:rFonts w:ascii="Calibri" w:hAnsi="Calibri"/>
                <w:sz w:val="17"/>
              </w:rPr>
              <w:t>CTR_ChatbotRecomendador</w:t>
            </w:r>
          </w:p>
        </w:tc>
        <w:tc>
          <w:tcPr>
            <w:tcW w:type="dxa" w:w="4752"/>
          </w:tcPr>
          <w:p>
            <w:pPr>
              <w:spacing w:before="40" w:after="40"/>
            </w:pPr>
            <w:r>
              <w:rPr>
                <w:rFonts w:ascii="Calibri" w:hAnsi="Calibri"/>
                <w:sz w:val="17"/>
              </w:rPr>
              <w:t>Orquestador de lógica del negocio. Ejecuta validaciones y coordina operaciones sobre las entidades.</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CE_ChatbotConversation</w:t>
            </w:r>
          </w:p>
        </w:tc>
        <w:tc>
          <w:tcPr>
            <w:tcW w:type="dxa" w:w="4752"/>
          </w:tcPr>
          <w:p>
            <w:pPr>
              <w:spacing w:before="40" w:after="40"/>
            </w:pPr>
            <w:r>
              <w:rPr>
                <w:rFonts w:ascii="Calibri" w:hAnsi="Calibri"/>
                <w:sz w:val="17"/>
              </w:rPr>
              <w:t>Persistencia física en PostgreSQL. Mapea atributos (id, user_id, message, intent_detected...)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CE_Product</w:t>
            </w:r>
          </w:p>
        </w:tc>
        <w:tc>
          <w:tcPr>
            <w:tcW w:type="dxa" w:w="4752"/>
          </w:tcPr>
          <w:p>
            <w:pPr>
              <w:spacing w:before="40" w:after="40"/>
            </w:pPr>
            <w:r>
              <w:rPr>
                <w:rFonts w:ascii="Calibri" w:hAnsi="Calibri"/>
                <w:sz w:val="17"/>
              </w:rPr>
              <w:t>Persistencia física en PostgreSQL. Mapea atributos (id, name, base_price, category_id...) y estado transaccional.</w:t>
            </w:r>
          </w:p>
        </w:tc>
      </w:tr>
    </w:tbl>
    <w:p>
      <w:pPr>
        <w:spacing w:after="240"/>
      </w:pPr>
    </w:p>
    <w:p>
      <w:pPr>
        <w:pStyle w:val="Heading2"/>
        <w:spacing w:before="280" w:after="80"/>
      </w:pPr>
      <w:r>
        <w:t>CU34: Búsqueda de prendas mediante comandos de voz (NLP)</w:t>
      </w:r>
    </w:p>
    <w:p>
      <w:pPr>
        <w:spacing w:after="160"/>
      </w:pPr>
      <w:r>
        <w:rPr>
          <w:b/>
          <w:color w:val="475569"/>
          <w:sz w:val="20"/>
        </w:rPr>
        <w:t>Actor Primario: Cliente (Móvil)   |   Paquete Arquitectónico: inteligente_y_analitica</w:t>
      </w:r>
    </w:p>
    <w:p>
      <w:pPr>
        <w:spacing w:before="120" w:after="120"/>
        <w:jc w:val="center"/>
      </w:pPr>
      <w:r>
        <w:drawing>
          <wp:inline xmlns:a="http://schemas.openxmlformats.org/drawingml/2006/main" xmlns:pic="http://schemas.openxmlformats.org/drawingml/2006/picture">
            <wp:extent cx="6035040" cy="3249637"/>
            <wp:docPr id="38" name="Picture 38"/>
            <wp:cNvGraphicFramePr>
              <a:graphicFrameLocks noChangeAspect="1"/>
            </wp:cNvGraphicFramePr>
            <a:graphic>
              <a:graphicData uri="http://schemas.openxmlformats.org/drawingml/2006/picture">
                <pic:pic>
                  <pic:nvPicPr>
                    <pic:cNvPr id="0" name="CU34_B_squeda_de_prendas_mediante_comandos_de_voz_NLP.png"/>
                    <pic:cNvPicPr/>
                  </pic:nvPicPr>
                  <pic:blipFill>
                    <a:blip r:embed="rId45"/>
                    <a:stretch>
                      <a:fillRect/>
                    </a:stretch>
                  </pic:blipFill>
                  <pic:spPr>
                    <a:xfrm>
                      <a:off x="0" y="0"/>
                      <a:ext cx="6035040" cy="3249637"/>
                    </a:xfrm>
                    <a:prstGeom prst="rect"/>
                  </pic:spPr>
                </pic:pic>
              </a:graphicData>
            </a:graphic>
          </wp:inline>
        </w:drawing>
      </w:r>
    </w:p>
    <w:p>
      <w:pPr>
        <w:spacing w:after="160"/>
        <w:jc w:val="center"/>
      </w:pPr>
      <w:r>
        <w:rPr>
          <w:i/>
          <w:color w:val="64748B"/>
          <w:sz w:val="17"/>
        </w:rPr>
        <w:t>Figura: Diagrama de Análisis de Clases (BCE) — CU34: Búsqueda de prendas mediante comandos de voz (NLP)</w:t>
      </w:r>
    </w:p>
    <w:p>
      <w:pPr>
        <w:spacing w:after="60"/>
      </w:pPr>
      <w:r>
        <w:rPr>
          <w:b/>
          <w:color w:val="1E1B4B"/>
          <w:sz w:val="19"/>
        </w:rPr>
        <w:t>Especificación de Clases y Responsabilidades del Caso de Uso:</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1872"/>
            <w:shd w:fill="EDE9FE"/>
          </w:tcPr>
          <w:p>
            <w:r>
              <w:rPr>
                <w:b/>
                <w:color w:val="4338CA"/>
                <w:sz w:val="18"/>
              </w:rPr>
              <w:t>Estereotipo</w:t>
            </w:r>
          </w:p>
        </w:tc>
        <w:tc>
          <w:tcPr>
            <w:tcW w:type="dxa" w:w="3168"/>
            <w:shd w:fill="EDE9FE"/>
          </w:tcPr>
          <w:p>
            <w:r>
              <w:rPr>
                <w:b/>
                <w:color w:val="4338CA"/>
                <w:sz w:val="18"/>
              </w:rPr>
              <w:t>Nombre de Clase</w:t>
            </w:r>
          </w:p>
        </w:tc>
        <w:tc>
          <w:tcPr>
            <w:tcW w:type="dxa" w:w="4752"/>
            <w:shd w:fill="EDE9FE"/>
          </w:tcPr>
          <w:p>
            <w:r>
              <w:rPr>
                <w:b/>
                <w:color w:val="4338CA"/>
                <w:sz w:val="18"/>
              </w:rPr>
              <w:t>Responsabilidad en el Caso de Uso</w:t>
            </w:r>
          </w:p>
        </w:tc>
      </w:tr>
      <w:tr>
        <w:tc>
          <w:tcPr>
            <w:tcW w:type="dxa" w:w="1872"/>
          </w:tcPr>
          <w:p>
            <w:pPr>
              <w:spacing w:before="40" w:after="40"/>
            </w:pPr>
            <w:r>
              <w:rPr>
                <w:rFonts w:ascii="Calibri" w:hAnsi="Calibri"/>
                <w:sz w:val="17"/>
              </w:rPr>
              <w:t>Boundary (IU)</w:t>
            </w:r>
          </w:p>
        </w:tc>
        <w:tc>
          <w:tcPr>
            <w:tcW w:type="dxa" w:w="3168"/>
          </w:tcPr>
          <w:p>
            <w:pPr>
              <w:spacing w:before="40" w:after="40"/>
            </w:pPr>
            <w:r>
              <w:rPr>
                <w:rFonts w:ascii="Calibri" w:hAnsi="Calibri"/>
                <w:sz w:val="17"/>
              </w:rPr>
              <w:t>IU_BusquedaPorVoz</w:t>
            </w:r>
          </w:p>
        </w:tc>
        <w:tc>
          <w:tcPr>
            <w:tcW w:type="dxa" w:w="4752"/>
          </w:tcPr>
          <w:p>
            <w:pPr>
              <w:spacing w:before="40" w:after="40"/>
            </w:pPr>
            <w:r>
              <w:rPr>
                <w:rFonts w:ascii="Calibri" w:hAnsi="Calibri"/>
                <w:sz w:val="17"/>
              </w:rPr>
              <w:t>Interfaz gráfica del actor Cliente (Móvil). Captura eventos de usuario y despliega datos y alertas.</w:t>
            </w:r>
          </w:p>
        </w:tc>
      </w:tr>
      <w:tr>
        <w:tc>
          <w:tcPr>
            <w:tcW w:type="dxa" w:w="1872"/>
          </w:tcPr>
          <w:p>
            <w:pPr>
              <w:spacing w:before="40" w:after="40"/>
            </w:pPr>
            <w:r>
              <w:rPr>
                <w:rFonts w:ascii="Calibri" w:hAnsi="Calibri"/>
                <w:sz w:val="17"/>
              </w:rPr>
              <w:t>Control (CTR)</w:t>
            </w:r>
          </w:p>
        </w:tc>
        <w:tc>
          <w:tcPr>
            <w:tcW w:type="dxa" w:w="3168"/>
          </w:tcPr>
          <w:p>
            <w:pPr>
              <w:spacing w:before="40" w:after="40"/>
            </w:pPr>
            <w:r>
              <w:rPr>
                <w:rFonts w:ascii="Calibri" w:hAnsi="Calibri"/>
                <w:sz w:val="17"/>
              </w:rPr>
              <w:t>CTR_VozNLP</w:t>
            </w:r>
          </w:p>
        </w:tc>
        <w:tc>
          <w:tcPr>
            <w:tcW w:type="dxa" w:w="4752"/>
          </w:tcPr>
          <w:p>
            <w:pPr>
              <w:spacing w:before="40" w:after="40"/>
            </w:pPr>
            <w:r>
              <w:rPr>
                <w:rFonts w:ascii="Calibri" w:hAnsi="Calibri"/>
                <w:sz w:val="17"/>
              </w:rPr>
              <w:t>Orquestador de lógica del negocio. Ejecuta validaciones y coordina operaciones sobre las entidades.</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CE_Product</w:t>
            </w:r>
          </w:p>
        </w:tc>
        <w:tc>
          <w:tcPr>
            <w:tcW w:type="dxa" w:w="4752"/>
          </w:tcPr>
          <w:p>
            <w:pPr>
              <w:spacing w:before="40" w:after="40"/>
            </w:pPr>
            <w:r>
              <w:rPr>
                <w:rFonts w:ascii="Calibri" w:hAnsi="Calibri"/>
                <w:sz w:val="17"/>
              </w:rPr>
              <w:t>Persistencia física en PostgreSQL. Mapea atributos (id, name, base_price, category_id...)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CE_Color</w:t>
            </w:r>
          </w:p>
        </w:tc>
        <w:tc>
          <w:tcPr>
            <w:tcW w:type="dxa" w:w="4752"/>
          </w:tcPr>
          <w:p>
            <w:pPr>
              <w:spacing w:before="40" w:after="40"/>
            </w:pPr>
            <w:r>
              <w:rPr>
                <w:rFonts w:ascii="Calibri" w:hAnsi="Calibri"/>
                <w:sz w:val="17"/>
              </w:rPr>
              <w:t>Persistencia física en PostgreSQL. Mapea atributos (id, name, hex_code...)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CE_Size</w:t>
            </w:r>
          </w:p>
        </w:tc>
        <w:tc>
          <w:tcPr>
            <w:tcW w:type="dxa" w:w="4752"/>
          </w:tcPr>
          <w:p>
            <w:pPr>
              <w:spacing w:before="40" w:after="40"/>
            </w:pPr>
            <w:r>
              <w:rPr>
                <w:rFonts w:ascii="Calibri" w:hAnsi="Calibri"/>
                <w:sz w:val="17"/>
              </w:rPr>
              <w:t>Persistencia física en PostgreSQL. Mapea atributos (id, name...) y estado transaccional.</w:t>
            </w:r>
          </w:p>
        </w:tc>
      </w:tr>
    </w:tbl>
    <w:p>
      <w:pPr>
        <w:spacing w:after="240"/>
      </w:pPr>
    </w:p>
    <w:p>
      <w:pPr>
        <w:pStyle w:val="Heading2"/>
        <w:spacing w:before="280" w:after="80"/>
      </w:pPr>
      <w:r>
        <w:t>CU35: Generar reportes gerenciales (PDF / CSV / Voz)</w:t>
      </w:r>
    </w:p>
    <w:p>
      <w:pPr>
        <w:spacing w:after="160"/>
      </w:pPr>
      <w:r>
        <w:rPr>
          <w:b/>
          <w:color w:val="475569"/>
          <w:sz w:val="20"/>
        </w:rPr>
        <w:t>Actor Primario: Superadmin / Gerente   |   Paquete Arquitectónico: inteligente_y_analitica</w:t>
      </w:r>
    </w:p>
    <w:p>
      <w:pPr>
        <w:spacing w:before="120" w:after="120"/>
        <w:jc w:val="center"/>
      </w:pPr>
      <w:r>
        <w:drawing>
          <wp:inline xmlns:a="http://schemas.openxmlformats.org/drawingml/2006/main" xmlns:pic="http://schemas.openxmlformats.org/drawingml/2006/picture">
            <wp:extent cx="6035040" cy="3249637"/>
            <wp:docPr id="39" name="Picture 39"/>
            <wp:cNvGraphicFramePr>
              <a:graphicFrameLocks noChangeAspect="1"/>
            </wp:cNvGraphicFramePr>
            <a:graphic>
              <a:graphicData uri="http://schemas.openxmlformats.org/drawingml/2006/picture">
                <pic:pic>
                  <pic:nvPicPr>
                    <pic:cNvPr id="0" name="CU35_Generar_reportes_gerenciales_PDF_CSV_Voz.png"/>
                    <pic:cNvPicPr/>
                  </pic:nvPicPr>
                  <pic:blipFill>
                    <a:blip r:embed="rId46"/>
                    <a:stretch>
                      <a:fillRect/>
                    </a:stretch>
                  </pic:blipFill>
                  <pic:spPr>
                    <a:xfrm>
                      <a:off x="0" y="0"/>
                      <a:ext cx="6035040" cy="3249637"/>
                    </a:xfrm>
                    <a:prstGeom prst="rect"/>
                  </pic:spPr>
                </pic:pic>
              </a:graphicData>
            </a:graphic>
          </wp:inline>
        </w:drawing>
      </w:r>
    </w:p>
    <w:p>
      <w:pPr>
        <w:spacing w:after="160"/>
        <w:jc w:val="center"/>
      </w:pPr>
      <w:r>
        <w:rPr>
          <w:i/>
          <w:color w:val="64748B"/>
          <w:sz w:val="17"/>
        </w:rPr>
        <w:t>Figura: Diagrama de Análisis de Clases (BCE) — CU35: Generar reportes gerenciales (PDF / CSV / Voz)</w:t>
      </w:r>
    </w:p>
    <w:p>
      <w:pPr>
        <w:spacing w:after="60"/>
      </w:pPr>
      <w:r>
        <w:rPr>
          <w:b/>
          <w:color w:val="1E1B4B"/>
          <w:sz w:val="19"/>
        </w:rPr>
        <w:t>Especificación de Clases y Responsabilidades del Caso de Uso:</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1872"/>
            <w:shd w:fill="EDE9FE"/>
          </w:tcPr>
          <w:p>
            <w:r>
              <w:rPr>
                <w:b/>
                <w:color w:val="4338CA"/>
                <w:sz w:val="18"/>
              </w:rPr>
              <w:t>Estereotipo</w:t>
            </w:r>
          </w:p>
        </w:tc>
        <w:tc>
          <w:tcPr>
            <w:tcW w:type="dxa" w:w="3168"/>
            <w:shd w:fill="EDE9FE"/>
          </w:tcPr>
          <w:p>
            <w:r>
              <w:rPr>
                <w:b/>
                <w:color w:val="4338CA"/>
                <w:sz w:val="18"/>
              </w:rPr>
              <w:t>Nombre de Clase</w:t>
            </w:r>
          </w:p>
        </w:tc>
        <w:tc>
          <w:tcPr>
            <w:tcW w:type="dxa" w:w="4752"/>
            <w:shd w:fill="EDE9FE"/>
          </w:tcPr>
          <w:p>
            <w:r>
              <w:rPr>
                <w:b/>
                <w:color w:val="4338CA"/>
                <w:sz w:val="18"/>
              </w:rPr>
              <w:t>Responsabilidad en el Caso de Uso</w:t>
            </w:r>
          </w:p>
        </w:tc>
      </w:tr>
      <w:tr>
        <w:tc>
          <w:tcPr>
            <w:tcW w:type="dxa" w:w="1872"/>
          </w:tcPr>
          <w:p>
            <w:pPr>
              <w:spacing w:before="40" w:after="40"/>
            </w:pPr>
            <w:r>
              <w:rPr>
                <w:rFonts w:ascii="Calibri" w:hAnsi="Calibri"/>
                <w:sz w:val="17"/>
              </w:rPr>
              <w:t>Boundary (IU)</w:t>
            </w:r>
          </w:p>
        </w:tc>
        <w:tc>
          <w:tcPr>
            <w:tcW w:type="dxa" w:w="3168"/>
          </w:tcPr>
          <w:p>
            <w:pPr>
              <w:spacing w:before="40" w:after="40"/>
            </w:pPr>
            <w:r>
              <w:rPr>
                <w:rFonts w:ascii="Calibri" w:hAnsi="Calibri"/>
                <w:sz w:val="17"/>
              </w:rPr>
              <w:t>IU_ReportesGerenciales</w:t>
            </w:r>
          </w:p>
        </w:tc>
        <w:tc>
          <w:tcPr>
            <w:tcW w:type="dxa" w:w="4752"/>
          </w:tcPr>
          <w:p>
            <w:pPr>
              <w:spacing w:before="40" w:after="40"/>
            </w:pPr>
            <w:r>
              <w:rPr>
                <w:rFonts w:ascii="Calibri" w:hAnsi="Calibri"/>
                <w:sz w:val="17"/>
              </w:rPr>
              <w:t>Interfaz gráfica del actor Superadmin / Gerente. Captura eventos de usuario y despliega datos y alertas.</w:t>
            </w:r>
          </w:p>
        </w:tc>
      </w:tr>
      <w:tr>
        <w:tc>
          <w:tcPr>
            <w:tcW w:type="dxa" w:w="1872"/>
          </w:tcPr>
          <w:p>
            <w:pPr>
              <w:spacing w:before="40" w:after="40"/>
            </w:pPr>
            <w:r>
              <w:rPr>
                <w:rFonts w:ascii="Calibri" w:hAnsi="Calibri"/>
                <w:sz w:val="17"/>
              </w:rPr>
              <w:t>Control (CTR)</w:t>
            </w:r>
          </w:p>
        </w:tc>
        <w:tc>
          <w:tcPr>
            <w:tcW w:type="dxa" w:w="3168"/>
          </w:tcPr>
          <w:p>
            <w:pPr>
              <w:spacing w:before="40" w:after="40"/>
            </w:pPr>
            <w:r>
              <w:rPr>
                <w:rFonts w:ascii="Calibri" w:hAnsi="Calibri"/>
                <w:sz w:val="17"/>
              </w:rPr>
              <w:t>CTR_ReportesGerenciales</w:t>
            </w:r>
          </w:p>
        </w:tc>
        <w:tc>
          <w:tcPr>
            <w:tcW w:type="dxa" w:w="4752"/>
          </w:tcPr>
          <w:p>
            <w:pPr>
              <w:spacing w:before="40" w:after="40"/>
            </w:pPr>
            <w:r>
              <w:rPr>
                <w:rFonts w:ascii="Calibri" w:hAnsi="Calibri"/>
                <w:sz w:val="17"/>
              </w:rPr>
              <w:t>Orquestador de lógica del negocio. Ejecuta validaciones y coordina operaciones sobre las entidades.</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CE_Order</w:t>
            </w:r>
          </w:p>
        </w:tc>
        <w:tc>
          <w:tcPr>
            <w:tcW w:type="dxa" w:w="4752"/>
          </w:tcPr>
          <w:p>
            <w:pPr>
              <w:spacing w:before="40" w:after="40"/>
            </w:pPr>
            <w:r>
              <w:rPr>
                <w:rFonts w:ascii="Calibri" w:hAnsi="Calibri"/>
                <w:sz w:val="17"/>
              </w:rPr>
              <w:t>Persistencia física en PostgreSQL. Mapea atributos (id, branch_id, total_amount, status...)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CE_OrderItem</w:t>
            </w:r>
          </w:p>
        </w:tc>
        <w:tc>
          <w:tcPr>
            <w:tcW w:type="dxa" w:w="4752"/>
          </w:tcPr>
          <w:p>
            <w:pPr>
              <w:spacing w:before="40" w:after="40"/>
            </w:pPr>
            <w:r>
              <w:rPr>
                <w:rFonts w:ascii="Calibri" w:hAnsi="Calibri"/>
                <w:sz w:val="17"/>
              </w:rPr>
              <w:t>Persistencia física en PostgreSQL. Mapea atributos (id, product_variant_id, quantity, unit_price...)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CE_InventoryLedger</w:t>
            </w:r>
          </w:p>
        </w:tc>
        <w:tc>
          <w:tcPr>
            <w:tcW w:type="dxa" w:w="4752"/>
          </w:tcPr>
          <w:p>
            <w:pPr>
              <w:spacing w:before="40" w:after="40"/>
            </w:pPr>
            <w:r>
              <w:rPr>
                <w:rFonts w:ascii="Calibri" w:hAnsi="Calibri"/>
                <w:sz w:val="17"/>
              </w:rPr>
              <w:t>Persistencia física en PostgreSQL. Mapea atributos (id, branch_id, movement_type, quantity...) y estado transaccional.</w:t>
            </w:r>
          </w:p>
        </w:tc>
      </w:tr>
    </w:tbl>
    <w:p>
      <w:pPr>
        <w:spacing w:after="240"/>
      </w:pPr>
    </w:p>
    <w:p>
      <w:pPr>
        <w:pStyle w:val="Heading2"/>
        <w:spacing w:before="280" w:after="80"/>
      </w:pPr>
      <w:r>
        <w:t>CU39: Consultar Dashboard global de ventas e inventario</w:t>
      </w:r>
    </w:p>
    <w:p>
      <w:pPr>
        <w:spacing w:after="160"/>
      </w:pPr>
      <w:r>
        <w:rPr>
          <w:b/>
          <w:color w:val="475569"/>
          <w:sz w:val="20"/>
        </w:rPr>
        <w:t>Actor Primario: Superadmin / Gerente   |   Paquete Arquitectónico: inteligente_y_analitica</w:t>
      </w:r>
    </w:p>
    <w:p>
      <w:pPr>
        <w:spacing w:before="120" w:after="120"/>
        <w:jc w:val="center"/>
      </w:pPr>
      <w:r>
        <w:drawing>
          <wp:inline xmlns:a="http://schemas.openxmlformats.org/drawingml/2006/main" xmlns:pic="http://schemas.openxmlformats.org/drawingml/2006/picture">
            <wp:extent cx="6035040" cy="3249637"/>
            <wp:docPr id="40" name="Picture 40"/>
            <wp:cNvGraphicFramePr>
              <a:graphicFrameLocks noChangeAspect="1"/>
            </wp:cNvGraphicFramePr>
            <a:graphic>
              <a:graphicData uri="http://schemas.openxmlformats.org/drawingml/2006/picture">
                <pic:pic>
                  <pic:nvPicPr>
                    <pic:cNvPr id="0" name="CU39_Consultar_Dashboard_global_de_ventas_e_inventario.png"/>
                    <pic:cNvPicPr/>
                  </pic:nvPicPr>
                  <pic:blipFill>
                    <a:blip r:embed="rId47"/>
                    <a:stretch>
                      <a:fillRect/>
                    </a:stretch>
                  </pic:blipFill>
                  <pic:spPr>
                    <a:xfrm>
                      <a:off x="0" y="0"/>
                      <a:ext cx="6035040" cy="3249637"/>
                    </a:xfrm>
                    <a:prstGeom prst="rect"/>
                  </pic:spPr>
                </pic:pic>
              </a:graphicData>
            </a:graphic>
          </wp:inline>
        </w:drawing>
      </w:r>
    </w:p>
    <w:p>
      <w:pPr>
        <w:spacing w:after="160"/>
        <w:jc w:val="center"/>
      </w:pPr>
      <w:r>
        <w:rPr>
          <w:i/>
          <w:color w:val="64748B"/>
          <w:sz w:val="17"/>
        </w:rPr>
        <w:t>Figura: Diagrama de Análisis de Clases (BCE) — CU39: Consultar Dashboard global de ventas e inventario</w:t>
      </w:r>
    </w:p>
    <w:p>
      <w:pPr>
        <w:spacing w:after="60"/>
      </w:pPr>
      <w:r>
        <w:rPr>
          <w:b/>
          <w:color w:val="1E1B4B"/>
          <w:sz w:val="19"/>
        </w:rPr>
        <w:t>Especificación de Clases y Responsabilidades del Caso de Uso:</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1872"/>
            <w:shd w:fill="EDE9FE"/>
          </w:tcPr>
          <w:p>
            <w:r>
              <w:rPr>
                <w:b/>
                <w:color w:val="4338CA"/>
                <w:sz w:val="18"/>
              </w:rPr>
              <w:t>Estereotipo</w:t>
            </w:r>
          </w:p>
        </w:tc>
        <w:tc>
          <w:tcPr>
            <w:tcW w:type="dxa" w:w="3168"/>
            <w:shd w:fill="EDE9FE"/>
          </w:tcPr>
          <w:p>
            <w:r>
              <w:rPr>
                <w:b/>
                <w:color w:val="4338CA"/>
                <w:sz w:val="18"/>
              </w:rPr>
              <w:t>Nombre de Clase</w:t>
            </w:r>
          </w:p>
        </w:tc>
        <w:tc>
          <w:tcPr>
            <w:tcW w:type="dxa" w:w="4752"/>
            <w:shd w:fill="EDE9FE"/>
          </w:tcPr>
          <w:p>
            <w:r>
              <w:rPr>
                <w:b/>
                <w:color w:val="4338CA"/>
                <w:sz w:val="18"/>
              </w:rPr>
              <w:t>Responsabilidad en el Caso de Uso</w:t>
            </w:r>
          </w:p>
        </w:tc>
      </w:tr>
      <w:tr>
        <w:tc>
          <w:tcPr>
            <w:tcW w:type="dxa" w:w="1872"/>
          </w:tcPr>
          <w:p>
            <w:pPr>
              <w:spacing w:before="40" w:after="40"/>
            </w:pPr>
            <w:r>
              <w:rPr>
                <w:rFonts w:ascii="Calibri" w:hAnsi="Calibri"/>
                <w:sz w:val="17"/>
              </w:rPr>
              <w:t>Boundary (IU)</w:t>
            </w:r>
          </w:p>
        </w:tc>
        <w:tc>
          <w:tcPr>
            <w:tcW w:type="dxa" w:w="3168"/>
          </w:tcPr>
          <w:p>
            <w:pPr>
              <w:spacing w:before="40" w:after="40"/>
            </w:pPr>
            <w:r>
              <w:rPr>
                <w:rFonts w:ascii="Calibri" w:hAnsi="Calibri"/>
                <w:sz w:val="17"/>
              </w:rPr>
              <w:t>IU_DashboardGlobal</w:t>
            </w:r>
          </w:p>
        </w:tc>
        <w:tc>
          <w:tcPr>
            <w:tcW w:type="dxa" w:w="4752"/>
          </w:tcPr>
          <w:p>
            <w:pPr>
              <w:spacing w:before="40" w:after="40"/>
            </w:pPr>
            <w:r>
              <w:rPr>
                <w:rFonts w:ascii="Calibri" w:hAnsi="Calibri"/>
                <w:sz w:val="17"/>
              </w:rPr>
              <w:t>Interfaz gráfica del actor Superadmin / Gerente. Captura eventos de usuario y despliega datos y alertas.</w:t>
            </w:r>
          </w:p>
        </w:tc>
      </w:tr>
      <w:tr>
        <w:tc>
          <w:tcPr>
            <w:tcW w:type="dxa" w:w="1872"/>
          </w:tcPr>
          <w:p>
            <w:pPr>
              <w:spacing w:before="40" w:after="40"/>
            </w:pPr>
            <w:r>
              <w:rPr>
                <w:rFonts w:ascii="Calibri" w:hAnsi="Calibri"/>
                <w:sz w:val="17"/>
              </w:rPr>
              <w:t>Control (CTR)</w:t>
            </w:r>
          </w:p>
        </w:tc>
        <w:tc>
          <w:tcPr>
            <w:tcW w:type="dxa" w:w="3168"/>
          </w:tcPr>
          <w:p>
            <w:pPr>
              <w:spacing w:before="40" w:after="40"/>
            </w:pPr>
            <w:r>
              <w:rPr>
                <w:rFonts w:ascii="Calibri" w:hAnsi="Calibri"/>
                <w:sz w:val="17"/>
              </w:rPr>
              <w:t>CTR_DashboardGlobal</w:t>
            </w:r>
          </w:p>
        </w:tc>
        <w:tc>
          <w:tcPr>
            <w:tcW w:type="dxa" w:w="4752"/>
          </w:tcPr>
          <w:p>
            <w:pPr>
              <w:spacing w:before="40" w:after="40"/>
            </w:pPr>
            <w:r>
              <w:rPr>
                <w:rFonts w:ascii="Calibri" w:hAnsi="Calibri"/>
                <w:sz w:val="17"/>
              </w:rPr>
              <w:t>Orquestador de lógica del negocio. Ejecuta validaciones y coordina operaciones sobre las entidades.</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CE_Order</w:t>
            </w:r>
          </w:p>
        </w:tc>
        <w:tc>
          <w:tcPr>
            <w:tcW w:type="dxa" w:w="4752"/>
          </w:tcPr>
          <w:p>
            <w:pPr>
              <w:spacing w:before="40" w:after="40"/>
            </w:pPr>
            <w:r>
              <w:rPr>
                <w:rFonts w:ascii="Calibri" w:hAnsi="Calibri"/>
                <w:sz w:val="17"/>
              </w:rPr>
              <w:t>Persistencia física en PostgreSQL. Mapea atributos (id, total_amount, status, created_at...)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CE_Inventory</w:t>
            </w:r>
          </w:p>
        </w:tc>
        <w:tc>
          <w:tcPr>
            <w:tcW w:type="dxa" w:w="4752"/>
          </w:tcPr>
          <w:p>
            <w:pPr>
              <w:spacing w:before="40" w:after="40"/>
            </w:pPr>
            <w:r>
              <w:rPr>
                <w:rFonts w:ascii="Calibri" w:hAnsi="Calibri"/>
                <w:sz w:val="17"/>
              </w:rPr>
              <w:t>Persistencia física en PostgreSQL. Mapea atributos (id, physical_stock, avg_cost...)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CE_Reservation</w:t>
            </w:r>
          </w:p>
        </w:tc>
        <w:tc>
          <w:tcPr>
            <w:tcW w:type="dxa" w:w="4752"/>
          </w:tcPr>
          <w:p>
            <w:pPr>
              <w:spacing w:before="40" w:after="40"/>
            </w:pPr>
            <w:r>
              <w:rPr>
                <w:rFonts w:ascii="Calibri" w:hAnsi="Calibri"/>
                <w:sz w:val="17"/>
              </w:rPr>
              <w:t>Persistencia física en PostgreSQL. Mapea atributos (id, status, scheduled_at...) y estado transaccional.</w:t>
            </w:r>
          </w:p>
        </w:tc>
      </w:tr>
    </w:tbl>
    <w:p>
      <w:pPr>
        <w:spacing w:after="240"/>
      </w:pPr>
    </w:p>
    <w:p>
      <w:pPr>
        <w:pStyle w:val="Heading2"/>
        <w:spacing w:before="280" w:after="80"/>
      </w:pPr>
      <w:r>
        <w:t>CU40: Notificar en tiempo real (Push) y correos de confirmación</w:t>
      </w:r>
    </w:p>
    <w:p>
      <w:pPr>
        <w:spacing w:after="160"/>
      </w:pPr>
      <w:r>
        <w:rPr>
          <w:b/>
          <w:color w:val="475569"/>
          <w:sz w:val="20"/>
        </w:rPr>
        <w:t>Actor Primario: Sistema / Worker   |   Paquete Arquitectónico: notificaciones</w:t>
      </w:r>
    </w:p>
    <w:p>
      <w:pPr>
        <w:spacing w:before="120" w:after="120"/>
        <w:jc w:val="center"/>
      </w:pPr>
      <w:r>
        <w:drawing>
          <wp:inline xmlns:a="http://schemas.openxmlformats.org/drawingml/2006/main" xmlns:pic="http://schemas.openxmlformats.org/drawingml/2006/picture">
            <wp:extent cx="6035040" cy="2999665"/>
            <wp:docPr id="41" name="Picture 41"/>
            <wp:cNvGraphicFramePr>
              <a:graphicFrameLocks noChangeAspect="1"/>
            </wp:cNvGraphicFramePr>
            <a:graphic>
              <a:graphicData uri="http://schemas.openxmlformats.org/drawingml/2006/picture">
                <pic:pic>
                  <pic:nvPicPr>
                    <pic:cNvPr id="0" name="CU40_Notificar_en_tiempo_real_Push_y_correos_de_confirmaci_n.png"/>
                    <pic:cNvPicPr/>
                  </pic:nvPicPr>
                  <pic:blipFill>
                    <a:blip r:embed="rId48"/>
                    <a:stretch>
                      <a:fillRect/>
                    </a:stretch>
                  </pic:blipFill>
                  <pic:spPr>
                    <a:xfrm>
                      <a:off x="0" y="0"/>
                      <a:ext cx="6035040" cy="2999665"/>
                    </a:xfrm>
                    <a:prstGeom prst="rect"/>
                  </pic:spPr>
                </pic:pic>
              </a:graphicData>
            </a:graphic>
          </wp:inline>
        </w:drawing>
      </w:r>
    </w:p>
    <w:p>
      <w:pPr>
        <w:spacing w:after="160"/>
        <w:jc w:val="center"/>
      </w:pPr>
      <w:r>
        <w:rPr>
          <w:i/>
          <w:color w:val="64748B"/>
          <w:sz w:val="17"/>
        </w:rPr>
        <w:t>Figura: Diagrama de Análisis de Clases (BCE) — CU40: Notificar en tiempo real (Push) y correos de confirmación</w:t>
      </w:r>
    </w:p>
    <w:p>
      <w:pPr>
        <w:spacing w:after="60"/>
      </w:pPr>
      <w:r>
        <w:rPr>
          <w:b/>
          <w:color w:val="1E1B4B"/>
          <w:sz w:val="19"/>
        </w:rPr>
        <w:t>Especificación de Clases y Responsabilidades del Caso de Uso:</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1872"/>
            <w:shd w:fill="EDE9FE"/>
          </w:tcPr>
          <w:p>
            <w:r>
              <w:rPr>
                <w:b/>
                <w:color w:val="4338CA"/>
                <w:sz w:val="18"/>
              </w:rPr>
              <w:t>Estereotipo</w:t>
            </w:r>
          </w:p>
        </w:tc>
        <w:tc>
          <w:tcPr>
            <w:tcW w:type="dxa" w:w="3168"/>
            <w:shd w:fill="EDE9FE"/>
          </w:tcPr>
          <w:p>
            <w:r>
              <w:rPr>
                <w:b/>
                <w:color w:val="4338CA"/>
                <w:sz w:val="18"/>
              </w:rPr>
              <w:t>Nombre de Clase</w:t>
            </w:r>
          </w:p>
        </w:tc>
        <w:tc>
          <w:tcPr>
            <w:tcW w:type="dxa" w:w="4752"/>
            <w:shd w:fill="EDE9FE"/>
          </w:tcPr>
          <w:p>
            <w:r>
              <w:rPr>
                <w:b/>
                <w:color w:val="4338CA"/>
                <w:sz w:val="18"/>
              </w:rPr>
              <w:t>Responsabilidad en el Caso de Uso</w:t>
            </w:r>
          </w:p>
        </w:tc>
      </w:tr>
      <w:tr>
        <w:tc>
          <w:tcPr>
            <w:tcW w:type="dxa" w:w="1872"/>
          </w:tcPr>
          <w:p>
            <w:pPr>
              <w:spacing w:before="40" w:after="40"/>
            </w:pPr>
            <w:r>
              <w:rPr>
                <w:rFonts w:ascii="Calibri" w:hAnsi="Calibri"/>
                <w:sz w:val="17"/>
              </w:rPr>
              <w:t>Boundary (IU)</w:t>
            </w:r>
          </w:p>
        </w:tc>
        <w:tc>
          <w:tcPr>
            <w:tcW w:type="dxa" w:w="3168"/>
          </w:tcPr>
          <w:p>
            <w:pPr>
              <w:spacing w:before="40" w:after="40"/>
            </w:pPr>
            <w:r>
              <w:rPr>
                <w:rFonts w:ascii="Calibri" w:hAnsi="Calibri"/>
                <w:sz w:val="17"/>
              </w:rPr>
              <w:t>IU_BuzonNotificaciones</w:t>
            </w:r>
          </w:p>
        </w:tc>
        <w:tc>
          <w:tcPr>
            <w:tcW w:type="dxa" w:w="4752"/>
          </w:tcPr>
          <w:p>
            <w:pPr>
              <w:spacing w:before="40" w:after="40"/>
            </w:pPr>
            <w:r>
              <w:rPr>
                <w:rFonts w:ascii="Calibri" w:hAnsi="Calibri"/>
                <w:sz w:val="17"/>
              </w:rPr>
              <w:t>Interfaz gráfica del actor Sistema / Worker. Captura eventos de usuario y despliega datos y alertas.</w:t>
            </w:r>
          </w:p>
        </w:tc>
      </w:tr>
      <w:tr>
        <w:tc>
          <w:tcPr>
            <w:tcW w:type="dxa" w:w="1872"/>
          </w:tcPr>
          <w:p>
            <w:pPr>
              <w:spacing w:before="40" w:after="40"/>
            </w:pPr>
            <w:r>
              <w:rPr>
                <w:rFonts w:ascii="Calibri" w:hAnsi="Calibri"/>
                <w:sz w:val="17"/>
              </w:rPr>
              <w:t>Control (CTR)</w:t>
            </w:r>
          </w:p>
        </w:tc>
        <w:tc>
          <w:tcPr>
            <w:tcW w:type="dxa" w:w="3168"/>
          </w:tcPr>
          <w:p>
            <w:pPr>
              <w:spacing w:before="40" w:after="40"/>
            </w:pPr>
            <w:r>
              <w:rPr>
                <w:rFonts w:ascii="Calibri" w:hAnsi="Calibri"/>
                <w:sz w:val="17"/>
              </w:rPr>
              <w:t>CTR_Notificaciones</w:t>
            </w:r>
          </w:p>
        </w:tc>
        <w:tc>
          <w:tcPr>
            <w:tcW w:type="dxa" w:w="4752"/>
          </w:tcPr>
          <w:p>
            <w:pPr>
              <w:spacing w:before="40" w:after="40"/>
            </w:pPr>
            <w:r>
              <w:rPr>
                <w:rFonts w:ascii="Calibri" w:hAnsi="Calibri"/>
                <w:sz w:val="17"/>
              </w:rPr>
              <w:t>Orquestador de lógica del negocio. Ejecuta validaciones y coordina operaciones sobre las entidades.</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CE_InAppNotification</w:t>
            </w:r>
          </w:p>
        </w:tc>
        <w:tc>
          <w:tcPr>
            <w:tcW w:type="dxa" w:w="4752"/>
          </w:tcPr>
          <w:p>
            <w:pPr>
              <w:spacing w:before="40" w:after="40"/>
            </w:pPr>
            <w:r>
              <w:rPr>
                <w:rFonts w:ascii="Calibri" w:hAnsi="Calibri"/>
                <w:sz w:val="17"/>
              </w:rPr>
              <w:t>Persistencia física en PostgreSQL. Mapea atributos (id, user_id, title, message...)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CE_User</w:t>
            </w:r>
          </w:p>
        </w:tc>
        <w:tc>
          <w:tcPr>
            <w:tcW w:type="dxa" w:w="4752"/>
          </w:tcPr>
          <w:p>
            <w:pPr>
              <w:spacing w:before="40" w:after="40"/>
            </w:pPr>
            <w:r>
              <w:rPr>
                <w:rFonts w:ascii="Calibri" w:hAnsi="Calibri"/>
                <w:sz w:val="17"/>
              </w:rPr>
              <w:t>Persistencia física en PostgreSQL. Mapea atributos (id, email, first_name...) y estado transaccional.</w:t>
            </w:r>
          </w:p>
        </w:tc>
      </w:tr>
    </w:tbl>
    <w:p>
      <w:pPr>
        <w:spacing w:after="24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