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Material</w:t>
      </w:r>
    </w:p>
    <w:p>
      <w:pPr>
        <w:jc w:val="center"/>
      </w:pPr>
      <w:r>
        <w:rPr>
          <w:b/>
        </w:rPr>
        <w:t>Threshold Robustness of Slip-Stick Peak Detection</w:t>
      </w:r>
    </w:p>
    <w:p>
      <w:r>
        <w:t>This supplementary material supports the manuscript "Slip-Stick Dynamics in Butyl Pressure-Sensitive Adhesive-Silicone Release Liner Systems: A New Approach to Analyzing the Performance of Release Liners". It documents the noise floor, threshold-sensitivity check and exploratory configuration-level statistics for the slip-stick peak-count descriptor.</w:t>
      </w:r>
    </w:p>
    <w:p>
      <w:pPr>
        <w:pStyle w:val="Heading1"/>
      </w:pPr>
      <w:r>
        <w:t>S1. Dataset Scope</w:t>
      </w:r>
    </w:p>
    <w:p>
      <w:r>
        <w:t>The analysis used the manuscript-relevant force-displacement datasets from the slip_stick repository. The silphan datasets were excluded because they are not part of the manuscript matrix. One older repeated C1E/Rossella/internal file and one file explicitly marked as a duplicate were also excluded. The final analysis included 42 liner-sealant-side configurations and 424 replicate traces.</w:t>
      </w:r>
    </w:p>
    <w:p>
      <w:r>
        <w:t>For every trace, the same processing settings as in the manuscript were used: normalization to cN/25 mm, analysis over the 50-200 mm displacement window, a long Savitzky-Golay baseline, and peak detection on the residual force signal. The default threshold was 1.4 cN/25 mm.</w:t>
      </w:r>
    </w:p>
    <w:p>
      <w:pPr>
        <w:pStyle w:val="Heading1"/>
      </w:pPr>
      <w:r>
        <w:t>S2. Instrumental Noise and Threshold Margin</w:t>
      </w:r>
    </w:p>
    <w:p>
      <w:r>
        <w:rPr>
          <w:b/>
        </w:rPr>
        <w:t>Table S1. Baseline noise summary from the initial near-zero-force segment of each raw trace.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Number of replicate traces</w:t>
            </w:r>
          </w:p>
        </w:tc>
        <w:tc>
          <w:tcPr>
            <w:tcW w:type="dxa" w:w="4320"/>
          </w:tcPr>
          <w:p>
            <w:r>
              <w:t>424</w:t>
            </w:r>
          </w:p>
        </w:tc>
      </w:tr>
      <w:tr>
        <w:tc>
          <w:tcPr>
            <w:tcW w:type="dxa" w:w="4320"/>
          </w:tcPr>
          <w:p>
            <w:r>
              <w:t>Number of liner-sealant-side configurations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Median baseline noise SD</w:t>
            </w:r>
          </w:p>
        </w:tc>
        <w:tc>
          <w:tcPr>
            <w:tcW w:type="dxa" w:w="4320"/>
          </w:tcPr>
          <w:p>
            <w:r>
              <w:t>0.066 cN/25 mm</w:t>
            </w:r>
          </w:p>
        </w:tc>
      </w:tr>
      <w:tr>
        <w:tc>
          <w:tcPr>
            <w:tcW w:type="dxa" w:w="4320"/>
          </w:tcPr>
          <w:p>
            <w:r>
              <w:t>95th percentile baseline noise SD</w:t>
            </w:r>
          </w:p>
        </w:tc>
        <w:tc>
          <w:tcPr>
            <w:tcW w:type="dxa" w:w="4320"/>
          </w:tcPr>
          <w:p>
            <w:r>
              <w:t>0.116 cN/25 mm</w:t>
            </w:r>
          </w:p>
        </w:tc>
      </w:tr>
      <w:tr>
        <w:tc>
          <w:tcPr>
            <w:tcW w:type="dxa" w:w="4320"/>
          </w:tcPr>
          <w:p>
            <w:r>
              <w:t>Maximum baseline noise SD</w:t>
            </w:r>
          </w:p>
        </w:tc>
        <w:tc>
          <w:tcPr>
            <w:tcW w:type="dxa" w:w="4320"/>
          </w:tcPr>
          <w:p>
            <w:r>
              <w:t>0.343 cN/25 mm</w:t>
            </w:r>
          </w:p>
        </w:tc>
      </w:tr>
      <w:tr>
        <w:tc>
          <w:tcPr>
            <w:tcW w:type="dxa" w:w="4320"/>
          </w:tcPr>
          <w:p>
            <w:r>
              <w:t>Median baseline maximum absolute noise</w:t>
            </w:r>
          </w:p>
        </w:tc>
        <w:tc>
          <w:tcPr>
            <w:tcW w:type="dxa" w:w="4320"/>
          </w:tcPr>
          <w:p>
            <w:r>
              <w:t>0.166 cN/25 mm</w:t>
            </w:r>
          </w:p>
        </w:tc>
      </w:tr>
      <w:tr>
        <w:tc>
          <w:tcPr>
            <w:tcW w:type="dxa" w:w="4320"/>
          </w:tcPr>
          <w:p>
            <w:r>
              <w:t>95th percentile baseline maximum absolute noise</w:t>
            </w:r>
          </w:p>
        </w:tc>
        <w:tc>
          <w:tcPr>
            <w:tcW w:type="dxa" w:w="4320"/>
          </w:tcPr>
          <w:p>
            <w:r>
              <w:t>0.318 cN/25 mm</w:t>
            </w:r>
          </w:p>
        </w:tc>
      </w:tr>
      <w:tr>
        <w:tc>
          <w:tcPr>
            <w:tcW w:type="dxa" w:w="4320"/>
          </w:tcPr>
          <w:p>
            <w:r>
              <w:t>Maximum baseline maximum absolute noise</w:t>
            </w:r>
          </w:p>
        </w:tc>
        <w:tc>
          <w:tcPr>
            <w:tcW w:type="dxa" w:w="4320"/>
          </w:tcPr>
          <w:p>
            <w:r>
              <w:t>0.933 cN/25 mm</w:t>
            </w:r>
          </w:p>
        </w:tc>
      </w:tr>
      <w:tr>
        <w:tc>
          <w:tcPr>
            <w:tcW w:type="dxa" w:w="4320"/>
          </w:tcPr>
          <w:p>
            <w:r>
              <w:t>Threshold / median noise SD</w:t>
            </w:r>
          </w:p>
        </w:tc>
        <w:tc>
          <w:tcPr>
            <w:tcW w:type="dxa" w:w="4320"/>
          </w:tcPr>
          <w:p>
            <w:r>
              <w:t>21.3x</w:t>
            </w:r>
          </w:p>
        </w:tc>
      </w:tr>
      <w:tr>
        <w:tc>
          <w:tcPr>
            <w:tcW w:type="dxa" w:w="4320"/>
          </w:tcPr>
          <w:p>
            <w:r>
              <w:t>Threshold / 95th percentile noise SD</w:t>
            </w:r>
          </w:p>
        </w:tc>
        <w:tc>
          <w:tcPr>
            <w:tcW w:type="dxa" w:w="4320"/>
          </w:tcPr>
          <w:p>
            <w:r>
              <w:t>12.0x</w:t>
            </w:r>
          </w:p>
        </w:tc>
      </w:tr>
    </w:tbl>
    <w:p/>
    <w:p>
      <w:r>
        <w:t>The default 1.4 cN/25 mm threshold was therefore well above the measured noise level. It was about 21 times the median baseline noise SD and about 12 times the 95th percentile baseline noise SD.</w:t>
      </w:r>
    </w:p>
    <w:p>
      <w:pPr>
        <w:pStyle w:val="Heading1"/>
      </w:pPr>
      <w:r>
        <w:t>S3. Threshold Sensitivity</w:t>
      </w:r>
    </w:p>
    <w:p>
      <w:r>
        <w:rPr>
          <w:b/>
        </w:rPr>
        <w:t>Table S2. Sensitivity of peak counts to the detection threshold. Spearman rho was computed across configuration-level mean peak counts relative to the default 1.4 cN/25 mm threshold.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Threshold [cN/25 mm]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Spearman rho vs 1.4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 peaks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Configs mean &gt;= 1 peak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Configs mean &gt;= 5 peaks</w:t>
            </w:r>
          </w:p>
        </w:tc>
      </w:tr>
      <w:tr>
        <w:tc>
          <w:tcPr>
            <w:tcW w:type="dxa" w:w="1440"/>
          </w:tcPr>
          <w:p>
            <w:r>
              <w:t>0.5</w:t>
            </w:r>
          </w:p>
        </w:tc>
        <w:tc>
          <w:tcPr>
            <w:tcW w:type="dxa" w:w="1440"/>
          </w:tcPr>
          <w:p>
            <w:r>
              <w:t>0.821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  <w:tc>
          <w:tcPr>
            <w:tcW w:type="dxa" w:w="1440"/>
          </w:tcPr>
          <w:p>
            <w:r>
              <w:t>10269</w:t>
            </w:r>
          </w:p>
        </w:tc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0.955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  <w:tc>
          <w:tcPr>
            <w:tcW w:type="dxa" w:w="1440"/>
          </w:tcPr>
          <w:p>
            <w:r>
              <w:t>3879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18</w:t>
            </w:r>
          </w:p>
        </w:tc>
      </w:tr>
      <w:tr>
        <w:tc>
          <w:tcPr>
            <w:tcW w:type="dxa" w:w="1440"/>
          </w:tcPr>
          <w:p>
            <w:r>
              <w:t>1.4</w:t>
            </w:r>
          </w:p>
        </w:tc>
        <w:tc>
          <w:tcPr>
            <w:tcW w:type="dxa" w:w="1440"/>
          </w:tcPr>
          <w:p>
            <w:r>
              <w:t>1.000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  <w:tc>
          <w:tcPr>
            <w:tcW w:type="dxa" w:w="1440"/>
          </w:tcPr>
          <w:p>
            <w:r>
              <w:t>2334</w:t>
            </w:r>
          </w:p>
        </w:tc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14</w:t>
            </w:r>
          </w:p>
        </w:tc>
      </w:tr>
      <w:tr>
        <w:tc>
          <w:tcPr>
            <w:tcW w:type="dxa" w:w="1440"/>
          </w:tcPr>
          <w:p>
            <w:r>
              <w:t>2.0</w:t>
            </w:r>
          </w:p>
        </w:tc>
        <w:tc>
          <w:tcPr>
            <w:tcW w:type="dxa" w:w="1440"/>
          </w:tcPr>
          <w:p>
            <w:r>
              <w:t>0.965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  <w:tc>
          <w:tcPr>
            <w:tcW w:type="dxa" w:w="1440"/>
          </w:tcPr>
          <w:p>
            <w:r>
              <w:t>1486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8</w:t>
            </w:r>
          </w:p>
        </w:tc>
      </w:tr>
      <w:tr>
        <w:tc>
          <w:tcPr>
            <w:tcW w:type="dxa" w:w="1440"/>
          </w:tcPr>
          <w:p>
            <w:r>
              <w:t>3.0</w:t>
            </w:r>
          </w:p>
        </w:tc>
        <w:tc>
          <w:tcPr>
            <w:tcW w:type="dxa" w:w="1440"/>
          </w:tcPr>
          <w:p>
            <w:r>
              <w:t>0.880</w:t>
            </w:r>
          </w:p>
        </w:tc>
        <w:tc>
          <w:tcPr>
            <w:tcW w:type="dxa" w:w="1440"/>
          </w:tcPr>
          <w:p>
            <w:r>
              <w:t>&lt;0.001</w:t>
            </w:r>
          </w:p>
        </w:tc>
        <w:tc>
          <w:tcPr>
            <w:tcW w:type="dxa" w:w="1440"/>
          </w:tcPr>
          <w:p>
            <w:r>
              <w:t>1010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</w:tbl>
    <w:p/>
    <w:p>
      <w:r>
        <w:t>The absolute number of detected peaks decreased as the threshold increased, as expected. The ranking of configurations remained stable in the practical threshold range around the selected value: rho = 0.955 for 1.0 cN/25 mm and rho = 0.965 for 2.0 cN/25 mm, both relative to the 1.4 cN/25 mm analysis.</w:t>
      </w:r>
    </w:p>
    <w:p>
      <w:pPr>
        <w:pStyle w:val="Heading1"/>
      </w:pPr>
      <w:r>
        <w:t>S4. Configurations with the Highest Peak Counts</w:t>
      </w:r>
    </w:p>
    <w:p>
      <w:r>
        <w:rPr>
          <w:b/>
        </w:rPr>
        <w:t>Table S3. Ten configurations with the highest mean peak counts at the default 1.4 cN/25 mm threshold. Values are means per replicate unless otherwise stated.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Sealant</w:t>
            </w:r>
          </w:p>
        </w:tc>
        <w:tc>
          <w:tcPr>
            <w:tcW w:type="dxa" w:w="864"/>
          </w:tcPr>
          <w:p>
            <w:r>
              <w:rPr>
                <w:b/>
              </w:rPr>
              <w:t>Liner</w:t>
            </w:r>
          </w:p>
        </w:tc>
        <w:tc>
          <w:tcPr>
            <w:tcW w:type="dxa" w:w="864"/>
          </w:tcPr>
          <w:p>
            <w:r>
              <w:rPr>
                <w:b/>
              </w:rPr>
              <w:t>Side</w:t>
            </w:r>
          </w:p>
        </w:tc>
        <w:tc>
          <w:tcPr>
            <w:tcW w:type="dxa" w:w="864"/>
          </w:tcPr>
          <w:p>
            <w:r>
              <w:rPr>
                <w:b/>
              </w:rPr>
              <w:t>n</w:t>
            </w:r>
          </w:p>
        </w:tc>
        <w:tc>
          <w:tcPr>
            <w:tcW w:type="dxa" w:w="864"/>
          </w:tcPr>
          <w:p>
            <w:r>
              <w:rPr>
                <w:b/>
              </w:rPr>
              <w:t>Mean peaks 1.0</w:t>
            </w:r>
          </w:p>
        </w:tc>
        <w:tc>
          <w:tcPr>
            <w:tcW w:type="dxa" w:w="864"/>
          </w:tcPr>
          <w:p>
            <w:r>
              <w:rPr>
                <w:b/>
              </w:rPr>
              <w:t>Mean peaks 1.4</w:t>
            </w:r>
          </w:p>
        </w:tc>
        <w:tc>
          <w:tcPr>
            <w:tcW w:type="dxa" w:w="864"/>
          </w:tcPr>
          <w:p>
            <w:r>
              <w:rPr>
                <w:b/>
              </w:rPr>
              <w:t>Mean peaks 2.0</w:t>
            </w:r>
          </w:p>
        </w:tc>
        <w:tc>
          <w:tcPr>
            <w:tcW w:type="dxa" w:w="864"/>
          </w:tcPr>
          <w:p>
            <w:r>
              <w:rPr>
                <w:b/>
              </w:rPr>
              <w:t>Mean peaks 3.0</w:t>
            </w:r>
          </w:p>
        </w:tc>
        <w:tc>
          <w:tcPr>
            <w:tcW w:type="dxa" w:w="864"/>
          </w:tcPr>
          <w:p>
            <w:r>
              <w:rPr>
                <w:b/>
              </w:rPr>
              <w:t>Mean force [cN/25 mm]</w:t>
            </w:r>
          </w:p>
        </w:tc>
        <w:tc>
          <w:tcPr>
            <w:tcW w:type="dxa" w:w="864"/>
          </w:tcPr>
          <w:p>
            <w:r>
              <w:rPr>
                <w:b/>
              </w:rPr>
              <w:t>Median noise SD</w:t>
            </w:r>
          </w:p>
        </w:tc>
      </w:tr>
      <w:tr>
        <w:tc>
          <w:tcPr>
            <w:tcW w:type="dxa" w:w="864"/>
          </w:tcPr>
          <w:p>
            <w:r>
              <w:t>U2E</w:t>
            </w:r>
          </w:p>
        </w:tc>
        <w:tc>
          <w:tcPr>
            <w:tcW w:type="dxa" w:w="864"/>
          </w:tcPr>
          <w:p>
            <w:r>
              <w:t>Rossella</w:t>
            </w:r>
          </w:p>
        </w:tc>
        <w:tc>
          <w:tcPr>
            <w:tcW w:type="dxa" w:w="864"/>
          </w:tcPr>
          <w:p>
            <w:r>
              <w:t>outer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42.5</w:t>
            </w:r>
          </w:p>
        </w:tc>
        <w:tc>
          <w:tcPr>
            <w:tcW w:type="dxa" w:w="864"/>
          </w:tcPr>
          <w:p>
            <w:r>
              <w:t>42.3</w:t>
            </w:r>
          </w:p>
        </w:tc>
        <w:tc>
          <w:tcPr>
            <w:tcW w:type="dxa" w:w="864"/>
          </w:tcPr>
          <w:p>
            <w:r>
              <w:t>42.0</w:t>
            </w:r>
          </w:p>
        </w:tc>
        <w:tc>
          <w:tcPr>
            <w:tcW w:type="dxa" w:w="864"/>
          </w:tcPr>
          <w:p>
            <w:r>
              <w:t>41.5</w:t>
            </w:r>
          </w:p>
        </w:tc>
        <w:tc>
          <w:tcPr>
            <w:tcW w:type="dxa" w:w="864"/>
          </w:tcPr>
          <w:p>
            <w:r>
              <w:t>238.4</w:t>
            </w:r>
          </w:p>
        </w:tc>
        <w:tc>
          <w:tcPr>
            <w:tcW w:type="dxa" w:w="864"/>
          </w:tcPr>
          <w:p>
            <w:r>
              <w:t>0.059</w:t>
            </w:r>
          </w:p>
        </w:tc>
      </w:tr>
      <w:tr>
        <w:tc>
          <w:tcPr>
            <w:tcW w:type="dxa" w:w="864"/>
          </w:tcPr>
          <w:p>
            <w:r>
              <w:t>U2E</w:t>
            </w:r>
          </w:p>
        </w:tc>
        <w:tc>
          <w:tcPr>
            <w:tcW w:type="dxa" w:w="864"/>
          </w:tcPr>
          <w:p>
            <w:r>
              <w:t>Crosil 42</w:t>
            </w:r>
          </w:p>
        </w:tc>
        <w:tc>
          <w:tcPr>
            <w:tcW w:type="dxa" w:w="864"/>
          </w:tcPr>
          <w:p>
            <w:r>
              <w:t>outer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48.6</w:t>
            </w:r>
          </w:p>
        </w:tc>
        <w:tc>
          <w:tcPr>
            <w:tcW w:type="dxa" w:w="864"/>
          </w:tcPr>
          <w:p>
            <w:r>
              <w:t>37.3</w:t>
            </w:r>
          </w:p>
        </w:tc>
        <w:tc>
          <w:tcPr>
            <w:tcW w:type="dxa" w:w="864"/>
          </w:tcPr>
          <w:p>
            <w:r>
              <w:t>28.5</w:t>
            </w:r>
          </w:p>
        </w:tc>
        <w:tc>
          <w:tcPr>
            <w:tcW w:type="dxa" w:w="864"/>
          </w:tcPr>
          <w:p>
            <w:r>
              <w:t>19.6</w:t>
            </w:r>
          </w:p>
        </w:tc>
        <w:tc>
          <w:tcPr>
            <w:tcW w:type="dxa" w:w="864"/>
          </w:tcPr>
          <w:p>
            <w:r>
              <w:t>17.8</w:t>
            </w:r>
          </w:p>
        </w:tc>
        <w:tc>
          <w:tcPr>
            <w:tcW w:type="dxa" w:w="864"/>
          </w:tcPr>
          <w:p>
            <w:r>
              <w:t>0.075</w:t>
            </w:r>
          </w:p>
        </w:tc>
      </w:tr>
      <w:tr>
        <w:tc>
          <w:tcPr>
            <w:tcW w:type="dxa" w:w="864"/>
          </w:tcPr>
          <w:p>
            <w:r>
              <w:t>T1EN</w:t>
            </w:r>
          </w:p>
        </w:tc>
        <w:tc>
          <w:tcPr>
            <w:tcW w:type="dxa" w:w="864"/>
          </w:tcPr>
          <w:p>
            <w:r>
              <w:t>Rossella</w:t>
            </w:r>
          </w:p>
        </w:tc>
        <w:tc>
          <w:tcPr>
            <w:tcW w:type="dxa" w:w="864"/>
          </w:tcPr>
          <w:p>
            <w:r>
              <w:t>outer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40.5</w:t>
            </w:r>
          </w:p>
        </w:tc>
        <w:tc>
          <w:tcPr>
            <w:tcW w:type="dxa" w:w="864"/>
          </w:tcPr>
          <w:p>
            <w:r>
              <w:t>24.1</w:t>
            </w:r>
          </w:p>
        </w:tc>
        <w:tc>
          <w:tcPr>
            <w:tcW w:type="dxa" w:w="864"/>
          </w:tcPr>
          <w:p>
            <w:r>
              <w:t>12.7</w:t>
            </w:r>
          </w:p>
        </w:tc>
        <w:tc>
          <w:tcPr>
            <w:tcW w:type="dxa" w:w="864"/>
          </w:tcPr>
          <w:p>
            <w:r>
              <w:t>5.7</w:t>
            </w:r>
          </w:p>
        </w:tc>
        <w:tc>
          <w:tcPr>
            <w:tcW w:type="dxa" w:w="864"/>
          </w:tcPr>
          <w:p>
            <w:r>
              <w:t>25.9</w:t>
            </w:r>
          </w:p>
        </w:tc>
        <w:tc>
          <w:tcPr>
            <w:tcW w:type="dxa" w:w="864"/>
          </w:tcPr>
          <w:p>
            <w:r>
              <w:t>0.056</w:t>
            </w:r>
          </w:p>
        </w:tc>
      </w:tr>
      <w:tr>
        <w:tc>
          <w:tcPr>
            <w:tcW w:type="dxa" w:w="864"/>
          </w:tcPr>
          <w:p>
            <w:r>
              <w:t>T2E</w:t>
            </w:r>
          </w:p>
        </w:tc>
        <w:tc>
          <w:tcPr>
            <w:tcW w:type="dxa" w:w="864"/>
          </w:tcPr>
          <w:p>
            <w:r>
              <w:t>Dolpap</w:t>
            </w:r>
          </w:p>
        </w:tc>
        <w:tc>
          <w:tcPr>
            <w:tcW w:type="dxa" w:w="864"/>
          </w:tcPr>
          <w:p>
            <w:r>
              <w:t>inner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25.5</w:t>
            </w:r>
          </w:p>
        </w:tc>
        <w:tc>
          <w:tcPr>
            <w:tcW w:type="dxa" w:w="864"/>
          </w:tcPr>
          <w:p>
            <w:r>
              <w:t>16.2</w:t>
            </w:r>
          </w:p>
        </w:tc>
        <w:tc>
          <w:tcPr>
            <w:tcW w:type="dxa" w:w="864"/>
          </w:tcPr>
          <w:p>
            <w:r>
              <w:t>8.6</w:t>
            </w:r>
          </w:p>
        </w:tc>
        <w:tc>
          <w:tcPr>
            <w:tcW w:type="dxa" w:w="864"/>
          </w:tcPr>
          <w:p>
            <w:r>
              <w:t>3.5</w:t>
            </w:r>
          </w:p>
        </w:tc>
        <w:tc>
          <w:tcPr>
            <w:tcW w:type="dxa" w:w="864"/>
          </w:tcPr>
          <w:p>
            <w:r>
              <w:t>7.0</w:t>
            </w:r>
          </w:p>
        </w:tc>
        <w:tc>
          <w:tcPr>
            <w:tcW w:type="dxa" w:w="864"/>
          </w:tcPr>
          <w:p>
            <w:r>
              <w:t>0.065</w:t>
            </w:r>
          </w:p>
        </w:tc>
      </w:tr>
      <w:tr>
        <w:tc>
          <w:tcPr>
            <w:tcW w:type="dxa" w:w="864"/>
          </w:tcPr>
          <w:p>
            <w:r>
              <w:t>T1E</w:t>
            </w:r>
          </w:p>
        </w:tc>
        <w:tc>
          <w:tcPr>
            <w:tcW w:type="dxa" w:w="864"/>
          </w:tcPr>
          <w:p>
            <w:r>
              <w:t>Rossella</w:t>
            </w:r>
          </w:p>
        </w:tc>
        <w:tc>
          <w:tcPr>
            <w:tcW w:type="dxa" w:w="864"/>
          </w:tcPr>
          <w:p>
            <w:r>
              <w:t>inner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27.8</w:t>
            </w:r>
          </w:p>
        </w:tc>
        <w:tc>
          <w:tcPr>
            <w:tcW w:type="dxa" w:w="864"/>
          </w:tcPr>
          <w:p>
            <w:r>
              <w:t>11.7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2.5</w:t>
            </w:r>
          </w:p>
        </w:tc>
        <w:tc>
          <w:tcPr>
            <w:tcW w:type="dxa" w:w="864"/>
          </w:tcPr>
          <w:p>
            <w:r>
              <w:t>9.0</w:t>
            </w:r>
          </w:p>
        </w:tc>
        <w:tc>
          <w:tcPr>
            <w:tcW w:type="dxa" w:w="864"/>
          </w:tcPr>
          <w:p>
            <w:r>
              <w:t>0.080</w:t>
            </w:r>
          </w:p>
        </w:tc>
      </w:tr>
      <w:tr>
        <w:tc>
          <w:tcPr>
            <w:tcW w:type="dxa" w:w="864"/>
          </w:tcPr>
          <w:p>
            <w:r>
              <w:t>C1EN</w:t>
            </w:r>
          </w:p>
        </w:tc>
        <w:tc>
          <w:tcPr>
            <w:tcW w:type="dxa" w:w="864"/>
          </w:tcPr>
          <w:p>
            <w:r>
              <w:t>Rossella</w:t>
            </w:r>
          </w:p>
        </w:tc>
        <w:tc>
          <w:tcPr>
            <w:tcW w:type="dxa" w:w="864"/>
          </w:tcPr>
          <w:p>
            <w:r>
              <w:t>inner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14.9</w:t>
            </w:r>
          </w:p>
        </w:tc>
        <w:tc>
          <w:tcPr>
            <w:tcW w:type="dxa" w:w="864"/>
          </w:tcPr>
          <w:p>
            <w:r>
              <w:t>10.9</w:t>
            </w:r>
          </w:p>
        </w:tc>
        <w:tc>
          <w:tcPr>
            <w:tcW w:type="dxa" w:w="864"/>
          </w:tcPr>
          <w:p>
            <w:r>
              <w:t>8.5</w:t>
            </w:r>
          </w:p>
        </w:tc>
        <w:tc>
          <w:tcPr>
            <w:tcW w:type="dxa" w:w="864"/>
          </w:tcPr>
          <w:p>
            <w:r>
              <w:t>6.5</w:t>
            </w:r>
          </w:p>
        </w:tc>
        <w:tc>
          <w:tcPr>
            <w:tcW w:type="dxa" w:w="864"/>
          </w:tcPr>
          <w:p>
            <w:r>
              <w:t>15.0</w:t>
            </w:r>
          </w:p>
        </w:tc>
        <w:tc>
          <w:tcPr>
            <w:tcW w:type="dxa" w:w="864"/>
          </w:tcPr>
          <w:p>
            <w:r>
              <w:t>0.059</w:t>
            </w:r>
          </w:p>
        </w:tc>
      </w:tr>
      <w:tr>
        <w:tc>
          <w:tcPr>
            <w:tcW w:type="dxa" w:w="864"/>
          </w:tcPr>
          <w:p>
            <w:r>
              <w:t>T2EN</w:t>
            </w:r>
          </w:p>
        </w:tc>
        <w:tc>
          <w:tcPr>
            <w:tcW w:type="dxa" w:w="864"/>
          </w:tcPr>
          <w:p>
            <w:r>
              <w:t>Rossella</w:t>
            </w:r>
          </w:p>
        </w:tc>
        <w:tc>
          <w:tcPr>
            <w:tcW w:type="dxa" w:w="864"/>
          </w:tcPr>
          <w:p>
            <w:r>
              <w:t>inner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12.6</w:t>
            </w:r>
          </w:p>
        </w:tc>
        <w:tc>
          <w:tcPr>
            <w:tcW w:type="dxa" w:w="864"/>
          </w:tcPr>
          <w:p>
            <w:r>
              <w:t>9.3</w:t>
            </w:r>
          </w:p>
        </w:tc>
        <w:tc>
          <w:tcPr>
            <w:tcW w:type="dxa" w:w="864"/>
          </w:tcPr>
          <w:p>
            <w:r>
              <w:t>6.7</w:t>
            </w:r>
          </w:p>
        </w:tc>
        <w:tc>
          <w:tcPr>
            <w:tcW w:type="dxa" w:w="864"/>
          </w:tcPr>
          <w:p>
            <w:r>
              <w:t>4.5</w:t>
            </w:r>
          </w:p>
        </w:tc>
        <w:tc>
          <w:tcPr>
            <w:tcW w:type="dxa" w:w="864"/>
          </w:tcPr>
          <w:p>
            <w:r>
              <w:t>12.9</w:t>
            </w:r>
          </w:p>
        </w:tc>
        <w:tc>
          <w:tcPr>
            <w:tcW w:type="dxa" w:w="864"/>
          </w:tcPr>
          <w:p>
            <w:r>
              <w:t>0.071</w:t>
            </w:r>
          </w:p>
        </w:tc>
      </w:tr>
      <w:tr>
        <w:tc>
          <w:tcPr>
            <w:tcW w:type="dxa" w:w="864"/>
          </w:tcPr>
          <w:p>
            <w:r>
              <w:t>T2E</w:t>
            </w:r>
          </w:p>
        </w:tc>
        <w:tc>
          <w:tcPr>
            <w:tcW w:type="dxa" w:w="864"/>
          </w:tcPr>
          <w:p>
            <w:r>
              <w:t>Rossella</w:t>
            </w:r>
          </w:p>
        </w:tc>
        <w:tc>
          <w:tcPr>
            <w:tcW w:type="dxa" w:w="864"/>
          </w:tcPr>
          <w:p>
            <w:r>
              <w:t>inner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11.6</w:t>
            </w:r>
          </w:p>
        </w:tc>
        <w:tc>
          <w:tcPr>
            <w:tcW w:type="dxa" w:w="864"/>
          </w:tcPr>
          <w:p>
            <w:r>
              <w:t>8.7</w:t>
            </w:r>
          </w:p>
        </w:tc>
        <w:tc>
          <w:tcPr>
            <w:tcW w:type="dxa" w:w="864"/>
          </w:tcPr>
          <w:p>
            <w:r>
              <w:t>5.8</w:t>
            </w:r>
          </w:p>
        </w:tc>
        <w:tc>
          <w:tcPr>
            <w:tcW w:type="dxa" w:w="864"/>
          </w:tcPr>
          <w:p>
            <w:r>
              <w:t>2.0</w:t>
            </w:r>
          </w:p>
        </w:tc>
        <w:tc>
          <w:tcPr>
            <w:tcW w:type="dxa" w:w="864"/>
          </w:tcPr>
          <w:p>
            <w:r>
              <w:t>10.8</w:t>
            </w:r>
          </w:p>
        </w:tc>
        <w:tc>
          <w:tcPr>
            <w:tcW w:type="dxa" w:w="864"/>
          </w:tcPr>
          <w:p>
            <w:r>
              <w:t>0.066</w:t>
            </w:r>
          </w:p>
        </w:tc>
      </w:tr>
      <w:tr>
        <w:tc>
          <w:tcPr>
            <w:tcW w:type="dxa" w:w="864"/>
          </w:tcPr>
          <w:p>
            <w:r>
              <w:t>C1E</w:t>
            </w:r>
          </w:p>
        </w:tc>
        <w:tc>
          <w:tcPr>
            <w:tcW w:type="dxa" w:w="864"/>
          </w:tcPr>
          <w:p>
            <w:r>
              <w:t>Rossella</w:t>
            </w:r>
          </w:p>
        </w:tc>
        <w:tc>
          <w:tcPr>
            <w:tcW w:type="dxa" w:w="864"/>
          </w:tcPr>
          <w:p>
            <w:r>
              <w:t>outer</w:t>
            </w:r>
          </w:p>
        </w:tc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23.6</w:t>
            </w:r>
          </w:p>
        </w:tc>
        <w:tc>
          <w:tcPr>
            <w:tcW w:type="dxa" w:w="864"/>
          </w:tcPr>
          <w:p>
            <w:r>
              <w:t>7.2</w:t>
            </w:r>
          </w:p>
        </w:tc>
        <w:tc>
          <w:tcPr>
            <w:tcW w:type="dxa" w:w="864"/>
          </w:tcPr>
          <w:p>
            <w:r>
              <w:t>1.2</w:t>
            </w:r>
          </w:p>
        </w:tc>
        <w:tc>
          <w:tcPr>
            <w:tcW w:type="dxa" w:w="864"/>
          </w:tcPr>
          <w:p>
            <w:r>
              <w:t>0.333</w:t>
            </w:r>
          </w:p>
        </w:tc>
        <w:tc>
          <w:tcPr>
            <w:tcW w:type="dxa" w:w="864"/>
          </w:tcPr>
          <w:p>
            <w:r>
              <w:t>12.5</w:t>
            </w:r>
          </w:p>
        </w:tc>
        <w:tc>
          <w:tcPr>
            <w:tcW w:type="dxa" w:w="864"/>
          </w:tcPr>
          <w:p>
            <w:r>
              <w:t>0.080</w:t>
            </w:r>
          </w:p>
        </w:tc>
      </w:tr>
      <w:tr>
        <w:tc>
          <w:tcPr>
            <w:tcW w:type="dxa" w:w="864"/>
          </w:tcPr>
          <w:p>
            <w:r>
              <w:t>T2EN</w:t>
            </w:r>
          </w:p>
        </w:tc>
        <w:tc>
          <w:tcPr>
            <w:tcW w:type="dxa" w:w="864"/>
          </w:tcPr>
          <w:p>
            <w:r>
              <w:t>Crosil 42</w:t>
            </w:r>
          </w:p>
        </w:tc>
        <w:tc>
          <w:tcPr>
            <w:tcW w:type="dxa" w:w="864"/>
          </w:tcPr>
          <w:p>
            <w:r>
              <w:t>outer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15.7</w:t>
            </w:r>
          </w:p>
        </w:tc>
        <w:tc>
          <w:tcPr>
            <w:tcW w:type="dxa" w:w="864"/>
          </w:tcPr>
          <w:p>
            <w:r>
              <w:t>7.0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0.600</w:t>
            </w:r>
          </w:p>
        </w:tc>
        <w:tc>
          <w:tcPr>
            <w:tcW w:type="dxa" w:w="864"/>
          </w:tcPr>
          <w:p>
            <w:r>
              <w:t>8.3</w:t>
            </w:r>
          </w:p>
        </w:tc>
        <w:tc>
          <w:tcPr>
            <w:tcW w:type="dxa" w:w="864"/>
          </w:tcPr>
          <w:p>
            <w:r>
              <w:t>0.072</w:t>
            </w:r>
          </w:p>
        </w:tc>
      </w:tr>
    </w:tbl>
    <w:p/>
    <w:p>
      <w:r>
        <w:t>The Rossella/U2E/outer configuration remained extreme at every threshold tested. Other configurations changed in absolute peak count with threshold, but the same high-instability group remained visible across the 1.0-2.0 cN/25 mm range. High peak count should not be read as identical to high mean release force; it describes instability of the force trace after baseline correction.</w:t>
      </w:r>
    </w:p>
    <w:p>
      <w:pPr>
        <w:pStyle w:val="Heading1"/>
      </w:pPr>
      <w:r>
        <w:t>S5. Exploratory Configuration-Level Statistics</w:t>
      </w:r>
    </w:p>
    <w:p>
      <w:r>
        <w:rPr>
          <w:b/>
        </w:rPr>
        <w:t>Table S4. Exploratory paired tests for the configuration-level peak-count descriptor at the default 1.4 cN/25 mm threshold.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Effect tested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Blocks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 value</w:t>
            </w:r>
          </w:p>
        </w:tc>
      </w:tr>
      <w:tr>
        <w:tc>
          <w:tcPr>
            <w:tcW w:type="dxa" w:w="1728"/>
          </w:tcPr>
          <w:p>
            <w:r>
              <w:t>liner paired within sealant-side blocks</w:t>
            </w:r>
          </w:p>
        </w:tc>
        <w:tc>
          <w:tcPr>
            <w:tcW w:type="dxa" w:w="1728"/>
          </w:tcPr>
          <w:p>
            <w:r>
              <w:t>Friedman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3.857</w:t>
            </w:r>
          </w:p>
        </w:tc>
        <w:tc>
          <w:tcPr>
            <w:tcW w:type="dxa" w:w="1728"/>
          </w:tcPr>
          <w:p>
            <w:r>
              <w:t>0.145</w:t>
            </w:r>
          </w:p>
        </w:tc>
      </w:tr>
      <w:tr>
        <w:tc>
          <w:tcPr>
            <w:tcW w:type="dxa" w:w="1728"/>
          </w:tcPr>
          <w:p>
            <w:r>
              <w:t>sealant paired within liner-side blocks</w:t>
            </w:r>
          </w:p>
        </w:tc>
        <w:tc>
          <w:tcPr>
            <w:tcW w:type="dxa" w:w="1728"/>
          </w:tcPr>
          <w:p>
            <w:r>
              <w:t>Friedman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4.599</w:t>
            </w:r>
          </w:p>
        </w:tc>
        <w:tc>
          <w:tcPr>
            <w:tcW w:type="dxa" w:w="1728"/>
          </w:tcPr>
          <w:p>
            <w:r>
              <w:t>0.596</w:t>
            </w:r>
          </w:p>
        </w:tc>
      </w:tr>
      <w:tr>
        <w:tc>
          <w:tcPr>
            <w:tcW w:type="dxa" w:w="1728"/>
          </w:tcPr>
          <w:p>
            <w:r>
              <w:t>side paired within sealant-liner blocks</w:t>
            </w:r>
          </w:p>
        </w:tc>
        <w:tc>
          <w:tcPr>
            <w:tcW w:type="dxa" w:w="1728"/>
          </w:tcPr>
          <w:p>
            <w:r>
              <w:t>Wilcoxon signed-rank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99.500</w:t>
            </w:r>
          </w:p>
        </w:tc>
        <w:tc>
          <w:tcPr>
            <w:tcW w:type="dxa" w:w="1728"/>
          </w:tcPr>
          <w:p>
            <w:r>
              <w:t>0.837</w:t>
            </w:r>
          </w:p>
        </w:tc>
      </w:tr>
    </w:tbl>
    <w:p/>
    <w:p>
      <w:r>
        <w:t>No single main factor by itself explained the peak-count descriptor at the configuration-mean level. This supports the interpretation used in the manuscript: slip-stick tendency is governed by the specific sealant-liner-side configuration rather than by liner type, sealant type or liner side alone.</w:t>
      </w:r>
    </w:p>
    <w:p>
      <w:pPr>
        <w:pStyle w:val="Heading1"/>
      </w:pPr>
      <w:r>
        <w:t>S6. Machine-Readable Supplementary Data</w:t>
      </w:r>
    </w:p>
    <w:p>
      <w:pPr>
        <w:pStyle w:val="ListBullet"/>
      </w:pPr>
      <w:r>
        <w:t>data/threshold_robustness.csv: threshold-sensitivity summary.</w:t>
      </w:r>
    </w:p>
    <w:p>
      <w:pPr>
        <w:pStyle w:val="ListBullet"/>
      </w:pPr>
      <w:r>
        <w:t>data/top_peak_configs.csv: ranked configuration summary by default-threshold peak count.</w:t>
      </w:r>
    </w:p>
    <w:p>
      <w:pPr>
        <w:pStyle w:val="ListBullet"/>
      </w:pPr>
      <w:r>
        <w:t>data/paired_configuration_tests.csv: exploratory paired tests on configuration-level means.</w:t>
      </w:r>
    </w:p>
    <w:p>
      <w:pPr>
        <w:pStyle w:val="ListBullet"/>
      </w:pPr>
      <w:r>
        <w:t>data/configuration_summary.csv: configuration-level release-force, noise and peak-count summaries.</w:t>
      </w:r>
    </w:p>
    <w:p>
      <w:pPr>
        <w:pStyle w:val="ListBullet"/>
      </w:pPr>
      <w:r>
        <w:t>data/replicate_level.csv: replicate-level processed metrics.</w:t>
      </w:r>
    </w:p>
    <w:p>
      <w:pPr>
        <w:pStyle w:val="ListBullet"/>
      </w:pPr>
      <w:r>
        <w:t>data/summary.json: machine-readable summary of the analysis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