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widowControl/>
      </w:pPr>
      <w:r>
        <w:t>Aula EDA para aprender arquitectura orientada a eventos</w:t>
      </w:r>
    </w:p>
    <w:p>
      <w:pPr>
        <w:keepLines/>
        <w:widowControl/>
      </w:pPr>
      <w:r>
        <w:t>Documento explicativo del proyecto y guía de práctica</w:t>
      </w:r>
    </w:p>
    <w:p>
      <w:pPr>
        <w:keepLines/>
        <w:widowControl/>
      </w:pPr>
      <w:r>
        <w:t>Juan Carlos Medina Lujan</w:t>
        <w:br/>
        <w:t>Ingeniería de Sistemas · Universidad Nacional de Ingeniería</w:t>
        <w:br/>
        <w:t>30 de septiembre de 2026</w:t>
      </w:r>
    </w:p>
    <w:p>
      <w:pPr>
        <w:pStyle w:val="Heading1"/>
        <w:keepLines/>
        <w:widowControl/>
      </w:pPr>
      <w:r>
        <w:t>Propósito del proyecto</w:t>
      </w:r>
    </w:p>
    <w:p>
      <w:pPr>
        <w:keepLines/>
        <w:widowControl/>
      </w:pPr>
      <w:r>
        <w:t>Aula EDA permite aprender cómo varios componentes colaboran a partir de hechos publicados. El alumno crea un pedido y observa cómo Inventario, Envíos y Notificaciones consumen eventos mediante un broker. Puede avanzar una entrega a la vez, ejecutar el flujo automáticamente y provocar fallos para comprobar la recuperación.</w:t>
      </w:r>
    </w:p>
    <w:p>
      <w:pPr>
        <w:keepLines/>
        <w:widowControl/>
      </w:pPr>
      <w:r>
        <w:t>La aplicación es pequeña y funciona localmente con Python y SQLite, sin instalar paquetes adicionales. La arquitectura orientada a eventos se ejecuta en el backend; la interfaz permite inspeccionar sus resultados. Al terminar la práctica, el alumno debería distinguir un comando de un evento, identificar productores y consumidores y explicar por qué publicar un hecho no actualiza inmediatamente todo el sistema.</w:t>
      </w:r>
    </w:p>
    <w:p>
      <w:pPr>
        <w:pStyle w:val="Heading1"/>
        <w:keepLines/>
        <w:widowControl/>
      </w:pPr>
      <w:r>
        <w:t>Relación con el material del curso</w:t>
      </w:r>
    </w:p>
    <w:p>
      <w:pPr>
        <w:keepLines/>
        <w:widowControl/>
      </w:pPr>
      <w:r>
        <w:t>El material Sesión 3 Arquitectura orientada a eventos, del docente Carlos Ramos Montes, define EDA como la comunicación mediante producción, detección, consumo y reacción a eventos. Su ejemplo de comercio electrónico motiva el escenario del laboratorio: una compra provoca varias tareas y el envío depende del pago y del inventario.</w:t>
      </w:r>
    </w:p>
    <w:p>
      <w:pPr>
        <w:keepLines/>
        <w:widowControl/>
      </w:pPr>
      <w:r>
        <w:t>El laboratorio desarrolla las ideas centrales del material con una escala apropiada para el aprendizaje. Utiliza publicación y suscripción, consumidores independientes, correlación, persistencia, reintentos, monitorización y pruebas. El almacenamiento de un historial no se presenta como event sourcing completo; esa técnica exigiría reconstruir el estado a partir de los eventos.</w:t>
      </w:r>
    </w:p>
    <w:p>
      <w:pPr>
        <w:pStyle w:val="Heading1"/>
        <w:keepLines/>
        <w:widowControl/>
      </w:pPr>
      <w:r>
        <w:t>Caso de uso y resultado esperado</w:t>
      </w:r>
    </w:p>
    <w:p>
      <w:pPr>
        <w:keepLines/>
        <w:widowControl/>
      </w:pPr>
      <w:r>
        <w:t>Un alumno pide dos cuadernos. Pedidos registra la solicitud y publica PedidoCreado. Inventario consume ese hecho, reserva dos unidades y publica InventarioReservado. El alumno simula el pago y Pagos publica PagoCompletado. Envíos espera consumir ambos hechos del mismo pedido, inicia el envío y publica EnvioIniciado. Notificaciones reacciona a la creación y al envío con mensajes ficticios.</w:t>
      </w:r>
    </w:p>
    <w:p>
      <w:pPr>
        <w:keepLines/>
        <w:widowControl/>
      </w:pPr>
      <w:r>
        <w:t>Si la cantidad supera el stock disponible, Inventario publica PedidoRechazado. El pedido queda rechazado y la aplicación impide pagarlo o enviarlo. El stock inicial es de ocho cuadernos, doce lapiceros y tres mochilas.</w:t>
      </w:r>
    </w:p>
    <w:p>
      <w:pPr>
        <w:pStyle w:val="Heading1"/>
        <w:keepLines/>
        <w:widowControl/>
      </w:pPr>
      <w:r>
        <w:t>Componentes de la arquitectura</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cantSplit/>
        </w:trPr>
        <w:tc>
          <w:tcPr>
            <w:tcW w:type="dxa" w:w="1296"/>
            <w:shd w:fill="E9EDF4"/>
          </w:tcPr>
          <w:p>
            <w:r>
              <w:rPr>
                <w:b/>
                <w:color w:val="000000"/>
                <w:sz w:val="20"/>
              </w:rPr>
              <w:t>Componente</w:t>
            </w:r>
          </w:p>
        </w:tc>
        <w:tc>
          <w:tcPr>
            <w:tcW w:type="dxa" w:w="2448"/>
            <w:shd w:fill="E9EDF4"/>
          </w:tcPr>
          <w:p>
            <w:r>
              <w:rPr>
                <w:b/>
                <w:color w:val="000000"/>
                <w:sz w:val="20"/>
              </w:rPr>
              <w:t>Responsabilidad</w:t>
            </w:r>
          </w:p>
        </w:tc>
        <w:tc>
          <w:tcPr>
            <w:tcW w:type="dxa" w:w="2232"/>
            <w:shd w:fill="E9EDF4"/>
          </w:tcPr>
          <w:p>
            <w:r>
              <w:rPr>
                <w:b/>
                <w:color w:val="000000"/>
                <w:sz w:val="20"/>
              </w:rPr>
              <w:t>Consume</w:t>
            </w:r>
          </w:p>
        </w:tc>
        <w:tc>
          <w:tcPr>
            <w:tcW w:type="dxa" w:w="3888"/>
            <w:shd w:fill="E9EDF4"/>
          </w:tcPr>
          <w:p>
            <w:r>
              <w:rPr>
                <w:b/>
                <w:color w:val="000000"/>
                <w:sz w:val="20"/>
              </w:rPr>
              <w:t>Publica</w:t>
            </w:r>
          </w:p>
        </w:tc>
      </w:tr>
      <w:tr>
        <w:trPr>
          <w:cantSplit/>
        </w:trPr>
        <w:tc>
          <w:tcPr>
            <w:tcW w:type="dxa" w:w="1296"/>
          </w:tcPr>
          <w:p>
            <w:pPr>
              <w:spacing w:after="80"/>
            </w:pPr>
            <w:r>
              <w:rPr>
                <w:sz w:val="20"/>
              </w:rPr>
              <w:t>Pedidos</w:t>
            </w:r>
          </w:p>
        </w:tc>
        <w:tc>
          <w:tcPr>
            <w:tcW w:type="dxa" w:w="2448"/>
          </w:tcPr>
          <w:p>
            <w:pPr>
              <w:spacing w:after="80"/>
            </w:pPr>
            <w:r>
              <w:rPr>
                <w:sz w:val="20"/>
              </w:rPr>
              <w:t>Registra una solicitud</w:t>
            </w:r>
          </w:p>
        </w:tc>
        <w:tc>
          <w:tcPr>
            <w:tcW w:type="dxa" w:w="2232"/>
          </w:tcPr>
          <w:p>
            <w:pPr>
              <w:spacing w:after="80"/>
            </w:pPr>
            <w:r>
              <w:rPr>
                <w:sz w:val="20"/>
              </w:rPr>
              <w:t>Comando de crear pedido</w:t>
            </w:r>
          </w:p>
        </w:tc>
        <w:tc>
          <w:tcPr>
            <w:tcW w:type="dxa" w:w="3888"/>
          </w:tcPr>
          <w:p>
            <w:pPr>
              <w:spacing w:after="80"/>
            </w:pPr>
            <w:r>
              <w:rPr>
                <w:sz w:val="20"/>
              </w:rPr>
              <w:t>PedidoCreado</w:t>
            </w:r>
          </w:p>
        </w:tc>
      </w:tr>
      <w:tr>
        <w:trPr>
          <w:cantSplit/>
        </w:trPr>
        <w:tc>
          <w:tcPr>
            <w:tcW w:type="dxa" w:w="1296"/>
          </w:tcPr>
          <w:p>
            <w:pPr>
              <w:spacing w:after="80"/>
            </w:pPr>
            <w:r>
              <w:rPr>
                <w:sz w:val="20"/>
              </w:rPr>
              <w:t>Pagos</w:t>
            </w:r>
          </w:p>
        </w:tc>
        <w:tc>
          <w:tcPr>
            <w:tcW w:type="dxa" w:w="2448"/>
          </w:tcPr>
          <w:p>
            <w:pPr>
              <w:spacing w:after="80"/>
            </w:pPr>
            <w:r>
              <w:rPr>
                <w:sz w:val="20"/>
              </w:rPr>
              <w:t>Registra un pago simulado</w:t>
            </w:r>
          </w:p>
        </w:tc>
        <w:tc>
          <w:tcPr>
            <w:tcW w:type="dxa" w:w="2232"/>
          </w:tcPr>
          <w:p>
            <w:pPr>
              <w:spacing w:after="80"/>
            </w:pPr>
            <w:r>
              <w:rPr>
                <w:sz w:val="20"/>
              </w:rPr>
              <w:t>Comando de pagar</w:t>
            </w:r>
          </w:p>
        </w:tc>
        <w:tc>
          <w:tcPr>
            <w:tcW w:type="dxa" w:w="3888"/>
          </w:tcPr>
          <w:p>
            <w:pPr>
              <w:spacing w:after="80"/>
            </w:pPr>
            <w:r>
              <w:rPr>
                <w:sz w:val="20"/>
              </w:rPr>
              <w:t>PagoCompletado</w:t>
            </w:r>
          </w:p>
        </w:tc>
      </w:tr>
      <w:tr>
        <w:trPr>
          <w:cantSplit/>
        </w:trPr>
        <w:tc>
          <w:tcPr>
            <w:tcW w:type="dxa" w:w="1296"/>
          </w:tcPr>
          <w:p>
            <w:pPr>
              <w:spacing w:after="80"/>
            </w:pPr>
            <w:r>
              <w:rPr>
                <w:sz w:val="20"/>
              </w:rPr>
              <w:t>Broker</w:t>
            </w:r>
          </w:p>
        </w:tc>
        <w:tc>
          <w:tcPr>
            <w:tcW w:type="dxa" w:w="2448"/>
          </w:tcPr>
          <w:p>
            <w:pPr>
              <w:spacing w:after="80"/>
            </w:pPr>
            <w:r>
              <w:rPr>
                <w:sz w:val="20"/>
              </w:rPr>
              <w:t>Persiste y distribuye entregas</w:t>
            </w:r>
          </w:p>
        </w:tc>
        <w:tc>
          <w:tcPr>
            <w:tcW w:type="dxa" w:w="2232"/>
          </w:tcPr>
          <w:p>
            <w:pPr>
              <w:spacing w:after="80"/>
            </w:pPr>
            <w:r>
              <w:rPr>
                <w:sz w:val="20"/>
              </w:rPr>
              <w:t>Publicaciones</w:t>
            </w:r>
          </w:p>
        </w:tc>
        <w:tc>
          <w:tcPr>
            <w:tcW w:type="dxa" w:w="3888"/>
          </w:tcPr>
          <w:p>
            <w:pPr>
              <w:spacing w:after="80"/>
            </w:pPr>
            <w:r>
              <w:rPr>
                <w:sz w:val="20"/>
              </w:rPr>
              <w:t>Entregas a suscriptores</w:t>
            </w:r>
          </w:p>
        </w:tc>
      </w:tr>
      <w:tr>
        <w:trPr>
          <w:cantSplit/>
        </w:trPr>
        <w:tc>
          <w:tcPr>
            <w:tcW w:type="dxa" w:w="1296"/>
          </w:tcPr>
          <w:p>
            <w:pPr>
              <w:spacing w:after="80"/>
            </w:pPr>
            <w:r>
              <w:rPr>
                <w:sz w:val="20"/>
              </w:rPr>
              <w:t>Inventario</w:t>
            </w:r>
          </w:p>
        </w:tc>
        <w:tc>
          <w:tcPr>
            <w:tcW w:type="dxa" w:w="2448"/>
          </w:tcPr>
          <w:p>
            <w:pPr>
              <w:spacing w:after="80"/>
            </w:pPr>
            <w:r>
              <w:rPr>
                <w:sz w:val="20"/>
              </w:rPr>
              <w:t>Reserva o rechaza unidades</w:t>
            </w:r>
          </w:p>
        </w:tc>
        <w:tc>
          <w:tcPr>
            <w:tcW w:type="dxa" w:w="2232"/>
          </w:tcPr>
          <w:p>
            <w:pPr>
              <w:spacing w:after="80"/>
            </w:pPr>
            <w:r>
              <w:rPr>
                <w:sz w:val="20"/>
              </w:rPr>
              <w:t>PedidoCreado</w:t>
            </w:r>
          </w:p>
        </w:tc>
        <w:tc>
          <w:tcPr>
            <w:tcW w:type="dxa" w:w="3888"/>
          </w:tcPr>
          <w:p>
            <w:pPr>
              <w:spacing w:after="80"/>
            </w:pPr>
            <w:r>
              <w:rPr>
                <w:sz w:val="20"/>
              </w:rPr>
              <w:t>InventarioReservado o PedidoRechazado</w:t>
            </w:r>
          </w:p>
        </w:tc>
      </w:tr>
      <w:tr>
        <w:trPr>
          <w:cantSplit/>
        </w:trPr>
        <w:tc>
          <w:tcPr>
            <w:tcW w:type="dxa" w:w="1296"/>
          </w:tcPr>
          <w:p>
            <w:pPr>
              <w:spacing w:after="80"/>
            </w:pPr>
            <w:r>
              <w:rPr>
                <w:sz w:val="20"/>
              </w:rPr>
              <w:t>Envíos</w:t>
            </w:r>
          </w:p>
        </w:tc>
        <w:tc>
          <w:tcPr>
            <w:tcW w:type="dxa" w:w="2448"/>
          </w:tcPr>
          <w:p>
            <w:pPr>
              <w:spacing w:after="80"/>
            </w:pPr>
            <w:r>
              <w:rPr>
                <w:sz w:val="20"/>
              </w:rPr>
              <w:t>Correlaciona reserva y pago</w:t>
            </w:r>
          </w:p>
        </w:tc>
        <w:tc>
          <w:tcPr>
            <w:tcW w:type="dxa" w:w="2232"/>
          </w:tcPr>
          <w:p>
            <w:pPr>
              <w:spacing w:after="80"/>
            </w:pPr>
            <w:r>
              <w:rPr>
                <w:sz w:val="20"/>
              </w:rPr>
              <w:t>InventarioReservado y PagoCompletado</w:t>
            </w:r>
          </w:p>
        </w:tc>
        <w:tc>
          <w:tcPr>
            <w:tcW w:type="dxa" w:w="3888"/>
          </w:tcPr>
          <w:p>
            <w:pPr>
              <w:spacing w:after="80"/>
            </w:pPr>
            <w:r>
              <w:rPr>
                <w:sz w:val="20"/>
              </w:rPr>
              <w:t>EnvioIniciado</w:t>
            </w:r>
          </w:p>
        </w:tc>
      </w:tr>
      <w:tr>
        <w:trPr>
          <w:cantSplit/>
        </w:trPr>
        <w:tc>
          <w:tcPr>
            <w:tcW w:type="dxa" w:w="1296"/>
          </w:tcPr>
          <w:p>
            <w:pPr>
              <w:spacing w:after="80"/>
            </w:pPr>
            <w:r>
              <w:rPr>
                <w:sz w:val="20"/>
              </w:rPr>
              <w:t>Notificaciones</w:t>
            </w:r>
          </w:p>
        </w:tc>
        <w:tc>
          <w:tcPr>
            <w:tcW w:type="dxa" w:w="2448"/>
          </w:tcPr>
          <w:p>
            <w:pPr>
              <w:spacing w:after="80"/>
            </w:pPr>
            <w:r>
              <w:rPr>
                <w:sz w:val="20"/>
              </w:rPr>
              <w:t>Genera mensajes ficticios</w:t>
            </w:r>
          </w:p>
        </w:tc>
        <w:tc>
          <w:tcPr>
            <w:tcW w:type="dxa" w:w="2232"/>
          </w:tcPr>
          <w:p>
            <w:pPr>
              <w:spacing w:after="80"/>
            </w:pPr>
            <w:r>
              <w:rPr>
                <w:sz w:val="20"/>
              </w:rPr>
              <w:t>PedidoCreado, PedidoRechazado y EnvioIniciado</w:t>
            </w:r>
          </w:p>
        </w:tc>
        <w:tc>
          <w:tcPr>
            <w:tcW w:type="dxa" w:w="3888"/>
          </w:tcPr>
          <w:p>
            <w:pPr>
              <w:spacing w:after="80"/>
            </w:pPr>
            <w:r>
              <w:rPr>
                <w:sz w:val="20"/>
              </w:rPr>
              <w:t>Ninguno</w:t>
            </w:r>
          </w:p>
        </w:tc>
      </w:tr>
    </w:tbl>
    <w:p>
      <w:pPr>
        <w:keepLines/>
        <w:widowControl/>
      </w:pPr>
      <w:r>
        <w:t>Todos los productores publican en el broker. Este guarda una entrega separada para cada consumidor interesado. Inventario y Envíos también pueden producir eventos: los roles de productor y consumidor dependen de cada interacción. Los consumidores no se llaman directamente entre sí.</w:t>
      </w:r>
    </w:p>
    <w:p>
      <w:pPr>
        <w:pStyle w:val="Heading1"/>
        <w:keepLines/>
        <w:widowControl/>
      </w:pPr>
      <w:r>
        <w:t>Contrato de un evento</w:t>
      </w:r>
    </w:p>
    <w:tbl>
      <w:tblPr>
        <w:tblStyle w:val="TableGrid"/>
        <w:tblW w:type="auto" w:w="0"/>
        <w:tblLayout w:type="fixed"/>
        <w:tblLook w:firstColumn="1" w:firstRow="1" w:lastColumn="0" w:lastRow="0" w:noHBand="0" w:noVBand="1" w:val="04A0"/>
      </w:tblPr>
      <w:tblGrid>
        <w:gridCol w:w="4968"/>
        <w:gridCol w:w="4968"/>
      </w:tblGrid>
      <w:tr>
        <w:trPr>
          <w:tblHeader/>
          <w:cantSplit/>
        </w:trPr>
        <w:tc>
          <w:tcPr>
            <w:tcW w:type="dxa" w:w="2016"/>
            <w:shd w:fill="E9EDF4"/>
          </w:tcPr>
          <w:p>
            <w:r>
              <w:rPr>
                <w:b/>
                <w:color w:val="000000"/>
                <w:sz w:val="20"/>
              </w:rPr>
              <w:t>Campo</w:t>
            </w:r>
          </w:p>
        </w:tc>
        <w:tc>
          <w:tcPr>
            <w:tcW w:type="dxa" w:w="7848"/>
            <w:shd w:fill="E9EDF4"/>
          </w:tcPr>
          <w:p>
            <w:r>
              <w:rPr>
                <w:b/>
                <w:color w:val="000000"/>
                <w:sz w:val="20"/>
              </w:rPr>
              <w:t>Significado</w:t>
            </w:r>
          </w:p>
        </w:tc>
      </w:tr>
      <w:tr>
        <w:trPr>
          <w:cantSplit/>
        </w:trPr>
        <w:tc>
          <w:tcPr>
            <w:tcW w:type="dxa" w:w="2016"/>
          </w:tcPr>
          <w:p>
            <w:pPr>
              <w:spacing w:after="80"/>
            </w:pPr>
            <w:r>
              <w:rPr>
                <w:sz w:val="20"/>
              </w:rPr>
              <w:t>id</w:t>
            </w:r>
          </w:p>
        </w:tc>
        <w:tc>
          <w:tcPr>
            <w:tcW w:type="dxa" w:w="7848"/>
          </w:tcPr>
          <w:p>
            <w:pPr>
              <w:spacing w:after="80"/>
            </w:pPr>
            <w:r>
              <w:rPr>
                <w:sz w:val="20"/>
              </w:rPr>
              <w:t>UUID único del evento.</w:t>
            </w:r>
          </w:p>
        </w:tc>
      </w:tr>
      <w:tr>
        <w:trPr>
          <w:cantSplit/>
        </w:trPr>
        <w:tc>
          <w:tcPr>
            <w:tcW w:type="dxa" w:w="2016"/>
          </w:tcPr>
          <w:p>
            <w:pPr>
              <w:spacing w:after="80"/>
            </w:pPr>
            <w:r>
              <w:rPr>
                <w:sz w:val="20"/>
              </w:rPr>
              <w:t>type</w:t>
            </w:r>
          </w:p>
        </w:tc>
        <w:tc>
          <w:tcPr>
            <w:tcW w:type="dxa" w:w="7848"/>
          </w:tcPr>
          <w:p>
            <w:pPr>
              <w:spacing w:after="80"/>
            </w:pPr>
            <w:r>
              <w:rPr>
                <w:sz w:val="20"/>
              </w:rPr>
              <w:t>Nombre del hecho ocurrido, por ejemplo PedidoCreado.</w:t>
            </w:r>
          </w:p>
        </w:tc>
      </w:tr>
      <w:tr>
        <w:trPr>
          <w:cantSplit/>
        </w:trPr>
        <w:tc>
          <w:tcPr>
            <w:tcW w:type="dxa" w:w="2016"/>
          </w:tcPr>
          <w:p>
            <w:pPr>
              <w:spacing w:after="80"/>
            </w:pPr>
            <w:r>
              <w:rPr>
                <w:sz w:val="20"/>
              </w:rPr>
              <w:t>producer</w:t>
            </w:r>
          </w:p>
        </w:tc>
        <w:tc>
          <w:tcPr>
            <w:tcW w:type="dxa" w:w="7848"/>
          </w:tcPr>
          <w:p>
            <w:pPr>
              <w:spacing w:after="80"/>
            </w:pPr>
            <w:r>
              <w:rPr>
                <w:sz w:val="20"/>
              </w:rPr>
              <w:t>Componente que publica el hecho.</w:t>
            </w:r>
          </w:p>
        </w:tc>
      </w:tr>
      <w:tr>
        <w:trPr>
          <w:cantSplit/>
        </w:trPr>
        <w:tc>
          <w:tcPr>
            <w:tcW w:type="dxa" w:w="2016"/>
          </w:tcPr>
          <w:p>
            <w:pPr>
              <w:spacing w:after="80"/>
            </w:pPr>
            <w:r>
              <w:rPr>
                <w:sz w:val="20"/>
              </w:rPr>
              <w:t>correlation_id</w:t>
            </w:r>
          </w:p>
        </w:tc>
        <w:tc>
          <w:tcPr>
            <w:tcW w:type="dxa" w:w="7848"/>
          </w:tcPr>
          <w:p>
            <w:pPr>
              <w:spacing w:after="80"/>
            </w:pPr>
            <w:r>
              <w:rPr>
                <w:sz w:val="20"/>
              </w:rPr>
              <w:t>UUID del pedido; permite relacionar reserva, pago y envío.</w:t>
            </w:r>
          </w:p>
        </w:tc>
      </w:tr>
      <w:tr>
        <w:trPr>
          <w:cantSplit/>
        </w:trPr>
        <w:tc>
          <w:tcPr>
            <w:tcW w:type="dxa" w:w="2016"/>
          </w:tcPr>
          <w:p>
            <w:pPr>
              <w:spacing w:after="80"/>
            </w:pPr>
            <w:r>
              <w:rPr>
                <w:sz w:val="20"/>
              </w:rPr>
              <w:t>occurred_at</w:t>
            </w:r>
          </w:p>
        </w:tc>
        <w:tc>
          <w:tcPr>
            <w:tcW w:type="dxa" w:w="7848"/>
          </w:tcPr>
          <w:p>
            <w:pPr>
              <w:spacing w:after="80"/>
            </w:pPr>
            <w:r>
              <w:rPr>
                <w:sz w:val="20"/>
              </w:rPr>
              <w:t>Marca de tiempo UTC en formato ISO 8601.</w:t>
            </w:r>
          </w:p>
        </w:tc>
      </w:tr>
      <w:tr>
        <w:trPr>
          <w:cantSplit/>
        </w:trPr>
        <w:tc>
          <w:tcPr>
            <w:tcW w:type="dxa" w:w="2016"/>
          </w:tcPr>
          <w:p>
            <w:pPr>
              <w:spacing w:after="80"/>
            </w:pPr>
            <w:r>
              <w:rPr>
                <w:sz w:val="20"/>
              </w:rPr>
              <w:t>version</w:t>
            </w:r>
          </w:p>
        </w:tc>
        <w:tc>
          <w:tcPr>
            <w:tcW w:type="dxa" w:w="7848"/>
          </w:tcPr>
          <w:p>
            <w:pPr>
              <w:spacing w:after="80"/>
            </w:pPr>
            <w:r>
              <w:rPr>
                <w:sz w:val="20"/>
              </w:rPr>
              <w:t>Versión del contrato; se utiliza 1.</w:t>
            </w:r>
          </w:p>
        </w:tc>
      </w:tr>
      <w:tr>
        <w:trPr>
          <w:cantSplit/>
        </w:trPr>
        <w:tc>
          <w:tcPr>
            <w:tcW w:type="dxa" w:w="2016"/>
          </w:tcPr>
          <w:p>
            <w:pPr>
              <w:spacing w:after="80"/>
            </w:pPr>
            <w:r>
              <w:rPr>
                <w:sz w:val="20"/>
              </w:rPr>
              <w:t>payload</w:t>
            </w:r>
          </w:p>
        </w:tc>
        <w:tc>
          <w:tcPr>
            <w:tcW w:type="dxa" w:w="7848"/>
          </w:tcPr>
          <w:p>
            <w:pPr>
              <w:spacing w:after="80"/>
            </w:pPr>
            <w:r>
              <w:rPr>
                <w:sz w:val="20"/>
              </w:rPr>
              <w:t>Datos necesarios para reaccionar: producto, cantidad, cliente o mensaje.</w:t>
            </w:r>
          </w:p>
        </w:tc>
      </w:tr>
    </w:tbl>
    <w:p>
      <w:pPr>
        <w:keepLines/>
        <w:widowControl/>
      </w:pPr>
      <w:r>
        <w:t>El comando Crear pedido solicita que ocurra algo. PedidoCreado comunica que la solicitud ya fue registrada. En el código, publicar inserta un nuevo registro y no modifica eventos anteriores. La interfaz muestra además seq, la posición del evento en el historial local.</w:t>
      </w:r>
    </w:p>
    <w:p>
      <w:pPr>
        <w:pStyle w:val="Heading1"/>
        <w:keepLines/>
        <w:widowControl/>
      </w:pPr>
      <w:r>
        <w:t>Tecnologías y estructura</w:t>
      </w:r>
    </w:p>
    <w:p>
      <w:pPr>
        <w:keepLines/>
        <w:widowControl/>
      </w:pPr>
      <w:r>
        <w:t>Python 3.10 o superior ejecuta la lógica, el servidor HTTP y el trabajador automático. SQLite conserva pedidos, productos, eventos, entregas y trazas. HTML, CSS y JavaScript implementan la interfaz. La biblioteca estándar de Python es suficiente y unittest ejecuta las pruebas.</w:t>
      </w:r>
    </w:p>
    <w:p>
      <w:pPr>
        <w:keepLines/>
        <w:widowControl/>
      </w:pPr>
      <w:r>
        <w:t>server.py contiene la API y el servidor. eda/broker.py implementa publicación, suscripciones y reintentos. eda/application.py contiene los productores y consultas. eda/consumers.py registra los consumidores. web contiene la interfaz y tests contiene las pruebas de comportamiento.</w:t>
      </w:r>
    </w:p>
    <w:p>
      <w:pPr>
        <w:pStyle w:val="Heading1"/>
        <w:keepLines/>
        <w:widowControl/>
      </w:pPr>
      <w:r>
        <w:t>Cómo se ejecuta el flujo</w:t>
      </w:r>
    </w:p>
    <w:p>
      <w:pPr>
        <w:keepLines/>
        <w:widowControl/>
      </w:pPr>
      <w:r>
        <w:t>1. Crear pedido valida el cliente, producto y cantidad. En una transacción se guarda el pedido, se publica PedidoCreado y se crean las entregas para Inventario y Notificaciones.</w:t>
      </w:r>
    </w:p>
    <w:p>
      <w:pPr>
        <w:keepLines/>
        <w:widowControl/>
      </w:pPr>
      <w:r>
        <w:t>2. Procesar una entrega toma una tarea pendiente. El consumidor de Inventario descuenta stock si alcanza y publica InventarioReservado. El pedido queda reservado.</w:t>
      </w:r>
    </w:p>
    <w:p>
      <w:pPr>
        <w:keepLines/>
        <w:widowControl/>
      </w:pPr>
      <w:r>
        <w:t>3. Envíos consume la reserva y guarda que recibió esa condición. El envío todavía no inicia porque falta el pago.</w:t>
      </w:r>
    </w:p>
    <w:p>
      <w:pPr>
        <w:keepLines/>
        <w:widowControl/>
      </w:pPr>
      <w:r>
        <w:t>4. Simular pago solo acepta pedidos reservados. Registra el estado pagado y publica PagoCompletado; un segundo pago es rechazado.</w:t>
      </w:r>
    </w:p>
    <w:p>
      <w:pPr>
        <w:keepLines/>
        <w:widowControl/>
      </w:pPr>
      <w:r>
        <w:t>5. Envíos consume el pago. Cuando su estado guarda reserva y pago para el mismo correlation_id, publica EnvioIniciado una sola vez.</w:t>
      </w:r>
    </w:p>
    <w:p>
      <w:pPr>
        <w:keepLines/>
        <w:widowControl/>
      </w:pPr>
      <w:r>
        <w:t>6. Notificaciones consume EnvioIniciado y registra un mensaje. El pedido aparece con estado Envío iniciado.</w:t>
      </w:r>
    </w:p>
    <w:p>
      <w:pPr>
        <w:pStyle w:val="Heading1"/>
        <w:keepLines/>
        <w:widowControl/>
      </w:pPr>
      <w:r>
        <w:t>Coreografía y consistencia eventual</w:t>
      </w:r>
    </w:p>
    <w:p>
      <w:pPr>
        <w:keepLines/>
        <w:widowControl/>
      </w:pPr>
      <w:r>
        <w:t>Cada consumidor reacciona a los tipos de eventos a los que está suscrito. No existe un coordinador de negocio que llame a Inventario, Envíos y Notificaciones en secuencia. El broker decide qué entrega ejecutar, pero la regla de envío pertenece a Envíos. Este diseño corresponde a una coreografía con correlación local.</w:t>
      </w:r>
    </w:p>
    <w:p>
      <w:pPr>
        <w:keepLines/>
        <w:widowControl/>
      </w:pPr>
      <w:r>
        <w:t>Entre publicar y consumir puede existir un intervalo. En modo paso a paso, el alumno controla esa diferencia: un pedido ya puede existir mientras el inventario todavía no fue actualizado. El modo automático procesa una entrega cada 0,6 segundos y la interfaz consulta el estado cada 0,8 segundos. Esos intervalos hacen observable la consistencia eventual.</w:t>
      </w:r>
    </w:p>
    <w:p>
      <w:pPr>
        <w:pStyle w:val="Heading1"/>
        <w:keepLines/>
        <w:widowControl/>
      </w:pPr>
      <w:r>
        <w:t>Persistencia y recuperación</w:t>
      </w:r>
    </w:p>
    <w:p>
      <w:pPr>
        <w:keepLines/>
        <w:widowControl/>
      </w:pPr>
      <w:r>
        <w:t>La base se guarda en data/aula.sqlite3. Al cerrar y volver a iniciar el servidor, se conservan los eventos y las entregas pendientes. El historial permite auditar lo ocurrido; el estado se conserva en tablas propias y no se reconstruye desde cero con event sourcing.</w:t>
      </w:r>
    </w:p>
    <w:p>
      <w:pPr>
        <w:keepLines/>
        <w:widowControl/>
      </w:pPr>
      <w:r>
        <w:t>Los efectos SQLite de una entrega, sus nuevos eventos y su confirmación se guardan juntos. Si el consumidor lanza una excepción, el broker utiliza un SAVEPOINT para revertir los efectos antes de registrar el fallo. Así, un intento fallido de Inventario no deja un descuento parcial de stock.</w:t>
      </w:r>
    </w:p>
    <w:p>
      <w:pPr>
        <w:keepLines/>
        <w:widowControl/>
      </w:pPr>
      <w:r>
        <w:t>Una entrega pendiente pasa a completada si termina correctamente. Si falla, pasa a reintento; al tercer fallo pasa a la cola de fallos. Desactivar el fallo y pulsar Reintentar fallidos vuelve a habilitar esas entregas. Las completadas no se repiten. Los reintentos no usan backoff temporal: avanzan por pasos o por el intervalo del modo automático.</w:t>
      </w:r>
    </w:p>
    <w:p>
      <w:pPr>
        <w:pStyle w:val="Heading1"/>
        <w:keepLines/>
        <w:widowControl/>
      </w:pPr>
      <w:r>
        <w:t>Límites de las garantías</w:t>
      </w:r>
    </w:p>
    <w:p>
      <w:pPr>
        <w:keepLines/>
        <w:widowControl/>
      </w:pPr>
      <w:r>
        <w:t>El broker impide entregas duplicadas para la misma combinación de evento y consumidor. Notificaciones conserva un único mensaje por evento. Estas protecciones y la transacción cubren los efectos locales en SQLite. Si se añadieran pagos o correos reales, harían falta claves de idempotencia y un patrón apropiado para coordinar efectos externos, como outbox.</w:t>
      </w:r>
    </w:p>
    <w:p>
      <w:pPr>
        <w:pStyle w:val="Heading1"/>
        <w:keepLines/>
        <w:widowControl/>
      </w:pPr>
      <w:r>
        <w:t>Instalación y primera ejecución</w:t>
      </w:r>
    </w:p>
    <w:p>
      <w:pPr>
        <w:keepLines/>
        <w:widowControl/>
      </w:pPr>
      <w:r>
        <w:t>Requisito: Python 3.10 o superior instalado. El programa funciona en Windows, Linux y macOS. No requiere dependencias de pip ni Internet durante el uso local.</w:t>
      </w:r>
    </w:p>
    <w:p>
      <w:pPr>
        <w:keepLines/>
        <w:widowControl/>
      </w:pPr>
      <w:r>
        <w:t>1. Clona el repositorio con git clone https://github.com/jc2709/eventos.git o descárgalo desde GitHub con Code y Download ZIP.</w:t>
      </w:r>
    </w:p>
    <w:p>
      <w:pPr>
        <w:keepLines/>
        <w:widowControl/>
      </w:pPr>
      <w:r>
        <w:t>2. Abre una terminal dentro de la carpeta eventos que acabas de descargar.</w:t>
      </w:r>
    </w:p>
    <w:p>
      <w:pPr>
        <w:keepLines/>
        <w:widowControl/>
      </w:pPr>
      <w:r>
        <w:t>3. Ejecuta python server.py. En Windows puedes usar py -3 server.py o abrir start.bat. En Linux y macOS puedes usar python3 server.py o sh start.sh.</w:t>
      </w:r>
    </w:p>
    <w:p>
      <w:pPr>
        <w:keepLines/>
        <w:widowControl/>
      </w:pPr>
      <w:r>
        <w:t>4. Abre http://127.0.0.1:8000 en el navegador. Si el puerto está ocupado, ejecuta python server.py --port 8001 y abre el puerto indicado.</w:t>
      </w:r>
    </w:p>
    <w:p>
      <w:pPr>
        <w:keepLines/>
        <w:widowControl/>
      </w:pPr>
      <w:r>
        <w:t>5. Para detener el servidor, pulsa Ctrl+C. Al reiniciarlo, continúa con la misma base de datos.</w:t>
      </w:r>
    </w:p>
    <w:p>
      <w:pPr>
        <w:keepLines/>
        <w:widowControl/>
      </w:pPr>
      <w:r>
        <w:t>Reiniciar laboratorio borra los pedidos, mensajes, eventos, entregas y trazas de la práctica, y restaura el stock inicial. La interfaz solicita confirmación porque esta acción elimina el historial del experimento.</w:t>
      </w:r>
    </w:p>
    <w:p>
      <w:pPr>
        <w:pStyle w:val="Heading1"/>
        <w:keepLines/>
        <w:widowControl/>
      </w:pPr>
      <w:r>
        <w:t>Prácticas para el alumno</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1800"/>
            <w:shd w:fill="E9EDF4"/>
          </w:tcPr>
          <w:p>
            <w:r>
              <w:rPr>
                <w:b/>
                <w:color w:val="000000"/>
                <w:sz w:val="20"/>
              </w:rPr>
              <w:t>Práctica</w:t>
            </w:r>
          </w:p>
        </w:tc>
        <w:tc>
          <w:tcPr>
            <w:tcW w:type="dxa" w:w="3672"/>
            <w:shd w:fill="E9EDF4"/>
          </w:tcPr>
          <w:p>
            <w:r>
              <w:rPr>
                <w:b/>
                <w:color w:val="000000"/>
                <w:sz w:val="20"/>
              </w:rPr>
              <w:t>Acción</w:t>
            </w:r>
          </w:p>
        </w:tc>
        <w:tc>
          <w:tcPr>
            <w:tcW w:type="dxa" w:w="4392"/>
            <w:shd w:fill="E9EDF4"/>
          </w:tcPr>
          <w:p>
            <w:r>
              <w:rPr>
                <w:b/>
                <w:color w:val="000000"/>
                <w:sz w:val="20"/>
              </w:rPr>
              <w:t>Resultado observable</w:t>
            </w:r>
          </w:p>
        </w:tc>
      </w:tr>
      <w:tr>
        <w:trPr>
          <w:cantSplit/>
        </w:trPr>
        <w:tc>
          <w:tcPr>
            <w:tcW w:type="dxa" w:w="1800"/>
          </w:tcPr>
          <w:p>
            <w:pPr>
              <w:spacing w:after="80"/>
            </w:pPr>
            <w:r>
              <w:rPr>
                <w:sz w:val="20"/>
              </w:rPr>
              <w:t>Publicar y consumir</w:t>
            </w:r>
          </w:p>
        </w:tc>
        <w:tc>
          <w:tcPr>
            <w:tcW w:type="dxa" w:w="3672"/>
          </w:tcPr>
          <w:p>
            <w:pPr>
              <w:spacing w:after="80"/>
            </w:pPr>
            <w:r>
              <w:rPr>
                <w:sz w:val="20"/>
              </w:rPr>
              <w:t>Crea un pedido y no proceses todavía.</w:t>
            </w:r>
          </w:p>
        </w:tc>
        <w:tc>
          <w:tcPr>
            <w:tcW w:type="dxa" w:w="4392"/>
          </w:tcPr>
          <w:p>
            <w:pPr>
              <w:spacing w:after="80"/>
            </w:pPr>
            <w:r>
              <w:rPr>
                <w:sz w:val="20"/>
              </w:rPr>
              <w:t>Existe PedidoCreado; el stock no cambia hasta consumirlo.</w:t>
            </w:r>
          </w:p>
        </w:tc>
      </w:tr>
      <w:tr>
        <w:trPr>
          <w:cantSplit/>
        </w:trPr>
        <w:tc>
          <w:tcPr>
            <w:tcW w:type="dxa" w:w="1800"/>
          </w:tcPr>
          <w:p>
            <w:pPr>
              <w:spacing w:after="80"/>
            </w:pPr>
            <w:r>
              <w:rPr>
                <w:sz w:val="20"/>
              </w:rPr>
              <w:t>Correlacionar</w:t>
            </w:r>
          </w:p>
        </w:tc>
        <w:tc>
          <w:tcPr>
            <w:tcW w:type="dxa" w:w="3672"/>
          </w:tcPr>
          <w:p>
            <w:pPr>
              <w:spacing w:after="80"/>
            </w:pPr>
            <w:r>
              <w:rPr>
                <w:sz w:val="20"/>
              </w:rPr>
              <w:t>Reserva dos pedidos y paga únicamente uno.</w:t>
            </w:r>
          </w:p>
        </w:tc>
        <w:tc>
          <w:tcPr>
            <w:tcW w:type="dxa" w:w="4392"/>
          </w:tcPr>
          <w:p>
            <w:pPr>
              <w:spacing w:after="80"/>
            </w:pPr>
            <w:r>
              <w:rPr>
                <w:sz w:val="20"/>
              </w:rPr>
              <w:t>Solo se envía el pedido cuyos eventos de reserva y pago fueron consumidos.</w:t>
            </w:r>
          </w:p>
        </w:tc>
      </w:tr>
      <w:tr>
        <w:trPr>
          <w:cantSplit/>
        </w:trPr>
        <w:tc>
          <w:tcPr>
            <w:tcW w:type="dxa" w:w="1800"/>
          </w:tcPr>
          <w:p>
            <w:pPr>
              <w:spacing w:after="80"/>
            </w:pPr>
            <w:r>
              <w:rPr>
                <w:sz w:val="20"/>
              </w:rPr>
              <w:t>Provocar falta de stock</w:t>
            </w:r>
          </w:p>
        </w:tc>
        <w:tc>
          <w:tcPr>
            <w:tcW w:type="dxa" w:w="3672"/>
          </w:tcPr>
          <w:p>
            <w:pPr>
              <w:spacing w:after="80"/>
            </w:pPr>
            <w:r>
              <w:rPr>
                <w:sz w:val="20"/>
              </w:rPr>
              <w:t>Pide cuatro mochilas con stock inicial de tres.</w:t>
            </w:r>
          </w:p>
        </w:tc>
        <w:tc>
          <w:tcPr>
            <w:tcW w:type="dxa" w:w="4392"/>
          </w:tcPr>
          <w:p>
            <w:pPr>
              <w:spacing w:after="80"/>
            </w:pPr>
            <w:r>
              <w:rPr>
                <w:sz w:val="20"/>
              </w:rPr>
              <w:t>Se publica PedidoRechazado; no se permite pagar.</w:t>
            </w:r>
          </w:p>
        </w:tc>
      </w:tr>
      <w:tr>
        <w:trPr>
          <w:cantSplit/>
        </w:trPr>
        <w:tc>
          <w:tcPr>
            <w:tcW w:type="dxa" w:w="1800"/>
          </w:tcPr>
          <w:p>
            <w:pPr>
              <w:spacing w:after="80"/>
            </w:pPr>
            <w:r>
              <w:rPr>
                <w:sz w:val="20"/>
              </w:rPr>
              <w:t>Aislar fallos</w:t>
            </w:r>
          </w:p>
        </w:tc>
        <w:tc>
          <w:tcPr>
            <w:tcW w:type="dxa" w:w="3672"/>
          </w:tcPr>
          <w:p>
            <w:pPr>
              <w:spacing w:after="80"/>
            </w:pPr>
            <w:r>
              <w:rPr>
                <w:sz w:val="20"/>
              </w:rPr>
              <w:t>Activa el fallo de Notificaciones y procesa un pedido.</w:t>
            </w:r>
          </w:p>
        </w:tc>
        <w:tc>
          <w:tcPr>
            <w:tcW w:type="dxa" w:w="4392"/>
          </w:tcPr>
          <w:p>
            <w:pPr>
              <w:spacing w:after="80"/>
            </w:pPr>
            <w:r>
              <w:rPr>
                <w:sz w:val="20"/>
              </w:rPr>
              <w:t>Inventario reserva aunque Notificaciones falle tres veces.</w:t>
            </w:r>
          </w:p>
        </w:tc>
      </w:tr>
      <w:tr>
        <w:trPr>
          <w:cantSplit/>
        </w:trPr>
        <w:tc>
          <w:tcPr>
            <w:tcW w:type="dxa" w:w="1800"/>
          </w:tcPr>
          <w:p>
            <w:pPr>
              <w:spacing w:after="80"/>
            </w:pPr>
            <w:r>
              <w:rPr>
                <w:sz w:val="20"/>
              </w:rPr>
              <w:t>Recuperar</w:t>
            </w:r>
          </w:p>
        </w:tc>
        <w:tc>
          <w:tcPr>
            <w:tcW w:type="dxa" w:w="3672"/>
          </w:tcPr>
          <w:p>
            <w:pPr>
              <w:spacing w:after="80"/>
            </w:pPr>
            <w:r>
              <w:rPr>
                <w:sz w:val="20"/>
              </w:rPr>
              <w:t>Desactiva el fallo, reintenta fallidos y procesa.</w:t>
            </w:r>
          </w:p>
        </w:tc>
        <w:tc>
          <w:tcPr>
            <w:tcW w:type="dxa" w:w="4392"/>
          </w:tcPr>
          <w:p>
            <w:pPr>
              <w:spacing w:after="80"/>
            </w:pPr>
            <w:r>
              <w:rPr>
                <w:sz w:val="20"/>
              </w:rPr>
              <w:t>Se genera el mensaje sin descontar stock de nuevo.</w:t>
            </w:r>
          </w:p>
        </w:tc>
      </w:tr>
      <w:tr>
        <w:trPr>
          <w:cantSplit/>
        </w:trPr>
        <w:tc>
          <w:tcPr>
            <w:tcW w:type="dxa" w:w="1800"/>
          </w:tcPr>
          <w:p>
            <w:pPr>
              <w:spacing w:after="80"/>
            </w:pPr>
            <w:r>
              <w:rPr>
                <w:sz w:val="20"/>
              </w:rPr>
              <w:t>Conservar pendientes</w:t>
            </w:r>
          </w:p>
        </w:tc>
        <w:tc>
          <w:tcPr>
            <w:tcW w:type="dxa" w:w="3672"/>
          </w:tcPr>
          <w:p>
            <w:pPr>
              <w:spacing w:after="80"/>
            </w:pPr>
            <w:r>
              <w:rPr>
                <w:sz w:val="20"/>
              </w:rPr>
              <w:t>Crea un pedido, detén el servidor y reinícialo.</w:t>
            </w:r>
          </w:p>
        </w:tc>
        <w:tc>
          <w:tcPr>
            <w:tcW w:type="dxa" w:w="4392"/>
          </w:tcPr>
          <w:p>
            <w:pPr>
              <w:spacing w:after="80"/>
            </w:pPr>
            <w:r>
              <w:rPr>
                <w:sz w:val="20"/>
              </w:rPr>
              <w:t>Se conserva el evento y se pueden procesar sus entregas.</w:t>
            </w:r>
          </w:p>
        </w:tc>
      </w:tr>
    </w:tbl>
    <w:p>
      <w:pPr>
        <w:pStyle w:val="Heading1"/>
        <w:keepLines/>
        <w:widowControl/>
      </w:pPr>
      <w:r>
        <w:t>Preguntas de comprobación</w:t>
      </w:r>
    </w:p>
    <w:p>
      <w:pPr>
        <w:pStyle w:val="ListBullet"/>
        <w:keepNext/>
        <w:keepLines/>
        <w:widowControl/>
      </w:pPr>
      <w:r>
        <w:t>¿Por qué Pedidos no necesita llamar directamente a Notificaciones?</w:t>
      </w:r>
    </w:p>
    <w:p>
      <w:pPr>
        <w:pStyle w:val="ListBullet"/>
        <w:keepNext/>
        <w:keepLines/>
        <w:widowControl/>
      </w:pPr>
      <w:r>
        <w:t>¿Qué diferencia existe entre un evento publicado y una entrega completada?</w:t>
      </w:r>
    </w:p>
    <w:p>
      <w:pPr>
        <w:pStyle w:val="ListBullet"/>
        <w:keepNext/>
        <w:keepLines/>
        <w:widowControl/>
      </w:pPr>
      <w:r>
        <w:t>¿Por qué Envíos utiliza correlation_id además del tipo de evento?</w:t>
      </w:r>
    </w:p>
    <w:p>
      <w:pPr>
        <w:pStyle w:val="ListBullet"/>
        <w:keepNext/>
        <w:keepLines/>
        <w:widowControl/>
      </w:pPr>
      <w:r>
        <w:t>¿Qué ocurriría si confirmáramos una entrega antes de guardar sus efectos?</w:t>
      </w:r>
    </w:p>
    <w:p>
      <w:pPr>
        <w:pStyle w:val="ListBullet"/>
        <w:keepLines/>
        <w:widowControl/>
      </w:pPr>
      <w:r>
        <w:t>¿Por qué conservar un historial de eventos no equivale automáticamente a event sourcing?</w:t>
      </w:r>
    </w:p>
    <w:p>
      <w:pPr>
        <w:pStyle w:val="Heading1"/>
        <w:keepLines/>
        <w:widowControl/>
      </w:pPr>
      <w:r>
        <w:t>Correspondencia con las etapas de la sesión</w:t>
      </w:r>
    </w:p>
    <w:tbl>
      <w:tblPr>
        <w:tblStyle w:val="TableGrid"/>
        <w:tblW w:type="auto" w:w="0"/>
        <w:tblLayout w:type="fixed"/>
        <w:tblLook w:firstColumn="1" w:firstRow="1" w:lastColumn="0" w:lastRow="0" w:noHBand="0" w:noVBand="1" w:val="04A0"/>
      </w:tblPr>
      <w:tblGrid>
        <w:gridCol w:w="4968"/>
        <w:gridCol w:w="4968"/>
      </w:tblGrid>
      <w:tr>
        <w:trPr>
          <w:tblHeader/>
          <w:cantSplit/>
        </w:trPr>
        <w:tc>
          <w:tcPr>
            <w:tcW w:type="dxa" w:w="2448"/>
            <w:shd w:fill="E9EDF4"/>
          </w:tcPr>
          <w:p>
            <w:r>
              <w:rPr>
                <w:b/>
                <w:color w:val="000000"/>
                <w:sz w:val="20"/>
              </w:rPr>
              <w:t>Etapa del material</w:t>
            </w:r>
          </w:p>
        </w:tc>
        <w:tc>
          <w:tcPr>
            <w:tcW w:type="dxa" w:w="7416"/>
            <w:shd w:fill="E9EDF4"/>
          </w:tcPr>
          <w:p>
            <w:r>
              <w:rPr>
                <w:b/>
                <w:color w:val="000000"/>
                <w:sz w:val="20"/>
              </w:rPr>
              <w:t>Aplicación en Aula EDA</w:t>
            </w:r>
          </w:p>
        </w:tc>
      </w:tr>
      <w:tr>
        <w:trPr>
          <w:cantSplit/>
        </w:trPr>
        <w:tc>
          <w:tcPr>
            <w:tcW w:type="dxa" w:w="2448"/>
          </w:tcPr>
          <w:p>
            <w:pPr>
              <w:spacing w:after="80"/>
            </w:pPr>
            <w:r>
              <w:rPr>
                <w:sz w:val="20"/>
              </w:rPr>
              <w:t>1 Identificación</w:t>
            </w:r>
          </w:p>
        </w:tc>
        <w:tc>
          <w:tcPr>
            <w:tcW w:type="dxa" w:w="7416"/>
          </w:tcPr>
          <w:p>
            <w:pPr>
              <w:spacing w:after="80"/>
            </w:pPr>
            <w:r>
              <w:rPr>
                <w:sz w:val="20"/>
              </w:rPr>
              <w:t>Se definen cinco eventos y los módulos de pedidos, pagos, inventario, envío y notificaciones.</w:t>
            </w:r>
          </w:p>
        </w:tc>
      </w:tr>
      <w:tr>
        <w:trPr>
          <w:cantSplit/>
        </w:trPr>
        <w:tc>
          <w:tcPr>
            <w:tcW w:type="dxa" w:w="2448"/>
          </w:tcPr>
          <w:p>
            <w:pPr>
              <w:spacing w:after="80"/>
            </w:pPr>
            <w:r>
              <w:rPr>
                <w:sz w:val="20"/>
              </w:rPr>
              <w:t>2 Bus de eventos</w:t>
            </w:r>
          </w:p>
        </w:tc>
        <w:tc>
          <w:tcPr>
            <w:tcW w:type="dxa" w:w="7416"/>
          </w:tcPr>
          <w:p>
            <w:pPr>
              <w:spacing w:after="80"/>
            </w:pPr>
            <w:r>
              <w:rPr>
                <w:sz w:val="20"/>
              </w:rPr>
              <w:t>Se implementa pub/sub con eventos y entregas persistidos en SQLite.</w:t>
            </w:r>
          </w:p>
        </w:tc>
      </w:tr>
      <w:tr>
        <w:trPr>
          <w:cantSplit/>
        </w:trPr>
        <w:tc>
          <w:tcPr>
            <w:tcW w:type="dxa" w:w="2448"/>
          </w:tcPr>
          <w:p>
            <w:pPr>
              <w:spacing w:after="80"/>
            </w:pPr>
            <w:r>
              <w:rPr>
                <w:sz w:val="20"/>
              </w:rPr>
              <w:t>3 Productores y consumidores</w:t>
            </w:r>
          </w:p>
        </w:tc>
        <w:tc>
          <w:tcPr>
            <w:tcW w:type="dxa" w:w="7416"/>
          </w:tcPr>
          <w:p>
            <w:pPr>
              <w:spacing w:after="80"/>
            </w:pPr>
            <w:r>
              <w:rPr>
                <w:sz w:val="20"/>
              </w:rPr>
              <w:t>La aplicación registra suscripciones y publica hechos desde cada componente.</w:t>
            </w:r>
          </w:p>
        </w:tc>
      </w:tr>
      <w:tr>
        <w:trPr>
          <w:cantSplit/>
        </w:trPr>
        <w:tc>
          <w:tcPr>
            <w:tcW w:type="dxa" w:w="2448"/>
          </w:tcPr>
          <w:p>
            <w:pPr>
              <w:spacing w:after="80"/>
            </w:pPr>
            <w:r>
              <w:rPr>
                <w:sz w:val="20"/>
              </w:rPr>
              <w:t>4 Procesamiento</w:t>
            </w:r>
          </w:p>
        </w:tc>
        <w:tc>
          <w:tcPr>
            <w:tcW w:type="dxa" w:w="7416"/>
          </w:tcPr>
          <w:p>
            <w:pPr>
              <w:spacing w:after="80"/>
            </w:pPr>
            <w:r>
              <w:rPr>
                <w:sz w:val="20"/>
              </w:rPr>
              <w:t>Envíos correlaciona dos señales del mismo pedido. No se implementa CEP completo.</w:t>
            </w:r>
          </w:p>
        </w:tc>
      </w:tr>
      <w:tr>
        <w:trPr>
          <w:cantSplit/>
        </w:trPr>
        <w:tc>
          <w:tcPr>
            <w:tcW w:type="dxa" w:w="2448"/>
          </w:tcPr>
          <w:p>
            <w:pPr>
              <w:spacing w:after="80"/>
            </w:pPr>
            <w:r>
              <w:rPr>
                <w:sz w:val="20"/>
              </w:rPr>
              <w:t>5 Coordinación</w:t>
            </w:r>
          </w:p>
        </w:tc>
        <w:tc>
          <w:tcPr>
            <w:tcW w:type="dxa" w:w="7416"/>
          </w:tcPr>
          <w:p>
            <w:pPr>
              <w:spacing w:after="80"/>
            </w:pPr>
            <w:r>
              <w:rPr>
                <w:sz w:val="20"/>
              </w:rPr>
              <w:t>Los consumidores reaccionan mediante coreografía y reglas locales.</w:t>
            </w:r>
          </w:p>
        </w:tc>
      </w:tr>
      <w:tr>
        <w:trPr>
          <w:cantSplit/>
        </w:trPr>
        <w:tc>
          <w:tcPr>
            <w:tcW w:type="dxa" w:w="2448"/>
          </w:tcPr>
          <w:p>
            <w:pPr>
              <w:spacing w:after="80"/>
            </w:pPr>
            <w:r>
              <w:rPr>
                <w:sz w:val="20"/>
              </w:rPr>
              <w:t>6 Estado y persistencia</w:t>
            </w:r>
          </w:p>
        </w:tc>
        <w:tc>
          <w:tcPr>
            <w:tcW w:type="dxa" w:w="7416"/>
          </w:tcPr>
          <w:p>
            <w:pPr>
              <w:spacing w:after="80"/>
            </w:pPr>
            <w:r>
              <w:rPr>
                <w:sz w:val="20"/>
              </w:rPr>
              <w:t>Tablas de estado e historial durable. No se implementa event sourcing completo.</w:t>
            </w:r>
          </w:p>
        </w:tc>
      </w:tr>
      <w:tr>
        <w:trPr>
          <w:cantSplit/>
        </w:trPr>
        <w:tc>
          <w:tcPr>
            <w:tcW w:type="dxa" w:w="2448"/>
          </w:tcPr>
          <w:p>
            <w:pPr>
              <w:spacing w:after="80"/>
            </w:pPr>
            <w:r>
              <w:rPr>
                <w:sz w:val="20"/>
              </w:rPr>
              <w:t>7 Errores y resiliencia</w:t>
            </w:r>
          </w:p>
        </w:tc>
        <w:tc>
          <w:tcPr>
            <w:tcW w:type="dxa" w:w="7416"/>
          </w:tcPr>
          <w:p>
            <w:pPr>
              <w:spacing w:after="80"/>
            </w:pPr>
            <w:r>
              <w:rPr>
                <w:sz w:val="20"/>
              </w:rPr>
              <w:t>Rollback de efectos, tres intentos y cola de fallos recuperable.</w:t>
            </w:r>
          </w:p>
        </w:tc>
      </w:tr>
      <w:tr>
        <w:trPr>
          <w:cantSplit/>
        </w:trPr>
        <w:tc>
          <w:tcPr>
            <w:tcW w:type="dxa" w:w="2448"/>
          </w:tcPr>
          <w:p>
            <w:pPr>
              <w:spacing w:after="80"/>
            </w:pPr>
            <w:r>
              <w:rPr>
                <w:sz w:val="20"/>
              </w:rPr>
              <w:t>8 Monitorización</w:t>
            </w:r>
          </w:p>
        </w:tc>
        <w:tc>
          <w:tcPr>
            <w:tcW w:type="dxa" w:w="7416"/>
          </w:tcPr>
          <w:p>
            <w:pPr>
              <w:spacing w:after="80"/>
            </w:pPr>
            <w:r>
              <w:rPr>
                <w:sz w:val="20"/>
              </w:rPr>
              <w:t>La interfaz muestra historial, intentos, errores y cantidades de entregas por estado.</w:t>
            </w:r>
          </w:p>
        </w:tc>
      </w:tr>
      <w:tr>
        <w:trPr>
          <w:cantSplit/>
        </w:trPr>
        <w:tc>
          <w:tcPr>
            <w:tcW w:type="dxa" w:w="2448"/>
          </w:tcPr>
          <w:p>
            <w:pPr>
              <w:spacing w:after="80"/>
            </w:pPr>
            <w:r>
              <w:rPr>
                <w:sz w:val="20"/>
              </w:rPr>
              <w:t>9 Pruebas</w:t>
            </w:r>
          </w:p>
        </w:tc>
        <w:tc>
          <w:tcPr>
            <w:tcW w:type="dxa" w:w="7416"/>
          </w:tcPr>
          <w:p>
            <w:pPr>
              <w:spacing w:after="80"/>
            </w:pPr>
            <w:r>
              <w:rPr>
                <w:sz w:val="20"/>
              </w:rPr>
              <w:t>Doce pruebas del motor y una comprobación de integración a través de HTTP.</w:t>
            </w:r>
          </w:p>
        </w:tc>
      </w:tr>
    </w:tbl>
    <w:p>
      <w:pPr>
        <w:pStyle w:val="Heading1"/>
        <w:keepLines/>
        <w:widowControl/>
      </w:pPr>
      <w:r>
        <w:t>Verificación del proyecto</w:t>
      </w:r>
    </w:p>
    <w:p>
      <w:pPr>
        <w:keepLines/>
        <w:widowControl/>
      </w:pPr>
      <w:r>
        <w:t>Las doce pruebas automatizadas del motor pasaron. Se verificaron publicación diferida, reserva, rechazo por stock, pago duplicado, correlación entre pedidos, consumo de pago antes de reserva, aislamiento y recuperación de fallos, rollback de efectos, persistencia tras reinicio, competencia por stock, validación y reinicio del laboratorio.</w:t>
      </w:r>
    </w:p>
    <w:p>
      <w:pPr>
        <w:keepLines/>
        <w:widowControl/>
      </w:pPr>
      <w:r>
        <w:t>La comprobación HTTP consultó la interfaz y ejecutó creación, reserva, pago, envío y notificaciones con el servidor activo. El comando para repetir las pruebas es python -m unittest discover -s tests -v. El repositorio incluye un flujo de GitHub Actions con Python 3.12 que ejecuta ese mismo comando.</w:t>
      </w:r>
    </w:p>
    <w:p>
      <w:pPr>
        <w:pStyle w:val="Heading1"/>
        <w:keepLines/>
        <w:widowControl/>
      </w:pPr>
      <w:r>
        <w:t>Alcance y posibles ampliaciones</w:t>
      </w:r>
    </w:p>
    <w:p>
      <w:pPr>
        <w:keepLines/>
        <w:widowControl/>
      </w:pPr>
      <w:r>
        <w:t>Esta es una aplicación modular de un solo proceso con un broker educativo. No pretende ofrecer escalabilidad distribuida ni las garantías operativas de Kafka o RabbitMQ. No incorpora autenticación, pagos reales, correo, CEP completo, circuit breakers ni backoff. El servidor escucha solo en localhost por defecto y está destinado a prácticas locales.</w:t>
      </w:r>
    </w:p>
    <w:p>
      <w:pPr>
        <w:keepLines/>
        <w:widowControl/>
      </w:pPr>
      <w:r>
        <w:t>Como ampliación académica, se puede sustituir el broker por RabbitMQ, ejecutar consumidores en procesos separados y comparar el comportamiento. También se puede implementar un consumidor de estadísticas suscrito a PedidoCreado, o reconstruir una proyección desde los eventos para explorar event sourcing. Esas ampliaciones requieren revisar las garantías de entrega e idempotencia.</w:t>
      </w:r>
    </w:p>
    <w:p>
      <w:pPr>
        <w:pStyle w:val="Heading1"/>
        <w:keepLines/>
        <w:widowControl/>
      </w:pPr>
      <w:r>
        <w:t>Respuestas breves para la comprobación</w:t>
      </w:r>
    </w:p>
    <w:p>
      <w:pPr>
        <w:keepLines/>
        <w:widowControl/>
      </w:pPr>
      <w:r>
        <w:t>Pedidos publica un hecho y el broker distribuye las entregas; así no conoce a cada consumidor. Publicar guarda el evento, mientras completar confirma que un consumidor específico ejecutó su lógica. correlation_id evita mezclar hechos de pedidos diferentes. Confirmar antes de guardar efectos puede perder trabajo al fallar. Un historial por sí solo no reconstruye el estado, por eso no basta para afirmar que hay event sourcing.</w:t>
      </w:r>
    </w:p>
    <w:p>
      <w:pPr>
        <w:pStyle w:val="Heading1"/>
        <w:keepLines/>
        <w:widowControl/>
      </w:pPr>
      <w:r>
        <w:t>Referencia teórica</w:t>
      </w:r>
    </w:p>
    <w:p>
      <w:pPr>
        <w:keepLines/>
        <w:widowControl/>
      </w:pPr>
      <w:r>
        <w:t>Ramos Montes, Carlos. Sesión 3 Arquitectura orientada a eventos. Desarrollo Adaptativo e Integrado de Software, Facultad de Ingeniería Industrial y de Sistemas, Universidad Nacional de Ingeniería. Material proporcionado para el proyecto; portada 2024-II. Conceptos y componentes, páginas 4 a 6; etapas, páginas 7 a 16; ejemplo de comercio electrónico, páginas 17 a 25.</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Aula EDA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Aula EDA para aprender arquitectura orientada a eventos</dc:title>
  <dc:subject/>
  <dc:creator>Juan Carlos Medina Lujan</dc:creator>
  <cp:keywords/>
  <dc:description>generated by python-docx</dc:description>
  <cp:lastModifiedBy/>
  <cp:revision>1</cp:revision>
  <dcterms:created xsi:type="dcterms:W3CDTF">2013-12-23T23:15:00Z</dcterms:created>
  <dcterms:modified xsi:type="dcterms:W3CDTF">2013-12-23T23:15:00Z</dcterms:modified>
  <cp:category/>
</cp:coreProperties>
</file>