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343" w14:textId="2A5C3AD6" w:rsidR="0048602E" w:rsidRPr="0025057A" w:rsidRDefault="00000000" w:rsidP="00736DDF">
      <w:pPr>
        <w:pBdr>
          <w:bottom w:val="single" w:sz="4" w:space="1" w:color="auto"/>
        </w:pBdr>
        <w:spacing w:after="20" w:line="240" w:lineRule="auto"/>
        <w:jc w:val="center"/>
        <w:rPr>
          <w:rFonts w:cs="Times New Roman"/>
          <w:b/>
          <w:bCs/>
          <w:iCs/>
          <w:sz w:val="22"/>
        </w:rPr>
      </w:pPr>
      <w:r>
        <w:rPr>
          <w:rFonts w:cs="Times New Roman"/>
          <w:b/>
          <w:bCs/>
          <w:iCs/>
          <w:sz w:val="22"/>
          <w:highlight w:val="yellow"/>
        </w:rPr>
        <w:t xml:space="preserve">Women, War, and Cultural Memory in Korea</w:t>
      </w:r>
    </w:p>
    <w:p w14:paraId="6340BF15" w14:textId="3FC57F63" w:rsidR="0025057A" w:rsidRPr="00736DDF" w:rsidRDefault="0025057A" w:rsidP="00736DDF">
      <w:pPr>
        <w:pBdr>
          <w:bottom w:val="single" w:sz="4" w:space="1" w:color="auto"/>
        </w:pBdr>
        <w:spacing w:after="20" w:line="240" w:lineRule="auto"/>
        <w:jc w:val="center"/>
        <w:rPr>
          <w:rFonts w:cs="Times New Roman"/>
        </w:rPr>
      </w:pPr>
      <w:r>
        <w:rPr>
          <w:rFonts w:cs="Times New Roman"/>
          <w:highlight w:val="yellow"/>
        </w:rPr>
        <w:t xml:space="preserve">Media Literacy and Public Memory</w:t>
      </w:r>
    </w:p>
    <w:p w14:paraId="468719C1" w14:textId="4A64900D" w:rsidR="0048602E" w:rsidRPr="00736DDF" w:rsidRDefault="00000000" w:rsidP="00736DDF">
      <w:pPr>
        <w:pBdr>
          <w:bottom w:val="single" w:sz="4" w:space="1" w:color="auto"/>
        </w:pBdr>
        <w:spacing w:after="120" w:line="240" w:lineRule="auto"/>
        <w:jc w:val="center"/>
        <w:rPr>
          <w:rFonts w:cs="Times New Roman" w:hint="eastAsia"/>
          <w:lang w:eastAsia="ko-KR"/>
        </w:rPr>
      </w:pPr>
      <w:r>
        <w:rPr>
          <w:rFonts w:cs="Times New Roman"/>
        </w:rPr>
        <w:t xml:space="preserve">7-Week Intensive Seminar | 4 Credits</w:t>
      </w:r>
      <w:r>
        <w:rPr>
          <w:rFonts w:cs="Times New Roman"/>
          <w:highlight w:val="yellow"/>
        </w:rPr>
        <w:t xml:space="preserve"> | Intermediate Undergraduate Seminar (2nd–3rd Year)</w:t>
      </w:r>
    </w:p>
    <w:p w14:paraId="47F3E7D7" w14:textId="77777777" w:rsidR="0048602E" w:rsidRPr="00736DDF" w:rsidRDefault="00000000" w:rsidP="00736DDF">
      <w:pPr>
        <w:pBdr>
          <w:bottom w:val="single" w:sz="4" w:space="1" w:color="auto"/>
        </w:pBdr>
        <w:spacing w:after="20" w:line="240" w:lineRule="auto"/>
        <w:rPr>
          <w:rFonts w:cs="Times New Roman"/>
        </w:rPr>
      </w:pPr>
      <w:r>
        <w:rPr>
          <w:rFonts w:cs="Times New Roman"/>
          <w:b/>
        </w:rPr>
        <w:t>INSTRUCTOR: HwaYoung Chun (Young)</w:t>
      </w:r>
    </w:p>
    <w:p w14:paraId="7311FE11" w14:textId="77777777" w:rsidR="0048602E" w:rsidRPr="00736DDF" w:rsidRDefault="00000000" w:rsidP="00736DDF">
      <w:pPr>
        <w:pBdr>
          <w:bottom w:val="single" w:sz="4" w:space="1" w:color="auto"/>
        </w:pBdr>
        <w:spacing w:after="20" w:line="240" w:lineRule="auto"/>
        <w:rPr>
          <w:rFonts w:cs="Times New Roman"/>
        </w:rPr>
      </w:pPr>
      <w:r>
        <w:rPr>
          <w:rFonts w:cs="Times New Roman"/>
        </w:rPr>
        <w:t>Office Hours: By appointment</w:t>
      </w:r>
    </w:p>
    <w:p w14:paraId="144CBFA6" w14:textId="77777777" w:rsidR="0048602E" w:rsidRPr="00736DDF" w:rsidRDefault="00000000" w:rsidP="00736DDF">
      <w:pPr>
        <w:pBdr>
          <w:bottom w:val="single" w:sz="4" w:space="1" w:color="auto"/>
        </w:pBdr>
        <w:spacing w:after="80" w:line="240" w:lineRule="auto"/>
        <w:rPr>
          <w:rFonts w:cs="Times New Roman"/>
        </w:rPr>
      </w:pPr>
      <w:r>
        <w:rPr>
          <w:rFonts w:cs="Times New Roman"/>
        </w:rPr>
        <w:t>Email: [institutional email]</w:t>
      </w:r>
    </w:p>
    <w:p w14:paraId="5F61055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Description</w:t>
      </w:r>
    </w:p>
    <w:p w14:paraId="2815CF3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This course examines how the experiences and memories of Korean survivors of the Japanese military sexual slavery system have been narrated, represented, and remembered through different forms of cultural media. After establishing essential historical and cultural context, students work with first-person testimony, </w:t>
      </w:r>
      <w:r>
        <w:rPr>
          <w:rFonts w:cs="Times New Roman"/>
          <w:highlight w:val="yellow"/>
        </w:rPr>
        <w:t xml:space="preserve">archival photographs and film, </w:t>
      </w:r>
      <w:r>
        <w:rPr>
          <w:rFonts w:cs="Times New Roman"/>
        </w:rPr>
        <w:t xml:space="preserve">documentary film, survivor paintings, </w:t>
      </w:r>
      <w:r>
        <w:rPr>
          <w:rFonts w:cs="Times New Roman"/>
          <w:highlight w:val="yellow"/>
        </w:rPr>
        <w:t xml:space="preserve">animation, feature film, </w:t>
      </w:r>
      <w:r>
        <w:rPr>
          <w:rFonts w:cs="Times New Roman"/>
        </w:rPr>
        <w:t xml:space="preserve">journalism and digital media, museums, memorials, and recent scholarship. The course does not treat these materials simply as containers of historical information. Instead, students examine how each medium shapes voice, evidence, emotion, audience, point of view, and public memory.</w:t>
      </w:r>
    </w:p>
    <w:p w14:paraId="67BC36B1" w14:textId="77777777" w:rsidR="0048602E" w:rsidRPr="00736DDF" w:rsidRDefault="00000000" w:rsidP="00736DDF">
      <w:pPr>
        <w:pBdr>
          <w:bottom w:val="single" w:sz="4" w:space="1" w:color="auto"/>
        </w:pBdr>
        <w:spacing w:line="240" w:lineRule="auto"/>
        <w:rPr>
          <w:rFonts w:cs="Times New Roman"/>
        </w:rPr>
      </w:pPr>
      <w:r>
        <w:rPr>
          <w:rFonts w:cs="Times New Roman"/>
        </w:rPr>
        <w:t>Media literacy is both course content and a recurring practice. Students first learn a practical framework for decoding media messages and then apply it repeatedly to Korean cultural materials. Across the seven weeks, students return to a common set of questions: Who created this representation? For what purpose and audience? Whose perspective is visible? What has been selected, edited, translated, emphasized, or omitted? Why was this medium chosen? How might a different medium change what audiences understand and remember?</w:t>
      </w:r>
    </w:p>
    <w:p w14:paraId="3A8B14D8" w14:textId="77777777" w:rsidR="0048602E" w:rsidRPr="00736DDF" w:rsidRDefault="00000000" w:rsidP="00736DDF">
      <w:pPr>
        <w:pBdr>
          <w:bottom w:val="single" w:sz="4" w:space="1" w:color="auto"/>
        </w:pBdr>
        <w:spacing w:line="240" w:lineRule="auto"/>
        <w:rPr>
          <w:rFonts w:cs="Times New Roman"/>
        </w:rPr>
      </w:pPr>
      <w:r>
        <w:rPr>
          <w:rFonts w:cs="Times New Roman"/>
        </w:rPr>
        <w:t>Because the course focuses closely on one historical experience across multiple cultural forms, it is organized as a focused thematic seminar rather than a broad survey of modern Korean women or World War II. The central concern is how lived experience becomes testimony, image, film, art, digital discourse, and public memory.</w:t>
      </w:r>
    </w:p>
    <w:p>
      <w:pPr>
        <w:pBdr>
          <w:bottom w:val="single" w:sz="4" w:space="1" w:color="auto"/>
        </w:pBdr>
        <w:spacing w:line="240" w:lineRule="auto"/>
        <w:rPr>
          <w:rFonts w:cs="Times New Roman"/>
        </w:rPr>
      </w:pPr>
      <w:r>
        <w:rPr>
          <w:rFonts w:cs="Times New Roman"/>
          <w:highlight w:val="yellow"/>
        </w:rPr>
        <w:t xml:space="preserve">Although the course centers on one historical experience, it is designed as a course in Korean culture. Survivors’ stories cannot be read without the Korean contexts that shaped how they were first silenced and later heard: Japanese colonial rule, Confucian norms of female chastity and family honor, postwar nationalism and Cold War politics, and the democratization and women’s movements that made Kim Hak-sun’s public testimony of August 14, 1991 possible. Students also study the issue as a field of contemporary Korean cultural production and civic life, including Korean documentary and feature film, animation, survivor art, the weekly Wednesday Demonstration (since 1992), and the Statue of Peace (2011). A field trip to a museum in China allows students to compare how Korean, Chinese, and transnational institutions narrate the same history for different publics.</w:t>
      </w:r>
    </w:p>
    <w:p>
      <w:pPr>
        <w:pBdr>
          <w:bottom w:val="single" w:sz="4" w:space="1" w:color="auto"/>
        </w:pBdr>
        <w:spacing w:line="240" w:lineRule="auto"/>
        <w:rPr>
          <w:rFonts w:cs="Times New Roman"/>
        </w:rPr>
      </w:pPr>
      <w:r>
        <w:rPr>
          <w:rFonts w:cs="Times New Roman"/>
          <w:highlight w:val="yellow"/>
        </w:rPr>
        <w:t xml:space="preserve">This is an intermediate seminar for second- and third-year undergraduates. No prior coursework in Korean studies and no knowledge of the Korean language is required; all required readings are in English.</w:t>
      </w:r>
    </w:p>
    <w:p w14:paraId="04AB759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Required Books and Readings</w:t>
      </w:r>
    </w:p>
    <w:p w14:paraId="40CA0003"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Scheibe, C., &amp; Rogow, F. (2012). The Teacher's Guide to Media Literacy: Critical Thinking in a Multimedia World. </w:t>
      </w:r>
      <w:r>
        <w:rPr>
          <w:rFonts w:cs="Times New Roman"/>
          <w:highlight w:val="yellow"/>
        </w:rPr>
        <w:t xml:space="preserve">Corwin. Chapters 2 and 4.</w:t>
      </w:r>
    </w:p>
    <w:p w14:paraId="206F3FBE"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A course reading packet containing selected scholarship on survivor testimony, documentary, visual culture, digital media, activism, museums, memorials, and cultural memory. </w:t>
      </w:r>
      <w:r>
        <w:rPr>
          <w:rFonts w:cs="Times New Roman"/>
          <w:highlight w:val="yellow"/>
        </w:rPr>
        <w:t xml:space="preserve">The packet pairs foundational scholarship by Korean researchers who shaped the field, including Chung Chin-sung, Yang Hyunah, and Kang Sung-hyun, with recent work (2017–2025) on documentary, animation, digital media, and museums. Full citations appear in the Reading List following the Field Trip section.</w:t>
      </w:r>
    </w:p>
    <w:p w14:paraId="66ED2EE4" w14:textId="77777777" w:rsidR="0048602E" w:rsidRPr="00736DDF" w:rsidRDefault="00000000" w:rsidP="00736DDF">
      <w:pPr>
        <w:pBdr>
          <w:bottom w:val="single" w:sz="4" w:space="1" w:color="auto"/>
        </w:pBdr>
        <w:spacing w:after="100" w:line="240" w:lineRule="auto"/>
        <w:rPr>
          <w:rFonts w:cs="Times New Roman"/>
        </w:rPr>
      </w:pPr>
      <w:r>
        <w:rPr>
          <w:rFonts w:cs="Times New Roman"/>
        </w:rPr>
        <w:t xml:space="preserve">Primary media include selected recorded survivor testimonies; </w:t>
      </w:r>
      <w:r>
        <w:rPr>
          <w:rFonts w:cs="Times New Roman"/>
          <w:highlight w:val="yellow"/>
        </w:rPr>
        <w:t xml:space="preserve">U.S. Army photographs and film footage of Korean women taken in 1944; </w:t>
      </w:r>
      <w:r>
        <w:rPr>
          <w:rFonts w:cs="Times New Roman"/>
        </w:rPr>
        <w:t xml:space="preserve">Byun Young-joo’s The Murmuring (1995) and Habitual Sadness (1997); selected survivor paintings; </w:t>
      </w:r>
      <w:r>
        <w:rPr>
          <w:rFonts w:cs="Times New Roman"/>
          <w:highlight w:val="yellow"/>
        </w:rPr>
        <w:t xml:space="preserve">the animated shorts Herstory (2011) and Unforgotten (2021); the feature film I Can Speak (2017); </w:t>
      </w:r>
      <w:r>
        <w:rPr>
          <w:rFonts w:cs="Times New Roman"/>
        </w:rPr>
        <w:t xml:space="preserve">news and digital media; the Statue of Peace; </w:t>
      </w:r>
      <w:r>
        <w:rPr>
          <w:rFonts w:cs="Times New Roman"/>
        </w:rPr>
        <w:t xml:space="preserve">museum, memorial, and digital/VR exhibition materials</w:t>
      </w:r>
      <w:r>
        <w:rPr>
          <w:rFonts w:cs="Times New Roman"/>
          <w:highlight w:val="yellow"/>
        </w:rPr>
        <w:t xml:space="preserve">; and an on-site museum visit in China</w:t>
      </w:r>
      <w:r>
        <w:rPr>
          <w:rFonts w:cs="Times New Roman"/>
        </w:rPr>
        <w:t xml:space="preserve">.</w:t>
      </w:r>
    </w:p>
    <w:p w14:paraId="342CDCFC"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Overall Course Objectives</w:t>
      </w:r>
    </w:p>
    <w:p w14:paraId="38268890"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students’ understanding of media literacy as a practical framework for analyzing cultural representation.</w:t>
      </w:r>
    </w:p>
    <w:p w14:paraId="3951CE0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 xml:space="preserve">To develop knowledge of the historical and cultural context necessary to interpret Korean survivor testimony and public memory responsibly</w:t>
      </w:r>
      <w:r>
        <w:rPr>
          <w:rFonts w:cs="Times New Roman"/>
          <w:highlight w:val="yellow"/>
        </w:rPr>
        <w:t xml:space="preserve">, including the Korean social and political conditions that shaped decades of silence and the emergence of public testimony</w:t>
      </w:r>
      <w:r>
        <w:rPr>
          <w:rFonts w:cs="Times New Roman"/>
        </w:rPr>
        <w:t xml:space="preserve">.</w:t>
      </w:r>
    </w:p>
    <w:p w14:paraId="125AF5C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skills of critical comparison, close reading and viewing, evidence-based interpretation, and reflective media-making.</w:t>
      </w:r>
    </w:p>
    <w:p w14:paraId="4694D04E"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Specific Course Objectives</w:t>
      </w:r>
    </w:p>
    <w:p w14:paraId="56080C76" w14:textId="77777777" w:rsidR="0048602E" w:rsidRPr="00736DDF" w:rsidRDefault="00000000" w:rsidP="00736DDF">
      <w:pPr>
        <w:pBdr>
          <w:bottom w:val="single" w:sz="4" w:space="1" w:color="auto"/>
        </w:pBdr>
        <w:spacing w:after="40" w:line="240" w:lineRule="auto"/>
        <w:rPr>
          <w:rFonts w:cs="Times New Roman"/>
        </w:rPr>
      </w:pPr>
      <w:r>
        <w:rPr>
          <w:rFonts w:cs="Times New Roman"/>
        </w:rPr>
        <w:t>At the conclusion of the course, students will be able to:</w:t>
      </w:r>
    </w:p>
    <w:p w14:paraId="0DD2F9B1"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Use concepts including authorship, audience, purpose, point of view, framing, selection, omission, evidence, and representation to decode media messages.</w:t>
      </w:r>
    </w:p>
    <w:p w14:paraId="71C1A136"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Explain essential historical and cultural context related to colonial Korea, gender, wartime militarism, </w:t>
      </w:r>
      <w:r>
        <w:rPr>
          <w:rFonts w:cs="Times New Roman"/>
        </w:rPr>
        <w:t xml:space="preserve">the Japanese military sexual slavery system</w:t>
      </w:r>
      <w:r>
        <w:rPr>
          <w:rFonts w:cs="Times New Roman"/>
          <w:highlight w:val="yellow"/>
        </w:rPr>
        <w:t xml:space="preserve">, and postwar silence and the 1990s redress movement in South Korea</w:t>
      </w:r>
      <w:r>
        <w:rPr>
          <w:rFonts w:cs="Times New Roman"/>
        </w:rPr>
        <w:t xml:space="preserve">.</w:t>
      </w:r>
    </w:p>
    <w:p w14:paraId="2C529160"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lastRenderedPageBreak/>
        <w:t>Analyze first-person survivor testimony with attention to voice, interview context, translation, memory, agency, and audience.</w:t>
      </w:r>
    </w:p>
    <w:p w14:paraId="769FD3FB"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Compare how testimony, </w:t>
      </w:r>
      <w:r>
        <w:rPr>
          <w:rFonts w:cs="Times New Roman"/>
          <w:highlight w:val="yellow"/>
        </w:rPr>
        <w:t xml:space="preserve">archival photography, </w:t>
      </w:r>
      <w:r>
        <w:rPr>
          <w:rFonts w:cs="Times New Roman"/>
        </w:rPr>
        <w:t xml:space="preserve">documentary film, painting, </w:t>
      </w:r>
      <w:r>
        <w:rPr>
          <w:rFonts w:cs="Times New Roman"/>
          <w:highlight w:val="yellow"/>
        </w:rPr>
        <w:t xml:space="preserve">animation, feature film, </w:t>
      </w:r>
      <w:r>
        <w:rPr>
          <w:rFonts w:cs="Times New Roman"/>
        </w:rPr>
        <w:t xml:space="preserve">journalism, digital media, museums, and memorials construct meaning differently.</w:t>
      </w:r>
    </w:p>
    <w:p w14:paraId="6C9448A8"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Distinguish survivor self-representation from representations created by filmmakers, journalists, scholars, artists, and institutions.</w:t>
      </w:r>
    </w:p>
    <w:p w14:paraId="0FB43445"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Analyze how individual memory becomes cultural and public memory and how that memory changes as it moves across media.</w:t>
      </w:r>
    </w:p>
    <w:p w14:paraId="0F45E973"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Produce clear, evidence-based comparative writing and a reflective visual project that demonstrates thoughtful representational choices.</w:t>
      </w:r>
    </w:p>
    <w:p>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Compare how Korean, Chinese, Japanese, and diasporic institutions and media narrate the same history for different national and transnational audiences, drawing on direct observation at a museum site.</w:t>
      </w:r>
    </w:p>
    <w:p w14:paraId="0819A4F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Requirements</w:t>
      </w:r>
    </w:p>
    <w:p w14:paraId="5ADA5672"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should complete assigned readings and viewings before class and arrive prepared to discuss specific passages, images, scenes, or media choices.</w:t>
      </w:r>
    </w:p>
    <w:p w14:paraId="05332E88"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regular media-decoding and close-analysis activities designed to develop critical thinking rather than simple content recall.</w:t>
      </w:r>
    </w:p>
    <w:p w14:paraId="178CC617"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a short media comparison, a comparative midterm essay, and a final reflection painting with an accompanying analytical essay.</w:t>
      </w:r>
    </w:p>
    <w:p>
      <w:pPr>
        <w:pStyle w:val="ListNumber"/>
        <w:numPr>
          <w:ilvl w:val="0"/>
          <w:numId w:val="13"/>
        </w:numPr>
        <w:pBdr>
          <w:bottom w:val="single" w:sz="4" w:space="1" w:color="auto"/>
        </w:pBdr>
        <w:spacing w:after="30" w:line="240" w:lineRule="auto"/>
        <w:rPr>
          <w:rFonts w:cs="Times New Roman"/>
        </w:rPr>
      </w:pPr>
      <w:r>
        <w:rPr>
          <w:rFonts w:cs="Times New Roman"/>
          <w:highlight w:val="yellow"/>
        </w:rPr>
        <w:t xml:space="preserve">Students will take part in a field trip to a museum in China in Week 6, complete an on-site observation worksheet, and submit a short Field Trip Museum Analysis. An equivalent alternative assignment is available for students who cannot attend.</w:t>
      </w:r>
    </w:p>
    <w:p w14:paraId="0E981A0E"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Because the course addresses sexual violence, war, trauma, and contested public memory, students are expected to engage with materials and classmates carefully and respectfully. Personal disclosure is never required.</w:t>
      </w:r>
    </w:p>
    <w:p w14:paraId="7C2C3950"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Key Media Literacy Questions</w:t>
      </w:r>
    </w:p>
    <w:p w14:paraId="479FB50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created this message or representation, and why?</w:t>
      </w:r>
    </w:p>
    <w:p w14:paraId="54F1079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is the intended audience? How might different audiences interpret it differently?</w:t>
      </w:r>
    </w:p>
    <w:p w14:paraId="3DBD063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Whose voice or point of view is visible? Whose is less visible or absent?</w:t>
      </w:r>
    </w:p>
    <w:p w14:paraId="17A46E6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has been selected, edited, translated, emphasized, or omitted?</w:t>
      </w:r>
    </w:p>
    <w:p w14:paraId="1A2D54DE"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evidence and media techniques are used to shape interpretation?</w:t>
      </w:r>
    </w:p>
    <w:p w14:paraId="581D997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Why was this medium chosen? What can it communicate especially well, and what are its limitations?</w:t>
      </w:r>
    </w:p>
    <w:p w14:paraId="0296769B"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How does the medium shape what becomes remembered?</w:t>
      </w:r>
    </w:p>
    <w:p>
      <w:pPr>
        <w:pStyle w:val="ListBullet"/>
        <w:pBdr>
          <w:bottom w:val="single" w:sz="4" w:space="1" w:color="auto"/>
        </w:pBdr>
        <w:spacing w:after="30" w:line="240" w:lineRule="auto"/>
        <w:rPr>
          <w:rFonts w:cs="Times New Roman"/>
        </w:rPr>
      </w:pPr>
      <w:r>
        <w:rPr>
          <w:rFonts w:cs="Times New Roman"/>
          <w:highlight w:val="yellow"/>
        </w:rPr>
        <w:t xml:space="preserve">How do national and institutional contexts (Korean, Japanese, Chinese, diasporic) shape how this history is narrated, and for whom?</w:t>
      </w:r>
    </w:p>
    <w:p w14:paraId="6150C723"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Assessment and Grading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352"/>
        <w:gridCol w:w="4447"/>
      </w:tblGrid>
      <w:tr w:rsidR="0048602E" w:rsidRPr="00736DDF" w14:paraId="6E656059" w14:textId="77777777" w:rsidTr="0025057A">
        <w:trPr>
          <w:tblHeader/>
          <w:jc w:val="center"/>
        </w:trPr>
        <w:tc>
          <w:tcPr>
            <w:tcW w:w="3331" w:type="dxa"/>
            <w:shd w:val="clear" w:color="auto" w:fill="E7E6E6"/>
            <w:tcMar>
              <w:top w:w="50" w:type="dxa"/>
              <w:left w:w="70" w:type="dxa"/>
              <w:bottom w:w="50" w:type="dxa"/>
              <w:right w:w="70" w:type="dxa"/>
            </w:tcMar>
          </w:tcPr>
          <w:p w14:paraId="72F477B6"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Assessment</w:t>
            </w:r>
          </w:p>
        </w:tc>
        <w:tc>
          <w:tcPr>
            <w:tcW w:w="3331" w:type="dxa"/>
            <w:shd w:val="clear" w:color="auto" w:fill="E7E6E6"/>
            <w:tcMar>
              <w:top w:w="50" w:type="dxa"/>
              <w:left w:w="70" w:type="dxa"/>
              <w:bottom w:w="50" w:type="dxa"/>
              <w:right w:w="70" w:type="dxa"/>
            </w:tcMar>
          </w:tcPr>
          <w:p w14:paraId="27A16479"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w:t>
            </w:r>
          </w:p>
        </w:tc>
        <w:tc>
          <w:tcPr>
            <w:tcW w:w="3331" w:type="dxa"/>
            <w:shd w:val="clear" w:color="auto" w:fill="E7E6E6"/>
            <w:tcMar>
              <w:top w:w="50" w:type="dxa"/>
              <w:left w:w="70" w:type="dxa"/>
              <w:bottom w:w="50" w:type="dxa"/>
              <w:right w:w="70" w:type="dxa"/>
            </w:tcMar>
          </w:tcPr>
          <w:p w14:paraId="75984A40"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Description</w:t>
            </w:r>
          </w:p>
        </w:tc>
      </w:tr>
      <w:tr w:rsidR="0048602E" w:rsidRPr="00736DDF" w14:paraId="1F56B7AE" w14:textId="77777777" w:rsidTr="0025057A">
        <w:trPr>
          <w:jc w:val="center"/>
        </w:trPr>
        <w:tc>
          <w:tcPr>
            <w:tcW w:w="3096" w:type="dxa"/>
            <w:tcMar>
              <w:top w:w="50" w:type="dxa"/>
              <w:left w:w="70" w:type="dxa"/>
              <w:bottom w:w="50" w:type="dxa"/>
              <w:right w:w="70" w:type="dxa"/>
            </w:tcMar>
          </w:tcPr>
          <w:p w14:paraId="422E3423"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Participation &amp; Media Literacy Activities</w:t>
            </w:r>
          </w:p>
        </w:tc>
        <w:tc>
          <w:tcPr>
            <w:tcW w:w="936" w:type="dxa"/>
            <w:tcMar>
              <w:top w:w="50" w:type="dxa"/>
              <w:left w:w="70" w:type="dxa"/>
              <w:bottom w:w="50" w:type="dxa"/>
              <w:right w:w="70" w:type="dxa"/>
            </w:tcMar>
          </w:tcPr>
          <w:p w14:paraId="0192FBA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15</w:t>
            </w:r>
          </w:p>
        </w:tc>
        <w:tc>
          <w:tcPr>
            <w:tcW w:w="6120" w:type="dxa"/>
            <w:tcMar>
              <w:top w:w="50" w:type="dxa"/>
              <w:left w:w="70" w:type="dxa"/>
              <w:bottom w:w="50" w:type="dxa"/>
              <w:right w:w="70" w:type="dxa"/>
            </w:tcMar>
          </w:tcPr>
          <w:p w14:paraId="7ECD26CE"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Preparation, close viewing, decoding exercises, discussion, small-group analysis, and peer response.</w:t>
            </w:r>
          </w:p>
        </w:tc>
      </w:tr>
      <w:tr w:rsidR="0048602E" w:rsidRPr="00736DDF" w14:paraId="51C9FF48" w14:textId="77777777" w:rsidTr="0025057A">
        <w:trPr>
          <w:jc w:val="center"/>
        </w:trPr>
        <w:tc>
          <w:tcPr>
            <w:tcW w:w="3096" w:type="dxa"/>
            <w:tcMar>
              <w:top w:w="50" w:type="dxa"/>
              <w:left w:w="70" w:type="dxa"/>
              <w:bottom w:w="50" w:type="dxa"/>
              <w:right w:w="70" w:type="dxa"/>
            </w:tcMar>
          </w:tcPr>
          <w:p w14:paraId="5CD16367"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Media Positioning Reflection</w:t>
            </w:r>
          </w:p>
        </w:tc>
        <w:tc>
          <w:tcPr>
            <w:tcW w:w="936" w:type="dxa"/>
            <w:tcMar>
              <w:top w:w="50" w:type="dxa"/>
              <w:left w:w="70" w:type="dxa"/>
              <w:bottom w:w="50" w:type="dxa"/>
              <w:right w:w="70" w:type="dxa"/>
            </w:tcMar>
          </w:tcPr>
          <w:p w14:paraId="67DF546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5</w:t>
            </w:r>
          </w:p>
        </w:tc>
        <w:tc>
          <w:tcPr>
            <w:tcW w:w="6120" w:type="dxa"/>
            <w:tcMar>
              <w:top w:w="50" w:type="dxa"/>
              <w:left w:w="70" w:type="dxa"/>
              <w:bottom w:w="50" w:type="dxa"/>
              <w:right w:w="70" w:type="dxa"/>
            </w:tcMar>
          </w:tcPr>
          <w:p w14:paraId="7DB632DB"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short reflection on personal media habits and how audience position can shape interpretation.</w:t>
            </w:r>
          </w:p>
        </w:tc>
      </w:tr>
      <w:tr w:rsidR="0048602E" w:rsidRPr="00736DDF" w14:paraId="03EDD83E" w14:textId="77777777" w:rsidTr="0025057A">
        <w:trPr>
          <w:jc w:val="center"/>
        </w:trPr>
        <w:tc>
          <w:tcPr>
            <w:tcW w:w="3096" w:type="dxa"/>
            <w:tcMar>
              <w:top w:w="50" w:type="dxa"/>
              <w:left w:w="70" w:type="dxa"/>
              <w:bottom w:w="50" w:type="dxa"/>
              <w:right w:w="70" w:type="dxa"/>
            </w:tcMar>
          </w:tcPr>
          <w:p w14:paraId="4D53536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Selecting &amp; Decoding a Media Document</w:t>
            </w:r>
          </w:p>
        </w:tc>
        <w:tc>
          <w:tcPr>
            <w:tcW w:w="936" w:type="dxa"/>
            <w:tcMar>
              <w:top w:w="50" w:type="dxa"/>
              <w:left w:w="70" w:type="dxa"/>
              <w:bottom w:w="50" w:type="dxa"/>
              <w:right w:w="70" w:type="dxa"/>
            </w:tcMar>
          </w:tcPr>
          <w:p w14:paraId="10B4A0D8"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10</w:t>
            </w:r>
          </w:p>
        </w:tc>
        <w:tc>
          <w:tcPr>
            <w:tcW w:w="6120" w:type="dxa"/>
            <w:tcMar>
              <w:top w:w="50" w:type="dxa"/>
              <w:left w:w="70" w:type="dxa"/>
              <w:bottom w:w="50" w:type="dxa"/>
              <w:right w:w="70" w:type="dxa"/>
            </w:tcMar>
          </w:tcPr>
          <w:p w14:paraId="7C8B37E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focused analysis of one media document using the course’s recurring media-literacy questions.</w:t>
            </w:r>
          </w:p>
        </w:tc>
      </w:tr>
      <w:tr w:rsidR="0048602E" w:rsidRPr="00736DDF" w14:paraId="6757D28F" w14:textId="77777777" w:rsidTr="0025057A">
        <w:trPr>
          <w:jc w:val="center"/>
        </w:trPr>
        <w:tc>
          <w:tcPr>
            <w:tcW w:w="3096" w:type="dxa"/>
            <w:tcMar>
              <w:top w:w="50" w:type="dxa"/>
              <w:left w:w="70" w:type="dxa"/>
              <w:bottom w:w="50" w:type="dxa"/>
              <w:right w:w="70" w:type="dxa"/>
            </w:tcMar>
          </w:tcPr>
          <w:p w14:paraId="568D8522"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Short Media Comparison</w:t>
            </w:r>
          </w:p>
        </w:tc>
        <w:tc>
          <w:tcPr>
            <w:tcW w:w="936" w:type="dxa"/>
            <w:tcMar>
              <w:top w:w="50" w:type="dxa"/>
              <w:left w:w="70" w:type="dxa"/>
              <w:bottom w:w="50" w:type="dxa"/>
              <w:right w:w="70" w:type="dxa"/>
            </w:tcMar>
          </w:tcPr>
          <w:p w14:paraId="0E39558D" w14:textId="77777777"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10</w:t>
            </w:r>
          </w:p>
        </w:tc>
        <w:tc>
          <w:tcPr>
            <w:tcW w:w="6120" w:type="dxa"/>
            <w:tcMar>
              <w:top w:w="50" w:type="dxa"/>
              <w:left w:w="70" w:type="dxa"/>
              <w:bottom w:w="50" w:type="dxa"/>
              <w:right w:w="70" w:type="dxa"/>
            </w:tcMar>
          </w:tcPr>
          <w:p w14:paraId="4893C0CA"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2–3 page analysis comparing one story, image, or theme across two media forms.</w:t>
            </w:r>
          </w:p>
        </w:tc>
      </w:tr>
      <w:tr w:rsidR="0048602E" w:rsidRPr="00736DDF" w14:paraId="55534DDF" w14:textId="77777777" w:rsidTr="0025057A">
        <w:trPr>
          <w:jc w:val="center"/>
        </w:trPr>
        <w:tc>
          <w:tcPr>
            <w:tcW w:w="3096" w:type="dxa"/>
            <w:tcMar>
              <w:top w:w="50" w:type="dxa"/>
              <w:left w:w="70" w:type="dxa"/>
              <w:bottom w:w="50" w:type="dxa"/>
              <w:right w:w="70" w:type="dxa"/>
            </w:tcMar>
          </w:tcPr>
          <w:p w14:paraId="2F35953C"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Midterm Comparative Essay</w:t>
            </w:r>
          </w:p>
        </w:tc>
        <w:tc>
          <w:tcPr>
            <w:tcW w:w="936" w:type="dxa"/>
            <w:tcMar>
              <w:top w:w="50" w:type="dxa"/>
              <w:left w:w="70" w:type="dxa"/>
              <w:bottom w:w="50" w:type="dxa"/>
              <w:right w:w="70" w:type="dxa"/>
            </w:tcMar>
          </w:tcPr>
          <w:p w14:paraId="35AAFE1B"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25</w:t>
            </w:r>
          </w:p>
        </w:tc>
        <w:tc>
          <w:tcPr>
            <w:tcW w:w="6120" w:type="dxa"/>
            <w:tcMar>
              <w:top w:w="50" w:type="dxa"/>
              <w:left w:w="70" w:type="dxa"/>
              <w:bottom w:w="50" w:type="dxa"/>
              <w:right w:w="70" w:type="dxa"/>
            </w:tcMar>
          </w:tcPr>
          <w:p w14:paraId="7BE32D71"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5–6 page essay, “One Story, Two Media,” analyzing how representation changes across media.</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Field Trip Museum Analysis</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A 2–3 page analysis of how the museum visited in Week 6 narrates this history, compared with one Korean museum or memorial.</w:t>
            </w:r>
          </w:p>
        </w:tc>
      </w:tr>
      <w:tr w:rsidR="0048602E" w:rsidRPr="00736DDF" w14:paraId="7D238B6F" w14:textId="77777777" w:rsidTr="0025057A">
        <w:trPr>
          <w:jc w:val="center"/>
        </w:trPr>
        <w:tc>
          <w:tcPr>
            <w:tcW w:w="3096" w:type="dxa"/>
            <w:tcMar>
              <w:top w:w="50" w:type="dxa"/>
              <w:left w:w="70" w:type="dxa"/>
              <w:bottom w:w="50" w:type="dxa"/>
              <w:right w:w="70" w:type="dxa"/>
            </w:tcMar>
          </w:tcPr>
          <w:p w14:paraId="77DF4D95"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Final Reflection Painting + Essay</w:t>
            </w:r>
          </w:p>
        </w:tc>
        <w:tc>
          <w:tcPr>
            <w:tcW w:w="936" w:type="dxa"/>
            <w:tcMar>
              <w:top w:w="50" w:type="dxa"/>
              <w:left w:w="70" w:type="dxa"/>
              <w:bottom w:w="50" w:type="dxa"/>
              <w:right w:w="70" w:type="dxa"/>
            </w:tcMar>
          </w:tcPr>
          <w:p w14:paraId="4CB04AB5" w14:textId="77777777"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25</w:t>
            </w:r>
          </w:p>
        </w:tc>
        <w:tc>
          <w:tcPr>
            <w:tcW w:w="6120" w:type="dxa"/>
            <w:tcMar>
              <w:top w:w="50" w:type="dxa"/>
              <w:left w:w="70" w:type="dxa"/>
              <w:bottom w:w="50" w:type="dxa"/>
              <w:right w:w="70" w:type="dxa"/>
            </w:tcMar>
          </w:tcPr>
          <w:p w14:paraId="222EEC14"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An original visual response plus a 4–5 page analytical reflection. Artistic skill is not graded.</w:t>
            </w:r>
          </w:p>
        </w:tc>
      </w:tr>
      <w:tr w:rsidR="0048602E" w:rsidRPr="00736DDF" w14:paraId="6B78CA07" w14:textId="77777777" w:rsidTr="0025057A">
        <w:trPr>
          <w:jc w:val="center"/>
        </w:trPr>
        <w:tc>
          <w:tcPr>
            <w:tcW w:w="3096" w:type="dxa"/>
            <w:tcMar>
              <w:top w:w="50" w:type="dxa"/>
              <w:left w:w="70" w:type="dxa"/>
              <w:bottom w:w="50" w:type="dxa"/>
              <w:right w:w="70" w:type="dxa"/>
            </w:tcMar>
          </w:tcPr>
          <w:p w14:paraId="57A92F2A"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Total</w:t>
            </w:r>
          </w:p>
        </w:tc>
        <w:tc>
          <w:tcPr>
            <w:tcW w:w="936" w:type="dxa"/>
            <w:tcMar>
              <w:top w:w="50" w:type="dxa"/>
              <w:left w:w="70" w:type="dxa"/>
              <w:bottom w:w="50" w:type="dxa"/>
              <w:right w:w="70" w:type="dxa"/>
            </w:tcMar>
          </w:tcPr>
          <w:p w14:paraId="10833241"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100</w:t>
            </w:r>
          </w:p>
        </w:tc>
        <w:tc>
          <w:tcPr>
            <w:tcW w:w="6120" w:type="dxa"/>
            <w:tcMar>
              <w:top w:w="50" w:type="dxa"/>
              <w:left w:w="70" w:type="dxa"/>
              <w:bottom w:w="50" w:type="dxa"/>
              <w:right w:w="70" w:type="dxa"/>
            </w:tcMar>
          </w:tcPr>
          <w:p w14:paraId="142BB2D8" w14:textId="77777777" w:rsidR="0048602E" w:rsidRPr="00736DDF" w:rsidRDefault="0048602E" w:rsidP="00736DDF">
            <w:pPr>
              <w:pBdr>
                <w:bottom w:val="single" w:sz="4" w:space="1" w:color="auto"/>
              </w:pBdr>
              <w:spacing w:after="0" w:line="240" w:lineRule="auto"/>
              <w:rPr>
                <w:rFonts w:cs="Times New Roman"/>
              </w:rPr>
            </w:pPr>
          </w:p>
        </w:tc>
      </w:tr>
    </w:tbl>
    <w:p w14:paraId="7B0DE98E" w14:textId="77777777" w:rsidR="00736DDF" w:rsidRDefault="00736DDF" w:rsidP="00736DDF">
      <w:pPr>
        <w:pStyle w:val="Heading1"/>
        <w:pBdr>
          <w:bottom w:val="single" w:sz="4" w:space="1" w:color="auto"/>
        </w:pBdr>
        <w:spacing w:line="240" w:lineRule="auto"/>
        <w:rPr>
          <w:rFonts w:ascii="Times New Roman" w:hAnsi="Times New Roman" w:cs="Times New Roman"/>
          <w:lang w:eastAsia="ko-KR"/>
        </w:rPr>
      </w:pPr>
    </w:p>
    <w:p w14:paraId="13EB6C47" w14:textId="5AB8B53E"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Weekly Syllabus</w:t>
      </w:r>
    </w:p>
    <w:p w14:paraId="49A58B53"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Week 1: Media Literacy: Learning to Decode Representation</w:t>
      </w:r>
    </w:p>
    <w:p w14:paraId="6EDEDD72"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lastRenderedPageBreak/>
        <w:t xml:space="preserve">Concepts of the Week: </w:t>
      </w:r>
      <w:r>
        <w:rPr>
          <w:rFonts w:cs="Times New Roman"/>
        </w:rPr>
        <w:t>Media literacy / Representation / Audience / Point of view</w:t>
      </w:r>
    </w:p>
    <w:p w14:paraId="76E246A3" w14:textId="46DD75C5"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Scheibe &amp; Rogow</w:t>
      </w:r>
      <w:r>
        <w:rPr>
          <w:rFonts w:cs="Times New Roman"/>
          <w:highlight w:val="yellow"/>
        </w:rPr>
        <w:t xml:space="preserve"> (2012), Chapters 2 and 4; Hall (1997), “The Work of Representation,” selected sections</w:t>
      </w:r>
      <w:r>
        <w:rPr>
          <w:rFonts w:cs="Times New Roman"/>
        </w:rPr>
        <w:t xml:space="preserve">; short instructor-selected media examples</w:t>
      </w:r>
      <w:r>
        <w:rPr>
          <w:rFonts w:cs="Times New Roman"/>
          <w:highlight w:val="yellow"/>
        </w:rPr>
        <w:t xml:space="preserve"> (e.g., Korean- and English-language news coverage of the same Wednesday Demonstration)</w:t>
      </w:r>
      <w:r>
        <w:rPr>
          <w:rFonts w:cs="Times New Roman"/>
        </w:rPr>
        <w:t xml:space="preserve">.</w:t>
      </w:r>
    </w:p>
    <w:p w14:paraId="61BCCE87"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Establish class norms; map media habits; practice decoding authorship, purpose, audience, framing, selection, and omission; compare how one topic changes across media forms.</w:t>
      </w:r>
    </w:p>
    <w:p w14:paraId="234BFFDD"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Media Positioning Reflection.</w:t>
      </w:r>
    </w:p>
    <w:p w14:paraId="35A38D90"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Week 2: Historical Context and Reading Testimony</w:t>
      </w:r>
    </w:p>
    <w:p w14:paraId="5E7AA3B4"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Testimony / Voice / Context / Translation / Lived experience</w:t>
      </w:r>
      <w:r>
        <w:rPr>
          <w:rFonts w:cs="Times New Roman"/>
          <w:highlight w:val="yellow"/>
        </w:rPr>
        <w:t xml:space="preserve"> / Silence</w:t>
      </w:r>
    </w:p>
    <w:p w14:paraId="21E71ACA"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Chung Chin-sung (1997); Yang Hyunah (1998); Choi &amp; Yang, eds. (2023), Yang’s preface on translation and two survivor testimonies with interviewer’s notes. Primary media: news coverage of Kim Hak-sun’s public testimony (August 14, 1991); the Kono Statement (1993). Recommended: Yang (2008); Chung (1995).</w:t>
      </w:r>
    </w:p>
    <w:p w14:paraId="39FB8E86"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Establish historical and cultural context; </w:t>
      </w:r>
      <w:r>
        <w:rPr>
          <w:rFonts w:cs="Times New Roman"/>
          <w:highlight w:val="yellow"/>
        </w:rPr>
        <w:t xml:space="preserve">discuss why survivors in Korea remained publicly silent for nearly five decades (chastity norms, family shame, Cold War politics) and why public testimony emerged in 1991 amid democratization and the women’s movement; </w:t>
      </w:r>
      <w:r>
        <w:rPr>
          <w:rFonts w:cs="Times New Roman"/>
        </w:rPr>
        <w:t xml:space="preserve">examine terminology and source questions; read first-person testimony closely; consider interviewer, audience, translation, memory, and agency.</w:t>
      </w:r>
    </w:p>
    <w:p w14:paraId="02978E0A"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Selecting &amp; Decoding a Media Document assigned.</w:t>
      </w:r>
    </w:p>
    <w:p w14:paraId="0B30C391"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 xml:space="preserve">Week 3: </w:t>
      </w:r>
      <w:r>
        <w:rPr>
          <w:rFonts w:cs="Times New Roman"/>
          <w:b/>
          <w:highlight w:val="yellow"/>
        </w:rPr>
        <w:t xml:space="preserve">Archival Footage and </w:t>
      </w:r>
      <w:r>
        <w:rPr>
          <w:rFonts w:cs="Times New Roman"/>
          <w:b/>
        </w:rPr>
        <w:t xml:space="preserve">Documentary: Camera, Editing, Voice, and Everyday Life</w:t>
      </w:r>
    </w:p>
    <w:p w14:paraId="68CB526A"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Documentary framing / Authorship / Evidence / Agency</w:t>
      </w:r>
      <w:r>
        <w:rPr>
          <w:rFonts w:cs="Times New Roman"/>
          <w:highlight w:val="yellow"/>
        </w:rPr>
        <w:t xml:space="preserve"> / Archive</w:t>
      </w:r>
    </w:p>
    <w:p w14:paraId="5B259AF1"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U.S. Army photographs and film of Korean women at Songshan and Tengchong (1944; film released in 2017–2018 by the Seoul Metropolitan Government and the Seoul National University Human Rights Center research team); </w:t>
      </w:r>
      <w:r>
        <w:rPr>
          <w:rFonts w:cs="Times New Roman"/>
        </w:rPr>
        <w:t xml:space="preserve">The Murmuring (1995); Habitual Sadness (1997), selected sequences</w:t>
      </w:r>
      <w:r>
        <w:rPr>
          <w:rFonts w:cs="Times New Roman"/>
          <w:highlight w:val="yellow"/>
        </w:rPr>
        <w:t xml:space="preserve">; Shusenjo (2018), selected sequences. Readings: Kang Sung-hyun (2019); Nichols (2017), chapter on documentary modes; Kim Hyun Gyung (2025).</w:t>
      </w:r>
    </w:p>
    <w:p w14:paraId="4CB5F66D"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Ask who held the camera in 1944 and what the archival images show and conceal; </w:t>
      </w:r>
      <w:r>
        <w:rPr>
          <w:rFonts w:cs="Times New Roman"/>
        </w:rPr>
        <w:t xml:space="preserve">decode documentary form; analyze camera position, editing, sound, silence, filmmaker presence, and everyday life; compare recorded testimony with documentary representation</w:t>
      </w:r>
      <w:r>
        <w:rPr>
          <w:rFonts w:cs="Times New Roman"/>
          <w:highlight w:val="yellow"/>
        </w:rPr>
        <w:t xml:space="preserve">; trace how the same archival images are reused in later documentaries and news reports</w:t>
      </w:r>
      <w:r>
        <w:rPr>
          <w:rFonts w:cs="Times New Roman"/>
        </w:rPr>
        <w:t xml:space="preserve">.</w:t>
      </w:r>
    </w:p>
    <w:p w14:paraId="7BBB9C7E"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Selecting &amp; Decoding a Media Document.</w:t>
      </w:r>
    </w:p>
    <w:p w14:paraId="676F995D"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 xml:space="preserve">Week 4: Survivor Paintings</w:t>
      </w:r>
      <w:r>
        <w:rPr>
          <w:rFonts w:cs="Times New Roman"/>
          <w:b/>
          <w:highlight w:val="yellow"/>
        </w:rPr>
        <w:t xml:space="preserve">, Animation,</w:t>
      </w:r>
      <w:r>
        <w:rPr>
          <w:rFonts w:cs="Times New Roman"/>
          <w:b/>
        </w:rPr>
        <w:t xml:space="preserve"> and Visual Literacy</w:t>
      </w:r>
    </w:p>
    <w:p w14:paraId="3F5B6DE9"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Self-representation / Visual evidence / Symbolism / Absence</w:t>
      </w:r>
      <w:r>
        <w:rPr>
          <w:rFonts w:cs="Times New Roman"/>
          <w:highlight w:val="yellow"/>
        </w:rPr>
        <w:t xml:space="preserve"> / Animation and abstraction</w:t>
      </w:r>
    </w:p>
    <w:p w14:paraId="3194576A"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Selected survivor paintings</w:t>
      </w:r>
      <w:r>
        <w:rPr>
          <w:rFonts w:cs="Times New Roman"/>
          <w:highlight w:val="yellow"/>
        </w:rPr>
        <w:t xml:space="preserve"> by Kang Duk-kyung and Kim Soon-duk; Herstory (dir. Kim Jun-ki, 2011), an animated short built on survivor Chung Seo-woon’s recorded voice; Unforgotten (dir. Sujin Kim, 2021), an animated short. Readings: Kwon, Hyunji (2017); Choi, Christine (2024). Recommended: Gendry-Kim, Grass (2019), selected chapters.</w:t>
      </w:r>
    </w:p>
    <w:p w14:paraId="22EA5A32"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Practice slow looking and close visual analysis; examine color, composition, symbolism, perspective, and absence; compare what painting communicates differently from testimony and documentary</w:t>
      </w:r>
      <w:r>
        <w:rPr>
          <w:rFonts w:cs="Times New Roman"/>
          <w:highlight w:val="yellow"/>
        </w:rPr>
        <w:t xml:space="preserve">; distinguish survivor self-representation from the animated re-mediation of a survivor’s voice and from a later artist’s abstraction; ask what animation can show that live-action film cannot, and what it risks</w:t>
      </w:r>
      <w:r>
        <w:rPr>
          <w:rFonts w:cs="Times New Roman"/>
        </w:rPr>
        <w:t xml:space="preserve">.</w:t>
      </w:r>
    </w:p>
    <w:p w14:paraId="1392FE18"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Short Media Comparison.</w:t>
      </w:r>
    </w:p>
    <w:p w14:paraId="092A8E9A"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 xml:space="preserve">Week 5: </w:t>
      </w:r>
      <w:r>
        <w:rPr>
          <w:rFonts w:cs="Times New Roman"/>
          <w:b/>
          <w:highlight w:val="yellow"/>
        </w:rPr>
        <w:t xml:space="preserve">Feature Film, </w:t>
      </w:r>
      <w:r>
        <w:rPr>
          <w:rFonts w:cs="Times New Roman"/>
          <w:b/>
        </w:rPr>
        <w:t xml:space="preserve">News, Digital Media, and Contemporary Public Discourse</w:t>
      </w:r>
    </w:p>
    <w:p w14:paraId="40AD600B"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Framing / Circulation / Postmemory / Digital mediation</w:t>
      </w:r>
      <w:r>
        <w:rPr>
          <w:rFonts w:cs="Times New Roman"/>
          <w:highlight w:val="yellow"/>
        </w:rPr>
        <w:t xml:space="preserve"> / Dramatization</w:t>
      </w:r>
    </w:p>
    <w:p w14:paraId="564A6561"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I Can Speak (dir. Kim Hyun-seok, 2017), selected sequences, paired with news footage of the February 15, 2007 U.S. House hearing at which survivors testified; </w:t>
      </w:r>
      <w:r>
        <w:rPr>
          <w:rFonts w:cs="Times New Roman"/>
        </w:rPr>
        <w:t xml:space="preserve">selected news and digital examples</w:t>
      </w:r>
      <w:r>
        <w:rPr>
          <w:rFonts w:cs="Times New Roman"/>
          <w:highlight w:val="yellow"/>
        </w:rPr>
        <w:t xml:space="preserve">, including coverage of the 2021 Ramseyer controversy in Korean, Japanese, Chinese, and English-language outlets. Readings: Hirsch (2008), selected sections; </w:t>
      </w:r>
      <w:r>
        <w:rPr>
          <w:rFonts w:cs="Times New Roman"/>
        </w:rPr>
        <w:t xml:space="preserve">Hao &amp; Pan (2025)</w:t>
      </w:r>
      <w:r>
        <w:rPr>
          <w:rFonts w:cs="Times New Roman"/>
          <w:highlight w:val="yellow"/>
        </w:rPr>
        <w:t xml:space="preserve">; Stanley et al. (2021). Recommended: Spirits’ Homecoming (dir. Cho Jung-rae, 2016)</w:t>
      </w:r>
      <w:r>
        <w:rPr>
          <w:rFonts w:cs="Times New Roman"/>
        </w:rPr>
        <w:t xml:space="preserve">.</w:t>
      </w:r>
    </w:p>
    <w:p w14:paraId="7F201CD7"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Compare a feature film’s dramatization of testimony with the public record it draws on; </w:t>
      </w:r>
      <w:r>
        <w:rPr>
          <w:rFonts w:cs="Times New Roman"/>
        </w:rPr>
        <w:t xml:space="preserve">analyze headlines, images, circulation, platform conventions, and audience; </w:t>
      </w:r>
      <w:r>
        <w:rPr>
          <w:rFonts w:cs="Times New Roman"/>
          <w:highlight w:val="yellow"/>
        </w:rPr>
        <w:t xml:space="preserve">evaluate how evidence is cited, distorted, or contested in a public controversy; </w:t>
      </w:r>
      <w:r>
        <w:rPr>
          <w:rFonts w:cs="Times New Roman"/>
        </w:rPr>
        <w:t xml:space="preserve">compare contemporary digital representations with earlier survivor-centered media; workshop comparative claims and evidence.</w:t>
      </w:r>
    </w:p>
    <w:p w14:paraId="0DFF65CF"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Midterm Comparative Essay.</w:t>
      </w:r>
    </w:p>
    <w:p w14:paraId="19F179DD"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 xml:space="preserve">Week 6: Museums, Memorials, and the Making of Public Memory</w:t>
      </w:r>
      <w:r>
        <w:rPr>
          <w:rFonts w:cs="Times New Roman"/>
          <w:b/>
          <w:highlight w:val="yellow"/>
        </w:rPr>
        <w:t xml:space="preserve"> (Field Trip)</w:t>
      </w:r>
    </w:p>
    <w:p w14:paraId="5FDCC795"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Cultural memory / Curation / Memorialization / Public audience</w:t>
      </w:r>
      <w:r>
        <w:rPr>
          <w:rFonts w:cs="Times New Roman"/>
          <w:highlight w:val="yellow"/>
        </w:rPr>
        <w:t xml:space="preserve"> / Site and authenticity</w:t>
      </w:r>
    </w:p>
    <w:p w14:paraId="33E19717"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Selected museum, memorial, Statue of Peace, and digital/VR materials</w:t>
      </w:r>
      <w:r>
        <w:rPr>
          <w:rFonts w:cs="Times New Roman"/>
          <w:highlight w:val="yellow"/>
        </w:rPr>
        <w:t xml:space="preserve"> (War and Women’s Human Rights Museum, Seoul; House of Sharing, Gwangju, Gyeonggi Province; Heeum Museum, Daegu). Readings: Kwon, Vicki Sung-yeon (2019); Vickers (2019); one site reading: Option A (Shanghai), Qiu, Su, &amp; Chen (2013), two testimonies, or Option B (Nanjing), Li (2023). Recommended: Lee, Jaeyeon (2025); Buchheim (2022).</w:t>
      </w:r>
    </w:p>
    <w:p w14:paraId="706E1FC6"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Examine how institutions curate testimony, objects, images, and space; ask who is addressed by memorials and museums; trace what is preserved, transformed, or omitted as memory moves from testimony to public culture.</w:t>
      </w:r>
      <w:r>
        <w:rPr>
          <w:rFonts w:cs="Times New Roman"/>
          <w:highlight w:val="yellow"/>
        </w:rPr>
        <w:t xml:space="preserve"> Field trip (see Field Trip section below): decode the museum’s narrative using the on-site worksheet and compare its framing with the Korean museums and memorials studied this week.</w:t>
      </w:r>
    </w:p>
    <w:p w14:paraId="4BC5E7A4"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Final project proposal / visual concept</w:t>
      </w:r>
      <w:r>
        <w:rPr>
          <w:rFonts w:cs="Times New Roman"/>
          <w:highlight w:val="yellow"/>
        </w:rPr>
        <w:t xml:space="preserve">; on-site field-trip worksheet</w:t>
      </w:r>
      <w:r>
        <w:rPr>
          <w:rFonts w:cs="Times New Roman"/>
        </w:rPr>
        <w:t xml:space="preserve">.</w:t>
      </w:r>
    </w:p>
    <w:p w14:paraId="02544A09" w14:textId="77777777" w:rsidR="0048602E" w:rsidRPr="00736DDF" w:rsidRDefault="00000000" w:rsidP="00736DDF">
      <w:pPr>
        <w:pBdr>
          <w:bottom w:val="single" w:sz="4" w:space="1" w:color="auto"/>
        </w:pBdr>
        <w:spacing w:before="120" w:after="20" w:line="240" w:lineRule="auto"/>
        <w:rPr>
          <w:rFonts w:cs="Times New Roman"/>
        </w:rPr>
      </w:pPr>
      <w:r>
        <w:rPr>
          <w:rFonts w:cs="Times New Roman"/>
          <w:b/>
        </w:rPr>
        <w:t>Week 7: Making Media and Reflecting on Representation</w:t>
      </w:r>
    </w:p>
    <w:p w14:paraId="76A8EB5F"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Ethics of representation / Creative choice / Reflection / Synthesis</w:t>
      </w:r>
    </w:p>
    <w:p w14:paraId="495A8CE1"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McCarthy (2025), introduction to the Women’s History Review special issue on “comfort women” knowledge production and activism</w:t>
      </w:r>
      <w:r>
        <w:rPr>
          <w:rFonts w:cs="Times New Roman"/>
        </w:rPr>
        <w:t xml:space="preserve">; revisit selected course media.</w:t>
      </w:r>
    </w:p>
    <w:p w14:paraId="31DB7DC3"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Field-trip debrief; </w:t>
      </w:r>
      <w:r>
        <w:rPr>
          <w:rFonts w:cs="Times New Roman"/>
        </w:rPr>
        <w:t xml:space="preserve">Reflection-painting workshop; peer response; discuss ethical choices about perspective, symbolism, selection, and omission; revisit the course’s core media-literacy questions across testimony, film, art, digital media, and public memory.</w:t>
      </w:r>
    </w:p>
    <w:p w14:paraId="4C747C81" w14:textId="77777777" w:rsidR="0048602E" w:rsidRPr="00736DDF" w:rsidRDefault="00000000" w:rsidP="00736DDF">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Field Trip Museum Analysis (first meeting of Week 7); </w:t>
      </w:r>
      <w:r>
        <w:rPr>
          <w:rFonts w:cs="Times New Roman"/>
        </w:rPr>
        <w:t xml:space="preserve">Final Reflection Painting + Essay; brief presentation/discussion.</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Field Trip: How Museums in China Narrate the “Comfort Women” History</w:t>
      </w:r>
    </w:p>
    <w:p>
      <w:pPr>
        <w:pBdr>
          <w:bottom w:val="single" w:sz="4" w:space="1" w:color="auto"/>
        </w:pBdr>
        <w:spacing w:line="240" w:lineRule="auto"/>
        <w:rPr>
          <w:rFonts w:cs="Times New Roman"/>
        </w:rPr>
      </w:pPr>
      <w:r>
        <w:rPr>
          <w:rFonts w:cs="Times New Roman"/>
          <w:highlight w:val="yellow"/>
        </w:rPr>
        <w:t xml:space="preserve">In Week 6 the class will visit one of the two sites below. The instructor will confirm the site, date, transportation, and costs at the start of the course. Both sites connect directly to Korean history. The visit is field-based media analysis: students treat the museum as a medium with authors, audiences, a narrative sequence, and choices about what to include and omit.</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Option A: Shanghai</w:t>
      </w:r>
    </w:p>
    <w:p>
      <w:pPr>
        <w:pBdr>
          <w:bottom w:val="single" w:sz="4" w:space="1" w:color="auto"/>
        </w:pBdr>
        <w:spacing w:line="240" w:lineRule="auto"/>
        <w:rPr>
          <w:rFonts w:cs="Times New Roman"/>
        </w:rPr>
      </w:pPr>
      <w:r>
        <w:rPr>
          <w:rFonts w:cs="Times New Roman"/>
          <w:highlight w:val="yellow"/>
        </w:rPr>
        <w:t xml:space="preserve">China “Comfort Women” History Museum (中国“慰安妇”历史博物馆), Shanghai Normal University. The museum opened in October 2016 under the university’s research center on Chinese “comfort women,” directed by historian Su Zhiliang, and displays survivor testimonies, photographs, documents, and personal objects. On the same campus stands a pair of statues of a Korean girl and a Chinese girl, unveiled on October 22, 2016. The Korean figure is by Kim Seo-kyung and Kim Eun-sung, the sculptors of the 2011 Statue of Peace in Seoul, and the project was funded by donations from citizens of Hwaseong, Korea. Students can compare how the same memorial form is framed in Seoul and in Shanghai. Optional second stop: the Site of the Provisional Government of the Republic of Korea (306 Madang Road), which places the visit within Korea’s colonial history.</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Option B: Nanjing</w:t>
      </w:r>
    </w:p>
    <w:p>
      <w:pPr>
        <w:pBdr>
          <w:bottom w:val="single" w:sz="4" w:space="1" w:color="auto"/>
        </w:pBdr>
        <w:spacing w:line="240" w:lineRule="auto"/>
        <w:rPr>
          <w:rFonts w:cs="Times New Roman"/>
        </w:rPr>
      </w:pPr>
      <w:r>
        <w:rPr>
          <w:rFonts w:cs="Times New Roman"/>
          <w:highlight w:val="yellow"/>
        </w:rPr>
        <w:t xml:space="preserve">Lijixiang (Liji Lane) Former Comfort Station Exhibition Hall (利济巷慰安所旧址陈列馆), a branch of the Memorial Hall of the Victims in Nanjing Massacre by Japanese Invaders. Opened in December 2015 in surviving buildings of a wartime comfort station complex, it is a museum located at the site where the violence took place. In 2003 the Korean survivor Park Young-sim (1921–2006) identified a room at No. 2 Liji Lane as the place where she had been confined. Park is also identified as the pregnant woman in a September 1944 U.S. Army photograph from Songshan examined in Week 3, so students can follow one Korean woman’s story across a photograph, testimony, and a museum.</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Before, During, and After the Visit</w:t>
      </w:r>
    </w:p>
    <w:p>
      <w:pPr>
        <w:pStyle w:val="ListBullet"/>
        <w:pBdr>
          <w:bottom w:val="single" w:sz="4" w:space="1" w:color="auto"/>
        </w:pBdr>
        <w:spacing w:after="30" w:line="240" w:lineRule="auto"/>
        <w:rPr>
          <w:rFonts w:cs="Times New Roman"/>
        </w:rPr>
      </w:pPr>
      <w:r>
        <w:rPr>
          <w:rFonts w:cs="Times New Roman"/>
          <w:highlight w:val="yellow"/>
        </w:rPr>
        <w:t xml:space="preserve">Before: complete the Week 6 readings, including the reading for the site the class will visit, and review the Korean museums and memorials discussed in class.</w:t>
      </w:r>
    </w:p>
    <w:p>
      <w:pPr>
        <w:pStyle w:val="ListBullet"/>
        <w:pBdr>
          <w:bottom w:val="single" w:sz="4" w:space="1" w:color="auto"/>
        </w:pBdr>
        <w:spacing w:after="30" w:line="240" w:lineRule="auto"/>
        <w:rPr>
          <w:rFonts w:cs="Times New Roman"/>
        </w:rPr>
      </w:pPr>
      <w:r>
        <w:rPr>
          <w:rFonts w:cs="Times New Roman"/>
          <w:highlight w:val="yellow"/>
        </w:rPr>
        <w:t xml:space="preserve">During: complete the on-site worksheet. Who created and funds this museum? Who is the intended audience? What story does the exhibition sequence tell from entrance to exit? Whose voices are heard (survivors, historians, the state), and in which languages? How are Korean women represented relative to Chinese women? What is omitted? How do architecture, lighting, sound, and objects shape emotion?</w:t>
      </w:r>
    </w:p>
    <w:p>
      <w:pPr>
        <w:pStyle w:val="ListBullet"/>
        <w:pBdr>
          <w:bottom w:val="single" w:sz="4" w:space="1" w:color="auto"/>
        </w:pBdr>
        <w:spacing w:after="30" w:line="240" w:lineRule="auto"/>
        <w:rPr>
          <w:rFonts w:cs="Times New Roman"/>
        </w:rPr>
      </w:pPr>
      <w:r>
        <w:rPr>
          <w:rFonts w:cs="Times New Roman"/>
          <w:highlight w:val="yellow"/>
        </w:rPr>
        <w:t xml:space="preserve">After: class debrief at the start of Week 7, followed by the Field Trip Museum Analysis.</w:t>
      </w:r>
    </w:p>
    <w:p>
      <w:pPr>
        <w:pStyle w:val="ListBullet"/>
        <w:pBdr>
          <w:bottom w:val="single" w:sz="4" w:space="1" w:color="auto"/>
        </w:pBdr>
        <w:spacing w:after="30" w:line="240" w:lineRule="auto"/>
        <w:rPr>
          <w:rFonts w:cs="Times New Roman"/>
        </w:rPr>
      </w:pPr>
      <w:r>
        <w:rPr>
          <w:rFonts w:cs="Times New Roman"/>
          <w:highlight w:val="yellow"/>
        </w:rPr>
        <w:t xml:space="preserve">Conduct and care: memorial sites call for quiet, respectful behavior. Follow each site’s photography rules and bring identification if required. Students may step away at any time. Students who cannot attend for health, financial, or personal reasons will complete a virtual visit and an equivalent written analysis.</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Reading List</w:t>
      </w:r>
    </w:p>
    <w:p>
      <w:pPr>
        <w:pBdr>
          <w:bottom w:val="single" w:sz="4" w:space="1" w:color="auto"/>
        </w:pBdr>
        <w:spacing w:line="240" w:lineRule="auto"/>
        <w:rPr>
          <w:rFonts w:cs="Times New Roman"/>
        </w:rPr>
      </w:pPr>
      <w:r>
        <w:rPr>
          <w:rFonts w:cs="Times New Roman"/>
          <w:highlight w:val="yellow"/>
        </w:rPr>
        <w:t xml:space="preserve">Required readings are marked for each week; recommended readings support the essays and the final project. Readings by Chung Chin-sung, Yang Hyunah, and Kang Sung-hyun, Korean scholars whose research and testimony work shaped the field, are included in Weeks 2 and 3.</w:t>
      </w:r>
    </w:p>
    <w:p>
      <w:pPr>
        <w:keepNext/>
        <w:pBdr>
          <w:bottom w:val="single" w:sz="4" w:space="1" w:color="auto"/>
        </w:pBdr>
        <w:spacing w:before="120" w:after="30" w:line="240" w:lineRule="auto"/>
        <w:rPr>
          <w:rFonts w:cs="Times New Roman"/>
        </w:rPr>
      </w:pPr>
      <w:r>
        <w:rPr>
          <w:rFonts w:cs="Times New Roman"/>
          <w:b/>
          <w:highlight w:val="yellow"/>
        </w:rPr>
        <w:t xml:space="preserve">Week 1</w:t>
      </w:r>
    </w:p>
    <w:p>
      <w:pPr>
        <w:pBdr>
          <w:bottom w:val="single" w:sz="4" w:space="1" w:color="auto"/>
        </w:pBdr>
        <w:spacing w:after="40" w:line="240" w:lineRule="auto"/>
        <w:ind w:left="360" w:hanging="360"/>
        <w:rPr>
          <w:rFonts w:cs="Times New Roman"/>
        </w:rPr>
      </w:pPr>
      <w:r>
        <w:rPr>
          <w:rFonts w:cs="Times New Roman"/>
          <w:highlight w:val="yellow"/>
        </w:rPr>
        <w:t xml:space="preserve">Scheibe, C., &amp; Rogow, F. (2012). </w:t>
      </w:r>
      <w:r>
        <w:rPr>
          <w:rFonts w:cs="Times New Roman"/>
          <w:i/>
          <w:highlight w:val="yellow"/>
        </w:rPr>
        <w:t xml:space="preserve">The teacher’s guide to media literacy: Critical thinking in a multimedia world</w:t>
      </w:r>
      <w:r>
        <w:rPr>
          <w:rFonts w:cs="Times New Roman"/>
          <w:highlight w:val="yellow"/>
        </w:rPr>
        <w:t xml:space="preserve">. Corwin. Chapters 2 and 4.</w:t>
      </w:r>
    </w:p>
    <w:p>
      <w:pPr>
        <w:pBdr>
          <w:bottom w:val="single" w:sz="4" w:space="1" w:color="auto"/>
        </w:pBdr>
        <w:spacing w:after="40" w:line="240" w:lineRule="auto"/>
        <w:ind w:left="360" w:hanging="360"/>
        <w:rPr>
          <w:rFonts w:cs="Times New Roman"/>
        </w:rPr>
      </w:pPr>
      <w:r>
        <w:rPr>
          <w:rFonts w:cs="Times New Roman"/>
          <w:highlight w:val="yellow"/>
        </w:rPr>
        <w:t xml:space="preserve">Hall, S. (1997). The work of representation. In S. Hall (Ed.), </w:t>
      </w:r>
      <w:r>
        <w:rPr>
          <w:rFonts w:cs="Times New Roman"/>
          <w:i/>
          <w:highlight w:val="yellow"/>
        </w:rPr>
        <w:t xml:space="preserve">Representation: Cultural representations and signifying practices</w:t>
      </w:r>
      <w:r>
        <w:rPr>
          <w:rFonts w:cs="Times New Roman"/>
          <w:highlight w:val="yellow"/>
        </w:rPr>
        <w:t xml:space="preserve">. Sage. Selected sections.</w:t>
      </w:r>
    </w:p>
    <w:p>
      <w:pPr>
        <w:keepNext/>
        <w:pBdr>
          <w:bottom w:val="single" w:sz="4" w:space="1" w:color="auto"/>
        </w:pBdr>
        <w:spacing w:before="120" w:after="30" w:line="240" w:lineRule="auto"/>
        <w:rPr>
          <w:rFonts w:cs="Times New Roman"/>
        </w:rPr>
      </w:pPr>
      <w:r>
        <w:rPr>
          <w:rFonts w:cs="Times New Roman"/>
          <w:b/>
          <w:highlight w:val="yellow"/>
        </w:rPr>
        <w:t xml:space="preserve">Week 2</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Chung, C. S. (1997). The origin and development of the military sexual slavery problem in imperial Japan. </w:t>
      </w:r>
      <w:r>
        <w:rPr>
          <w:rFonts w:cs="Times New Roman"/>
          <w:i/>
          <w:highlight w:val="yellow"/>
        </w:rPr>
        <w:t xml:space="preserve">positions: east asia cultures critique, 5</w:t>
      </w:r>
      <w:r>
        <w:rPr>
          <w:rFonts w:cs="Times New Roman"/>
          <w:highlight w:val="yellow"/>
        </w:rPr>
        <w:t xml:space="preserve">(1).</w:t>
      </w:r>
    </w:p>
    <w:p>
      <w:pPr>
        <w:pBdr>
          <w:bottom w:val="single" w:sz="4" w:space="1" w:color="auto"/>
        </w:pBdr>
        <w:spacing w:after="40" w:line="240" w:lineRule="auto"/>
        <w:ind w:left="360" w:hanging="360"/>
        <w:rPr>
          <w:rFonts w:cs="Times New Roman"/>
        </w:rPr>
      </w:pPr>
      <w:r>
        <w:rPr>
          <w:rFonts w:cs="Times New Roman"/>
          <w:highlight w:val="yellow"/>
        </w:rPr>
        <w:t xml:space="preserve">Yang, H. (1998). Re-membering the Korean military comfort women: Nationalism, sexuality, and silencing. In E. H. Kim &amp; C. Choi (Eds.), </w:t>
      </w:r>
      <w:r>
        <w:rPr>
          <w:rFonts w:cs="Times New Roman"/>
          <w:i/>
          <w:highlight w:val="yellow"/>
        </w:rPr>
        <w:t xml:space="preserve">Dangerous women: Gender and Korean nationalism</w:t>
      </w:r>
      <w:r>
        <w:rPr>
          <w:rFonts w:cs="Times New Roman"/>
          <w:highlight w:val="yellow"/>
        </w:rPr>
        <w:t xml:space="preserve">. Routledge.</w:t>
      </w:r>
    </w:p>
    <w:p>
      <w:pPr>
        <w:pBdr>
          <w:bottom w:val="single" w:sz="4" w:space="1" w:color="auto"/>
        </w:pBdr>
        <w:spacing w:after="40" w:line="240" w:lineRule="auto"/>
        <w:ind w:left="360" w:hanging="360"/>
        <w:rPr>
          <w:rFonts w:cs="Times New Roman"/>
        </w:rPr>
      </w:pPr>
      <w:r>
        <w:rPr>
          <w:rFonts w:cs="Times New Roman"/>
          <w:highlight w:val="yellow"/>
        </w:rPr>
        <w:t xml:space="preserve">Choi, C., &amp; Yang, H. (Eds. &amp; Trans.). (2023). </w:t>
      </w:r>
      <w:r>
        <w:rPr>
          <w:rFonts w:cs="Times New Roman"/>
          <w:i/>
          <w:highlight w:val="yellow"/>
        </w:rPr>
        <w:t xml:space="preserve">Voices of the Korean comfort women: History rewritten from memories</w:t>
      </w:r>
      <w:r>
        <w:rPr>
          <w:rFonts w:cs="Times New Roman"/>
          <w:highlight w:val="yellow"/>
        </w:rPr>
        <w:t xml:space="preserve">. Routledge. Yang’s preface to the English translation and two testimonies with interviewer’s notes.</w:t>
      </w:r>
    </w:p>
    <w:p>
      <w:pPr>
        <w:keepNext/>
        <w:pBdr>
          <w:bottom w:val="single" w:sz="4" w:space="1" w:color="auto"/>
        </w:pBdr>
        <w:spacing w:before="40" w:after="20" w:line="240" w:lineRule="auto"/>
        <w:rPr>
          <w:rFonts w:cs="Times New Roman"/>
        </w:rPr>
      </w:pPr>
      <w:r>
        <w:rPr>
          <w:rFonts w:cs="Times New Roman"/>
          <w:i/>
          <w:highlight w:val="yellow"/>
        </w:rPr>
        <w:t xml:space="preserve">Primary documents</w:t>
      </w:r>
    </w:p>
    <w:p>
      <w:pPr>
        <w:pBdr>
          <w:bottom w:val="single" w:sz="4" w:space="1" w:color="auto"/>
        </w:pBdr>
        <w:spacing w:after="40" w:line="240" w:lineRule="auto"/>
        <w:ind w:left="360" w:hanging="360"/>
        <w:rPr>
          <w:rFonts w:cs="Times New Roman"/>
        </w:rPr>
      </w:pPr>
      <w:r>
        <w:rPr>
          <w:rFonts w:cs="Times New Roman"/>
          <w:highlight w:val="yellow"/>
        </w:rPr>
        <w:t xml:space="preserve">Kono, Y. (1993, August 4). </w:t>
      </w:r>
      <w:r>
        <w:rPr>
          <w:rFonts w:cs="Times New Roman"/>
          <w:i/>
          <w:highlight w:val="yellow"/>
        </w:rPr>
        <w:t xml:space="preserve">Statement by the Chief Cabinet Secretary Yohei Kono on the result of the study on the issue of “comfort women.”</w:t>
      </w:r>
      <w:r>
        <w:rPr>
          <w:rFonts w:cs="Times New Roman"/>
          <w:highlight w:val="yellow"/>
        </w:rPr>
        <w:t xml:space="preserve"> Ministry of Foreign Affairs of Japan.</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Yang, H. (2008). Finding the “map of memory”: Testimony of the Japanese military sexual slavery survivors. </w:t>
      </w:r>
      <w:r>
        <w:rPr>
          <w:rFonts w:cs="Times New Roman"/>
          <w:i/>
          <w:highlight w:val="yellow"/>
        </w:rPr>
        <w:t xml:space="preserve">positions: east asia cultures critique, 16</w:t>
      </w:r>
      <w:r>
        <w:rPr>
          <w:rFonts w:cs="Times New Roman"/>
          <w:highlight w:val="yellow"/>
        </w:rPr>
        <w:t xml:space="preserve">(1), 79–107.</w:t>
      </w:r>
    </w:p>
    <w:p>
      <w:pPr>
        <w:pBdr>
          <w:bottom w:val="single" w:sz="4" w:space="1" w:color="auto"/>
        </w:pBdr>
        <w:spacing w:after="40" w:line="240" w:lineRule="auto"/>
        <w:ind w:left="360" w:hanging="360"/>
        <w:rPr>
          <w:rFonts w:cs="Times New Roman"/>
        </w:rPr>
      </w:pPr>
      <w:r>
        <w:rPr>
          <w:rFonts w:cs="Times New Roman"/>
          <w:highlight w:val="yellow"/>
        </w:rPr>
        <w:t xml:space="preserve">Yang, H. (1997). Revisiting the issue of Korean “military comfort women”: The question of truth and positionality. </w:t>
      </w:r>
      <w:r>
        <w:rPr>
          <w:rFonts w:cs="Times New Roman"/>
          <w:i/>
          <w:highlight w:val="yellow"/>
        </w:rPr>
        <w:t xml:space="preserve">positions: east asia cultures critique, 5</w:t>
      </w:r>
      <w:r>
        <w:rPr>
          <w:rFonts w:cs="Times New Roman"/>
          <w:highlight w:val="yellow"/>
        </w:rPr>
        <w:t xml:space="preserve">(1), 51–71.</w:t>
      </w:r>
    </w:p>
    <w:p>
      <w:pPr>
        <w:pBdr>
          <w:bottom w:val="single" w:sz="4" w:space="1" w:color="auto"/>
        </w:pBdr>
        <w:spacing w:after="40" w:line="240" w:lineRule="auto"/>
        <w:ind w:left="360" w:hanging="360"/>
        <w:rPr>
          <w:rFonts w:cs="Times New Roman"/>
        </w:rPr>
      </w:pPr>
      <w:r>
        <w:rPr>
          <w:rFonts w:cs="Times New Roman"/>
          <w:highlight w:val="yellow"/>
        </w:rPr>
        <w:t xml:space="preserve">Chung, C. S. (1995). Korean women drafted for military sexual slavery by Japan. In K. Howard (Ed.), </w:t>
      </w:r>
      <w:r>
        <w:rPr>
          <w:rFonts w:cs="Times New Roman"/>
          <w:i/>
          <w:highlight w:val="yellow"/>
        </w:rPr>
        <w:t xml:space="preserve">True stories of the Korean comfort women</w:t>
      </w:r>
      <w:r>
        <w:rPr>
          <w:rFonts w:cs="Times New Roman"/>
          <w:highlight w:val="yellow"/>
        </w:rPr>
        <w:t xml:space="preserve">. Cassell.</w:t>
      </w:r>
    </w:p>
    <w:p>
      <w:pPr>
        <w:pBdr>
          <w:bottom w:val="single" w:sz="4" w:space="1" w:color="auto"/>
        </w:pBdr>
        <w:spacing w:after="40" w:line="240" w:lineRule="auto"/>
        <w:ind w:left="360" w:hanging="360"/>
        <w:rPr>
          <w:rFonts w:cs="Times New Roman"/>
        </w:rPr>
      </w:pPr>
      <w:r>
        <w:rPr>
          <w:rFonts w:cs="Times New Roman"/>
          <w:highlight w:val="yellow"/>
        </w:rPr>
        <w:t xml:space="preserve">Chung, C. S. (1994). Wartime state violence against women of weak nations: Military sexual slavery enforced by Japan during World War II. </w:t>
      </w:r>
      <w:r>
        <w:rPr>
          <w:rFonts w:cs="Times New Roman"/>
          <w:i/>
          <w:highlight w:val="yellow"/>
        </w:rPr>
        <w:t xml:space="preserve">Korean and Korean American Studies Bulletin, 5</w:t>
      </w:r>
      <w:r>
        <w:rPr>
          <w:rFonts w:cs="Times New Roman"/>
          <w:highlight w:val="yellow"/>
        </w:rPr>
        <w:t xml:space="preserve">(2/3), 15–27.</w:t>
      </w:r>
    </w:p>
    <w:p>
      <w:pPr>
        <w:pBdr>
          <w:bottom w:val="single" w:sz="4" w:space="1" w:color="auto"/>
        </w:pBdr>
        <w:spacing w:after="40" w:line="240" w:lineRule="auto"/>
        <w:ind w:left="360" w:hanging="360"/>
        <w:rPr>
          <w:rFonts w:cs="Times New Roman"/>
        </w:rPr>
      </w:pPr>
      <w:r>
        <w:rPr>
          <w:rFonts w:cs="Times New Roman"/>
          <w:highlight w:val="yellow"/>
        </w:rPr>
        <w:t xml:space="preserve">Min, P. G. (2021). </w:t>
      </w:r>
      <w:r>
        <w:rPr>
          <w:rFonts w:cs="Times New Roman"/>
          <w:i/>
          <w:highlight w:val="yellow"/>
        </w:rPr>
        <w:t xml:space="preserve">Korean “comfort women”: Military brothels, brutality, and the redress movement</w:t>
      </w:r>
      <w:r>
        <w:rPr>
          <w:rFonts w:cs="Times New Roman"/>
          <w:highlight w:val="yellow"/>
        </w:rPr>
        <w:t xml:space="preserve">. Rutgers University Press.</w:t>
      </w:r>
    </w:p>
    <w:p>
      <w:pPr>
        <w:pBdr>
          <w:bottom w:val="single" w:sz="4" w:space="1" w:color="auto"/>
        </w:pBdr>
        <w:spacing w:after="40" w:line="240" w:lineRule="auto"/>
        <w:ind w:left="360" w:hanging="360"/>
        <w:rPr>
          <w:rFonts w:cs="Times New Roman"/>
        </w:rPr>
      </w:pPr>
      <w:r>
        <w:rPr>
          <w:rFonts w:cs="Times New Roman"/>
          <w:highlight w:val="yellow"/>
        </w:rPr>
        <w:t xml:space="preserve">Soh, C. S. (2008). </w:t>
      </w:r>
      <w:r>
        <w:rPr>
          <w:rFonts w:cs="Times New Roman"/>
          <w:i/>
          <w:highlight w:val="yellow"/>
        </w:rPr>
        <w:t xml:space="preserve">The comfort women: Sexual violence and postcolonial memory in Korea and Japan</w:t>
      </w:r>
      <w:r>
        <w:rPr>
          <w:rFonts w:cs="Times New Roman"/>
          <w:highlight w:val="yellow"/>
        </w:rPr>
        <w:t xml:space="preserve">. University of Chicago Press.</w:t>
      </w:r>
    </w:p>
    <w:p>
      <w:pPr>
        <w:keepNext/>
        <w:pBdr>
          <w:bottom w:val="single" w:sz="4" w:space="1" w:color="auto"/>
        </w:pBdr>
        <w:spacing w:before="120" w:after="30" w:line="240" w:lineRule="auto"/>
        <w:rPr>
          <w:rFonts w:cs="Times New Roman"/>
        </w:rPr>
      </w:pPr>
      <w:r>
        <w:rPr>
          <w:rFonts w:cs="Times New Roman"/>
          <w:b/>
          <w:highlight w:val="yellow"/>
        </w:rPr>
        <w:t xml:space="preserve">Week 3</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Kang, S. H. (2019). The U.S. Army photography and the “seen side” and “blind side” of the Japanese military comfort women: The still pictures and motion pictures of the Korean comfort girls in Myitkyina, Sungshan, and Tengchung. </w:t>
      </w:r>
      <w:r>
        <w:rPr>
          <w:rFonts w:cs="Times New Roman"/>
          <w:i/>
          <w:highlight w:val="yellow"/>
        </w:rPr>
        <w:t xml:space="preserve">Korea Journal, 59</w:t>
      </w:r>
      <w:r>
        <w:rPr>
          <w:rFonts w:cs="Times New Roman"/>
          <w:highlight w:val="yellow"/>
        </w:rPr>
        <w:t xml:space="preserve">(2), 144–176. https://doi.org/10.25024/kj.2019.59.2.144 (open access)</w:t>
      </w:r>
    </w:p>
    <w:p>
      <w:pPr>
        <w:pBdr>
          <w:bottom w:val="single" w:sz="4" w:space="1" w:color="auto"/>
        </w:pBdr>
        <w:spacing w:after="40" w:line="240" w:lineRule="auto"/>
        <w:ind w:left="360" w:hanging="360"/>
        <w:rPr>
          <w:rFonts w:cs="Times New Roman"/>
        </w:rPr>
      </w:pPr>
      <w:r>
        <w:rPr>
          <w:rFonts w:cs="Times New Roman"/>
          <w:highlight w:val="yellow"/>
        </w:rPr>
        <w:t xml:space="preserve">Nichols, B. (2017). </w:t>
      </w:r>
      <w:r>
        <w:rPr>
          <w:rFonts w:cs="Times New Roman"/>
          <w:i/>
          <w:highlight w:val="yellow"/>
        </w:rPr>
        <w:t xml:space="preserve">Introduction to documentary</w:t>
      </w:r>
      <w:r>
        <w:rPr>
          <w:rFonts w:cs="Times New Roman"/>
          <w:highlight w:val="yellow"/>
        </w:rPr>
        <w:t xml:space="preserve"> (3rd ed.). Indiana University Press. Chapter on documentary modes.</w:t>
      </w:r>
    </w:p>
    <w:p>
      <w:pPr>
        <w:pBdr>
          <w:bottom w:val="single" w:sz="4" w:space="1" w:color="auto"/>
        </w:pBdr>
        <w:spacing w:after="40" w:line="240" w:lineRule="auto"/>
        <w:ind w:left="360" w:hanging="360"/>
        <w:rPr>
          <w:rFonts w:cs="Times New Roman"/>
        </w:rPr>
      </w:pPr>
      <w:r>
        <w:rPr>
          <w:rFonts w:cs="Times New Roman"/>
          <w:highlight w:val="yellow"/>
        </w:rPr>
        <w:t xml:space="preserve">Kim, H. G. (2025). The archival practice of “comfort women” documentary </w:t>
      </w:r>
      <w:r>
        <w:rPr>
          <w:rFonts w:cs="Times New Roman"/>
          <w:i/>
          <w:highlight w:val="yellow"/>
        </w:rPr>
        <w:t xml:space="preserve">Shusenjo: The Main Battleground of the Comfort Women Issue</w:t>
      </w:r>
      <w:r>
        <w:rPr>
          <w:rFonts w:cs="Times New Roman"/>
          <w:highlight w:val="yellow"/>
        </w:rPr>
        <w:t xml:space="preserve">. </w:t>
      </w:r>
      <w:r>
        <w:rPr>
          <w:rFonts w:cs="Times New Roman"/>
          <w:i/>
          <w:highlight w:val="yellow"/>
        </w:rPr>
        <w:t xml:space="preserve">Women’s History Review, 34</w:t>
      </w:r>
      <w:r>
        <w:rPr>
          <w:rFonts w:cs="Times New Roman"/>
          <w:highlight w:val="yellow"/>
        </w:rPr>
        <w:t xml:space="preserve">(5), 859–869.</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Byun, Y. (Director). (1995). </w:t>
      </w:r>
      <w:r>
        <w:rPr>
          <w:rFonts w:cs="Times New Roman"/>
          <w:i/>
          <w:highlight w:val="yellow"/>
        </w:rPr>
        <w:t xml:space="preserve">The murmuring</w:t>
      </w:r>
      <w:r>
        <w:rPr>
          <w:rFonts w:cs="Times New Roman"/>
          <w:highlight w:val="yellow"/>
        </w:rPr>
        <w:t xml:space="preserve"> [Documentary film]. Byun, Y. (Director). (1997). </w:t>
      </w:r>
      <w:r>
        <w:rPr>
          <w:rFonts w:cs="Times New Roman"/>
          <w:i/>
          <w:highlight w:val="yellow"/>
        </w:rPr>
        <w:t xml:space="preserve">Habitual sadness</w:t>
      </w:r>
      <w:r>
        <w:rPr>
          <w:rFonts w:cs="Times New Roman"/>
          <w:highlight w:val="yellow"/>
        </w:rPr>
        <w:t xml:space="preserve"> [Documentary film]. Dezaki, M. (Director). (2018). </w:t>
      </w:r>
      <w:r>
        <w:rPr>
          <w:rFonts w:cs="Times New Roman"/>
          <w:i/>
          <w:highlight w:val="yellow"/>
        </w:rPr>
        <w:t xml:space="preserve">Shusenjo: The main battleground of the comfort women issue</w:t>
      </w:r>
      <w:r>
        <w:rPr>
          <w:rFonts w:cs="Times New Roman"/>
          <w:highlight w:val="yellow"/>
        </w:rPr>
        <w:t xml:space="preserve"> [Documentary film].</w:t>
      </w:r>
    </w:p>
    <w:p>
      <w:pPr>
        <w:keepNext/>
        <w:pBdr>
          <w:bottom w:val="single" w:sz="4" w:space="1" w:color="auto"/>
        </w:pBdr>
        <w:spacing w:before="120" w:after="30" w:line="240" w:lineRule="auto"/>
        <w:rPr>
          <w:rFonts w:cs="Times New Roman"/>
        </w:rPr>
      </w:pPr>
      <w:r>
        <w:rPr>
          <w:rFonts w:cs="Times New Roman"/>
          <w:b/>
          <w:highlight w:val="yellow"/>
        </w:rPr>
        <w:t xml:space="preserve">Week 4</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Kwon, H. (2017). The paintings of Korean comfort woman Duk-kyung Kang: Postcolonial and decolonial aesthetics for colonized bodies. </w:t>
      </w:r>
      <w:r>
        <w:rPr>
          <w:rFonts w:cs="Times New Roman"/>
          <w:i/>
          <w:highlight w:val="yellow"/>
        </w:rPr>
        <w:t xml:space="preserve">Feminist Studies, 43</w:t>
      </w:r>
      <w:r>
        <w:rPr>
          <w:rFonts w:cs="Times New Roman"/>
          <w:highlight w:val="yellow"/>
        </w:rPr>
        <w:t xml:space="preserve">(3), 571–609. https://doi.org/10.1353/fem.2017.0033</w:t>
      </w:r>
    </w:p>
    <w:p>
      <w:pPr>
        <w:pBdr>
          <w:bottom w:val="single" w:sz="4" w:space="1" w:color="auto"/>
        </w:pBdr>
        <w:spacing w:after="40" w:line="240" w:lineRule="auto"/>
        <w:ind w:left="360" w:hanging="360"/>
        <w:rPr>
          <w:rFonts w:cs="Times New Roman"/>
        </w:rPr>
      </w:pPr>
      <w:r>
        <w:rPr>
          <w:rFonts w:cs="Times New Roman"/>
          <w:highlight w:val="yellow"/>
        </w:rPr>
        <w:t xml:space="preserve">Choi, C. (2024). (Re)animating “comfort women” memories: Fantastical abstractions and metaphorical violence. </w:t>
      </w:r>
      <w:r>
        <w:rPr>
          <w:rFonts w:cs="Times New Roman"/>
          <w:i/>
          <w:highlight w:val="yellow"/>
        </w:rPr>
        <w:t xml:space="preserve">Howard Journal of Communications</w:t>
      </w:r>
      <w:r>
        <w:rPr>
          <w:rFonts w:cs="Times New Roman"/>
          <w:highlight w:val="yellow"/>
        </w:rPr>
        <w:t xml:space="preserve">. Advance online publication.</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Gendry-Kim, K. S. (2019). </w:t>
      </w:r>
      <w:r>
        <w:rPr>
          <w:rFonts w:cs="Times New Roman"/>
          <w:i/>
          <w:highlight w:val="yellow"/>
        </w:rPr>
        <w:t xml:space="preserve">Grass</w:t>
      </w:r>
      <w:r>
        <w:rPr>
          <w:rFonts w:cs="Times New Roman"/>
          <w:highlight w:val="yellow"/>
        </w:rPr>
        <w:t xml:space="preserve"> (J. Hong, Trans.). Drawn &amp; Quarterly. (Original work published 2017)</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Kim, J. (Director). (2011). </w:t>
      </w:r>
      <w:r>
        <w:rPr>
          <w:rFonts w:cs="Times New Roman"/>
          <w:i/>
          <w:highlight w:val="yellow"/>
        </w:rPr>
        <w:t xml:space="preserve">Herstory</w:t>
      </w:r>
      <w:r>
        <w:rPr>
          <w:rFonts w:cs="Times New Roman"/>
          <w:highlight w:val="yellow"/>
        </w:rPr>
        <w:t xml:space="preserve"> [Sonyeo iyagi; animated short film]. Kim, S. (Director). (2021). </w:t>
      </w:r>
      <w:r>
        <w:rPr>
          <w:rFonts w:cs="Times New Roman"/>
          <w:i/>
          <w:highlight w:val="yellow"/>
        </w:rPr>
        <w:t xml:space="preserve">Unforgotten</w:t>
      </w:r>
      <w:r>
        <w:rPr>
          <w:rFonts w:cs="Times New Roman"/>
          <w:highlight w:val="yellow"/>
        </w:rPr>
        <w:t xml:space="preserve"> [Animated short film].</w:t>
      </w:r>
    </w:p>
    <w:p>
      <w:pPr>
        <w:keepNext/>
        <w:pBdr>
          <w:bottom w:val="single" w:sz="4" w:space="1" w:color="auto"/>
        </w:pBdr>
        <w:spacing w:before="120" w:after="30" w:line="240" w:lineRule="auto"/>
        <w:rPr>
          <w:rFonts w:cs="Times New Roman"/>
        </w:rPr>
      </w:pPr>
      <w:r>
        <w:rPr>
          <w:rFonts w:cs="Times New Roman"/>
          <w:b/>
          <w:highlight w:val="yellow"/>
        </w:rPr>
        <w:t xml:space="preserve">Week 5</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Hirsch, M. (2008). The generation of postmemory. </w:t>
      </w:r>
      <w:r>
        <w:rPr>
          <w:rFonts w:cs="Times New Roman"/>
          <w:i/>
          <w:highlight w:val="yellow"/>
        </w:rPr>
        <w:t xml:space="preserve">Poetics Today, 29</w:t>
      </w:r>
      <w:r>
        <w:rPr>
          <w:rFonts w:cs="Times New Roman"/>
          <w:highlight w:val="yellow"/>
        </w:rPr>
        <w:t xml:space="preserve">(1), 103–128. Selected sections.</w:t>
      </w:r>
    </w:p>
    <w:p>
      <w:pPr>
        <w:pBdr>
          <w:bottom w:val="single" w:sz="4" w:space="1" w:color="auto"/>
        </w:pBdr>
        <w:spacing w:after="40" w:line="240" w:lineRule="auto"/>
        <w:ind w:left="360" w:hanging="360"/>
        <w:rPr>
          <w:rFonts w:cs="Times New Roman"/>
        </w:rPr>
      </w:pPr>
      <w:r>
        <w:rPr>
          <w:rFonts w:cs="Times New Roman"/>
          <w:highlight w:val="yellow"/>
        </w:rPr>
        <w:t xml:space="preserve">Hao, X., &amp; Pan, J. (2025). Driven by nationalism and entertainment: The representation of “comfort women” on Weibo. </w:t>
      </w:r>
      <w:r>
        <w:rPr>
          <w:rFonts w:cs="Times New Roman"/>
          <w:i/>
          <w:highlight w:val="yellow"/>
        </w:rPr>
        <w:t xml:space="preserve">Women’s History Review</w:t>
      </w:r>
      <w:r>
        <w:rPr>
          <w:rFonts w:cs="Times New Roman"/>
          <w:highlight w:val="yellow"/>
        </w:rPr>
        <w:t xml:space="preserve">. https://doi.org/10.1080/09612025.2025.2496091</w:t>
      </w:r>
    </w:p>
    <w:p>
      <w:pPr>
        <w:pBdr>
          <w:bottom w:val="single" w:sz="4" w:space="1" w:color="auto"/>
        </w:pBdr>
        <w:spacing w:after="40" w:line="240" w:lineRule="auto"/>
        <w:ind w:left="360" w:hanging="360"/>
        <w:rPr>
          <w:rFonts w:cs="Times New Roman"/>
        </w:rPr>
      </w:pPr>
      <w:r>
        <w:rPr>
          <w:rFonts w:cs="Times New Roman"/>
          <w:highlight w:val="yellow"/>
        </w:rPr>
        <w:t xml:space="preserve">Stanley, A., Shepherd, H., Chatani, S., Ambaras, D., &amp; Schieder, C. S. (2021). “Contracting for sex in the Pacific War”: The case for retraction on grounds of academic misconduct. </w:t>
      </w:r>
      <w:r>
        <w:rPr>
          <w:rFonts w:cs="Times New Roman"/>
          <w:i/>
          <w:highlight w:val="yellow"/>
        </w:rPr>
        <w:t xml:space="preserve">The Asia-Pacific Journal: Japan Focus, 19</w:t>
      </w:r>
      <w:r>
        <w:rPr>
          <w:rFonts w:cs="Times New Roman"/>
          <w:highlight w:val="yellow"/>
        </w:rPr>
        <w:t xml:space="preserve">(5).</w:t>
      </w:r>
    </w:p>
    <w:p>
      <w:pPr>
        <w:keepNext/>
        <w:pBdr>
          <w:bottom w:val="single" w:sz="4" w:space="1" w:color="auto"/>
        </w:pBdr>
        <w:spacing w:before="40" w:after="20" w:line="240" w:lineRule="auto"/>
        <w:rPr>
          <w:rFonts w:cs="Times New Roman"/>
        </w:rPr>
      </w:pPr>
      <w:r>
        <w:rPr>
          <w:rFonts w:cs="Times New Roman"/>
          <w:i/>
          <w:highlight w:val="yellow"/>
        </w:rPr>
        <w:t xml:space="preserve">Case document</w:t>
      </w:r>
    </w:p>
    <w:p>
      <w:pPr>
        <w:pBdr>
          <w:bottom w:val="single" w:sz="4" w:space="1" w:color="auto"/>
        </w:pBdr>
        <w:spacing w:after="40" w:line="240" w:lineRule="auto"/>
        <w:ind w:left="360" w:hanging="360"/>
        <w:rPr>
          <w:rFonts w:cs="Times New Roman"/>
        </w:rPr>
      </w:pPr>
      <w:r>
        <w:rPr>
          <w:rFonts w:cs="Times New Roman"/>
          <w:highlight w:val="yellow"/>
        </w:rPr>
        <w:t xml:space="preserve">Ramseyer, J. M. (2021). Contracting for sex in the Pacific War. </w:t>
      </w:r>
      <w:r>
        <w:rPr>
          <w:rFonts w:cs="Times New Roman"/>
          <w:i/>
          <w:highlight w:val="yellow"/>
        </w:rPr>
        <w:t xml:space="preserve">International Review of Law and Economics, 65</w:t>
      </w:r>
      <w:r>
        <w:rPr>
          <w:rFonts w:cs="Times New Roman"/>
          <w:highlight w:val="yellow"/>
        </w:rPr>
        <w:t xml:space="preserve">, 105971. Read the abstract and the editors’ statement of concern attached to the article.</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Kim, H. (Director). (2017). </w:t>
      </w:r>
      <w:r>
        <w:rPr>
          <w:rFonts w:cs="Times New Roman"/>
          <w:i/>
          <w:highlight w:val="yellow"/>
        </w:rPr>
        <w:t xml:space="preserve">I can speak</w:t>
      </w:r>
      <w:r>
        <w:rPr>
          <w:rFonts w:cs="Times New Roman"/>
          <w:highlight w:val="yellow"/>
        </w:rPr>
        <w:t xml:space="preserve"> [Film]. Recommended: Cho, J. (Director). (2016). </w:t>
      </w:r>
      <w:r>
        <w:rPr>
          <w:rFonts w:cs="Times New Roman"/>
          <w:i/>
          <w:highlight w:val="yellow"/>
        </w:rPr>
        <w:t xml:space="preserve">Spirits’ homecoming</w:t>
      </w:r>
      <w:r>
        <w:rPr>
          <w:rFonts w:cs="Times New Roman"/>
          <w:highlight w:val="yellow"/>
        </w:rPr>
        <w:t xml:space="preserve"> [Film].</w:t>
      </w:r>
    </w:p>
    <w:p>
      <w:pPr>
        <w:keepNext/>
        <w:pBdr>
          <w:bottom w:val="single" w:sz="4" w:space="1" w:color="auto"/>
        </w:pBdr>
        <w:spacing w:before="120" w:after="30" w:line="240" w:lineRule="auto"/>
        <w:rPr>
          <w:rFonts w:cs="Times New Roman"/>
        </w:rPr>
      </w:pPr>
      <w:r>
        <w:rPr>
          <w:rFonts w:cs="Times New Roman"/>
          <w:b/>
          <w:highlight w:val="yellow"/>
        </w:rPr>
        <w:t xml:space="preserve">Week 6</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Kwon, V. S. (2019). The Sonyosang phenomenon: Nationalism and feminism surrounding the “comfort women” statue. </w:t>
      </w:r>
      <w:r>
        <w:rPr>
          <w:rFonts w:cs="Times New Roman"/>
          <w:i/>
          <w:highlight w:val="yellow"/>
        </w:rPr>
        <w:t xml:space="preserve">Korean Studies, 43</w:t>
      </w:r>
      <w:r>
        <w:rPr>
          <w:rFonts w:cs="Times New Roman"/>
          <w:highlight w:val="yellow"/>
        </w:rPr>
        <w:t xml:space="preserve">.</w:t>
      </w:r>
    </w:p>
    <w:p>
      <w:pPr>
        <w:pBdr>
          <w:bottom w:val="single" w:sz="4" w:space="1" w:color="auto"/>
        </w:pBdr>
        <w:spacing w:after="40" w:line="240" w:lineRule="auto"/>
        <w:ind w:left="360" w:hanging="360"/>
        <w:rPr>
          <w:rFonts w:cs="Times New Roman"/>
        </w:rPr>
      </w:pPr>
      <w:r>
        <w:rPr>
          <w:rFonts w:cs="Times New Roman"/>
          <w:highlight w:val="yellow"/>
        </w:rPr>
        <w:t xml:space="preserve">Vickers, E. (2019). Commemorating “comfort women” beyond Korea: The Chinese case. In M. Frost, D. Schumacher, &amp; E. Vickers (Eds.), </w:t>
      </w:r>
      <w:r>
        <w:rPr>
          <w:rFonts w:cs="Times New Roman"/>
          <w:i/>
          <w:highlight w:val="yellow"/>
        </w:rPr>
        <w:t xml:space="preserve">Remembering Asia’s World War Two</w:t>
      </w:r>
      <w:r>
        <w:rPr>
          <w:rFonts w:cs="Times New Roman"/>
          <w:highlight w:val="yellow"/>
        </w:rPr>
        <w:t xml:space="preserve"> (pp. 174–207). Routledge.</w:t>
      </w:r>
    </w:p>
    <w:p>
      <w:pPr>
        <w:keepNext/>
        <w:pBdr>
          <w:bottom w:val="single" w:sz="4" w:space="1" w:color="auto"/>
        </w:pBdr>
        <w:spacing w:before="40" w:after="20" w:line="240" w:lineRule="auto"/>
        <w:rPr>
          <w:rFonts w:cs="Times New Roman"/>
        </w:rPr>
      </w:pPr>
      <w:r>
        <w:rPr>
          <w:rFonts w:cs="Times New Roman"/>
          <w:i/>
          <w:highlight w:val="yellow"/>
        </w:rPr>
        <w:t xml:space="preserve">Site reading (one, depending on the field-trip site)</w:t>
      </w:r>
    </w:p>
    <w:p>
      <w:pPr>
        <w:pBdr>
          <w:bottom w:val="single" w:sz="4" w:space="1" w:color="auto"/>
        </w:pBdr>
        <w:spacing w:after="40" w:line="240" w:lineRule="auto"/>
        <w:ind w:left="360" w:hanging="360"/>
        <w:rPr>
          <w:rFonts w:cs="Times New Roman"/>
        </w:rPr>
      </w:pPr>
      <w:r>
        <w:rPr>
          <w:rFonts w:cs="Times New Roman"/>
          <w:highlight w:val="yellow"/>
        </w:rPr>
        <w:t xml:space="preserve">Option A (Shanghai): Qiu, P., with Su, Z., &amp; Chen, L. (2013). </w:t>
      </w:r>
      <w:r>
        <w:rPr>
          <w:rFonts w:cs="Times New Roman"/>
          <w:i/>
          <w:highlight w:val="yellow"/>
        </w:rPr>
        <w:t xml:space="preserve">Chinese comfort women: Testimonies from imperial Japan’s sex slaves</w:t>
      </w:r>
      <w:r>
        <w:rPr>
          <w:rFonts w:cs="Times New Roman"/>
          <w:highlight w:val="yellow"/>
        </w:rPr>
        <w:t xml:space="preserve">. UBC Press. Two selected testimonies.</w:t>
      </w:r>
    </w:p>
    <w:p>
      <w:pPr>
        <w:pBdr>
          <w:bottom w:val="single" w:sz="4" w:space="1" w:color="auto"/>
        </w:pBdr>
        <w:spacing w:after="40" w:line="240" w:lineRule="auto"/>
        <w:ind w:left="360" w:hanging="360"/>
        <w:rPr>
          <w:rFonts w:cs="Times New Roman"/>
        </w:rPr>
      </w:pPr>
      <w:r>
        <w:rPr>
          <w:rFonts w:cs="Times New Roman"/>
          <w:highlight w:val="yellow"/>
        </w:rPr>
        <w:t xml:space="preserve">Option B (Nanjing): Li, L. (2023). Curating “comfort women”: Historical memory and gender politics in contemporary China through the Liji Alley Museum. </w:t>
      </w:r>
      <w:r>
        <w:rPr>
          <w:rFonts w:cs="Times New Roman"/>
          <w:i/>
          <w:highlight w:val="yellow"/>
        </w:rPr>
        <w:t xml:space="preserve">The Journal of Asian Studies, 82</w:t>
      </w:r>
      <w:r>
        <w:rPr>
          <w:rFonts w:cs="Times New Roman"/>
          <w:highlight w:val="yellow"/>
        </w:rPr>
        <w:t xml:space="preserve">(4), 570–593.</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Lee, J. (2025). Digital hauntology: The Heeum Museum’s VR exhibition and the ghostly testimonies of Japanese military “comfort women.” </w:t>
      </w:r>
      <w:r>
        <w:rPr>
          <w:rFonts w:cs="Times New Roman"/>
          <w:i/>
          <w:highlight w:val="yellow"/>
        </w:rPr>
        <w:t xml:space="preserve">Social &amp; Cultural Geography</w:t>
      </w:r>
      <w:r>
        <w:rPr>
          <w:rFonts w:cs="Times New Roman"/>
          <w:highlight w:val="yellow"/>
        </w:rPr>
        <w:t xml:space="preserve">. Advance online publication.</w:t>
      </w:r>
    </w:p>
    <w:p>
      <w:pPr>
        <w:pBdr>
          <w:bottom w:val="single" w:sz="4" w:space="1" w:color="auto"/>
        </w:pBdr>
        <w:spacing w:after="40" w:line="240" w:lineRule="auto"/>
        <w:ind w:left="360" w:hanging="360"/>
        <w:rPr>
          <w:rFonts w:cs="Times New Roman"/>
        </w:rPr>
      </w:pPr>
      <w:r>
        <w:rPr>
          <w:rFonts w:cs="Times New Roman"/>
          <w:highlight w:val="yellow"/>
        </w:rPr>
        <w:t xml:space="preserve">Buchheim, E. (2022). The motif of tears: Representations of activism and suffering in the Liji Alley Museum in Nanjing. </w:t>
      </w:r>
      <w:r>
        <w:rPr>
          <w:rFonts w:cs="Times New Roman"/>
          <w:i/>
          <w:highlight w:val="yellow"/>
        </w:rPr>
        <w:t xml:space="preserve">Women’s History Review, 31</w:t>
      </w:r>
      <w:r>
        <w:rPr>
          <w:rFonts w:cs="Times New Roman"/>
          <w:highlight w:val="yellow"/>
        </w:rPr>
        <w:t xml:space="preserve">(6), 914–932.</w:t>
      </w:r>
    </w:p>
    <w:p>
      <w:pPr>
        <w:pBdr>
          <w:bottom w:val="single" w:sz="4" w:space="1" w:color="auto"/>
        </w:pBdr>
        <w:spacing w:after="40" w:line="240" w:lineRule="auto"/>
        <w:ind w:left="360" w:hanging="360"/>
        <w:rPr>
          <w:rFonts w:cs="Times New Roman"/>
        </w:rPr>
      </w:pPr>
      <w:r>
        <w:rPr>
          <w:rFonts w:cs="Times New Roman"/>
          <w:highlight w:val="yellow"/>
        </w:rPr>
        <w:t xml:space="preserve">Lee, J.-S. (2025). Colonized bodies: Intersectional women’s movements of Korea and the Korean diaspora in the U.S. </w:t>
      </w:r>
      <w:r>
        <w:rPr>
          <w:rFonts w:cs="Times New Roman"/>
          <w:i/>
          <w:highlight w:val="yellow"/>
        </w:rPr>
        <w:t xml:space="preserve">Women’s History Review, 34</w:t>
      </w:r>
      <w:r>
        <w:rPr>
          <w:rFonts w:cs="Times New Roman"/>
          <w:highlight w:val="yellow"/>
        </w:rPr>
        <w:t xml:space="preserve">(5), 810–835.</w:t>
      </w:r>
    </w:p>
    <w:p>
      <w:pPr>
        <w:pBdr>
          <w:bottom w:val="single" w:sz="4" w:space="1" w:color="auto"/>
        </w:pBdr>
        <w:spacing w:after="40" w:line="240" w:lineRule="auto"/>
        <w:ind w:left="360" w:hanging="360"/>
        <w:rPr>
          <w:rFonts w:cs="Times New Roman"/>
        </w:rPr>
      </w:pPr>
      <w:r>
        <w:rPr>
          <w:rFonts w:cs="Times New Roman"/>
          <w:highlight w:val="yellow"/>
        </w:rPr>
        <w:t xml:space="preserve">McCarthy, M. M., &amp; Hasunuma, L. C. (2018). Coalition building and mobilization: Case studies of the comfort women memorials in the United States. </w:t>
      </w:r>
      <w:r>
        <w:rPr>
          <w:rFonts w:cs="Times New Roman"/>
          <w:i/>
          <w:highlight w:val="yellow"/>
        </w:rPr>
        <w:t xml:space="preserve">Politics, Groups, and Identities</w:t>
      </w:r>
      <w:r>
        <w:rPr>
          <w:rFonts w:cs="Times New Roman"/>
          <w:highlight w:val="yellow"/>
        </w:rPr>
        <w:t xml:space="preserve">.</w:t>
      </w:r>
    </w:p>
    <w:p>
      <w:pPr>
        <w:keepNext/>
        <w:pBdr>
          <w:bottom w:val="single" w:sz="4" w:space="1" w:color="auto"/>
        </w:pBdr>
        <w:spacing w:before="120" w:after="30" w:line="240" w:lineRule="auto"/>
        <w:rPr>
          <w:rFonts w:cs="Times New Roman"/>
        </w:rPr>
      </w:pPr>
      <w:r>
        <w:rPr>
          <w:rFonts w:cs="Times New Roman"/>
          <w:b/>
          <w:highlight w:val="yellow"/>
        </w:rPr>
        <w:t xml:space="preserve">Week 7</w:t>
      </w:r>
    </w:p>
    <w:p>
      <w:pPr>
        <w:pBdr>
          <w:bottom w:val="single" w:sz="4" w:space="1" w:color="auto"/>
        </w:pBdr>
        <w:spacing w:after="40" w:line="240" w:lineRule="auto"/>
        <w:ind w:left="360" w:hanging="360"/>
        <w:rPr>
          <w:rFonts w:cs="Times New Roman"/>
        </w:rPr>
      </w:pPr>
      <w:r>
        <w:rPr>
          <w:rFonts w:cs="Times New Roman"/>
          <w:highlight w:val="yellow"/>
        </w:rPr>
        <w:t xml:space="preserve">McCarthy, M. M. (2025). [Introduction to the special issue on knowledge production and activism on the “comfort women” in Northeast and Southeast Asia]. </w:t>
      </w:r>
      <w:r>
        <w:rPr>
          <w:rFonts w:cs="Times New Roman"/>
          <w:i/>
          <w:highlight w:val="yellow"/>
        </w:rPr>
        <w:t xml:space="preserve">Women’s History Review, 34</w:t>
      </w:r>
      <w:r>
        <w:rPr>
          <w:rFonts w:cs="Times New Roman"/>
          <w:highlight w:val="yellow"/>
        </w:rPr>
        <w:t xml:space="preserve">(5), 675–681.</w:t>
      </w:r>
    </w:p>
    <w:p w14:paraId="2BD93276"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Descriptions of Major Course Assignments</w:t>
      </w:r>
    </w:p>
    <w:p w14:paraId="4671AB4A"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Selecting &amp; Decoding a Media Document — 10%</w:t>
      </w:r>
    </w:p>
    <w:p w14:paraId="11C5083B" w14:textId="77777777" w:rsidR="0048602E" w:rsidRPr="00736DDF" w:rsidRDefault="00000000" w:rsidP="00736DDF">
      <w:pPr>
        <w:pBdr>
          <w:bottom w:val="single" w:sz="4" w:space="1" w:color="auto"/>
        </w:pBdr>
        <w:spacing w:line="240" w:lineRule="auto"/>
        <w:rPr>
          <w:rFonts w:cs="Times New Roman"/>
        </w:rPr>
      </w:pPr>
      <w:r>
        <w:rPr>
          <w:rFonts w:cs="Times New Roman"/>
        </w:rPr>
        <w:t>Select one short media document related to the course topic: a news report, short video, image, museum page, public campaign, memorial image, or other instructor-approved example. In approximately 2 pages, identify the creator, purpose, intended audience, point of view, evidence, and key representational choices. Explain what is emphasized or omitted and why the chosen medium matters. The goal is not to summarize the content but to demonstrate careful media decoding.</w:t>
      </w:r>
    </w:p>
    <w:p w14:paraId="4ED98AD0"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Short Media Comparison — </w:t>
      </w:r>
      <w:r>
        <w:rPr>
          <w:rFonts w:ascii="Times New Roman" w:hAnsi="Times New Roman" w:cs="Times New Roman"/>
          <w:highlight w:val="yellow"/>
        </w:rPr>
        <w:t xml:space="preserve">10%</w:t>
      </w:r>
    </w:p>
    <w:p w14:paraId="0AAF1D11" w14:textId="77777777" w:rsidR="0048602E" w:rsidRPr="00736DDF" w:rsidRDefault="00000000" w:rsidP="00736DDF">
      <w:pPr>
        <w:pBdr>
          <w:bottom w:val="single" w:sz="4" w:space="1" w:color="auto"/>
        </w:pBdr>
        <w:spacing w:line="240" w:lineRule="auto"/>
        <w:rPr>
          <w:rFonts w:cs="Times New Roman"/>
        </w:rPr>
      </w:pPr>
      <w:r>
        <w:rPr>
          <w:rFonts w:cs="Times New Roman"/>
        </w:rPr>
        <w:t>In 2–3 pages, compare one story, image, survivor experience, or recurring theme across two media forms. Your analysis should make a specific claim about what changes when the material moves from one medium to another. Consider voice, authorship, audience, editing, image, sound, language, symbolism, evidence, and omission. Use specific examples from both media texts.</w:t>
      </w:r>
    </w:p>
    <w:p w14:paraId="7AFABDE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Midterm Comparative Essay: One Story, Two Media — 25%</w:t>
      </w:r>
    </w:p>
    <w:p w14:paraId="005572D6" w14:textId="77777777" w:rsidR="0048602E" w:rsidRPr="00736DDF" w:rsidRDefault="00000000" w:rsidP="00736DDF">
      <w:pPr>
        <w:pBdr>
          <w:bottom w:val="single" w:sz="4" w:space="1" w:color="auto"/>
        </w:pBdr>
        <w:spacing w:line="240" w:lineRule="auto"/>
        <w:rPr>
          <w:rFonts w:cs="Times New Roman"/>
        </w:rPr>
      </w:pPr>
      <w:r>
        <w:rPr>
          <w:rFonts w:cs="Times New Roman"/>
        </w:rPr>
        <w:t>Write a 5–6 page comparative essay examining how one survivor, testimony, image, or recurring story is represented in two media forms. The essay should present a clear argument rather than two separate summaries. Analyze how the formal features of each medium shape what audiences can know, see, hear, feel, or remember. Support your interpretation with close analysis of primary media and relevant course readings.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Field Trip Museum Analysis — 10%</w:t>
      </w:r>
    </w:p>
    <w:p>
      <w:pPr>
        <w:pBdr>
          <w:bottom w:val="single" w:sz="4" w:space="1" w:color="auto"/>
        </w:pBdr>
        <w:spacing w:line="240" w:lineRule="auto"/>
        <w:rPr>
          <w:rFonts w:cs="Times New Roman"/>
        </w:rPr>
      </w:pPr>
      <w:r>
        <w:rPr>
          <w:rFonts w:cs="Times New Roman"/>
          <w:highlight w:val="yellow"/>
        </w:rPr>
        <w:t xml:space="preserve">In 2–3 pages, analyze how the museum visited in Week 6 narrates the history of Japanese military sexual slavery. Identify the museum’s authors and sponsors, intended audiences, narrative sequence, and key display choices (objects, photographs, testimony, wall text, space, and sound). Then compare its narration with one Korean museum, memorial, or digital exhibition studied in Week 6. Make a specific claim about how national and institutional context shapes what visitors are asked to know and feel, and about where Korean survivors appear or are absent. Use evidence from your on-site worksheet and at least one course reading. Due at the first class meeting of Week 7.</w:t>
      </w:r>
    </w:p>
    <w:p w14:paraId="69233CB4"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Final Project: Reflection Painting + Analytical Essay — </w:t>
      </w:r>
      <w:r>
        <w:rPr>
          <w:rFonts w:ascii="Times New Roman" w:hAnsi="Times New Roman" w:cs="Times New Roman"/>
          <w:highlight w:val="yellow"/>
        </w:rPr>
        <w:t xml:space="preserve">25%</w:t>
      </w:r>
    </w:p>
    <w:p w14:paraId="07DCB1BE" w14:textId="77777777" w:rsidR="0048602E" w:rsidRPr="00736DDF" w:rsidRDefault="00000000" w:rsidP="00736DDF">
      <w:pPr>
        <w:pBdr>
          <w:bottom w:val="single" w:sz="4" w:space="1" w:color="auto"/>
        </w:pBdr>
        <w:spacing w:line="240" w:lineRule="auto"/>
        <w:rPr>
          <w:rFonts w:cs="Times New Roman"/>
        </w:rPr>
      </w:pPr>
      <w:r>
        <w:rPr>
          <w:rFonts w:cs="Times New Roman"/>
        </w:rPr>
        <w:t>Create a painting or mixed-media visual response to an image, story, question, or representational problem that remained with you during the course. Artistic skill is not graded. The project is an exercise in making deliberate representational choices. Do not attempt to recreate another person’s trauma. Instead, use visual form to reflect on memory, voice, absence, perspective, or the limits of representation.</w:t>
      </w:r>
    </w:p>
    <w:p w14:paraId="389B7A8D" w14:textId="77777777" w:rsidR="0048602E" w:rsidRPr="00736DDF" w:rsidRDefault="00000000" w:rsidP="00736DDF">
      <w:pPr>
        <w:pBdr>
          <w:bottom w:val="single" w:sz="4" w:space="1" w:color="auto"/>
        </w:pBdr>
        <w:spacing w:line="240" w:lineRule="auto"/>
        <w:rPr>
          <w:rFonts w:cs="Times New Roman"/>
        </w:rPr>
      </w:pPr>
      <w:r>
        <w:rPr>
          <w:rFonts w:cs="Times New Roman"/>
        </w:rPr>
        <w:t>Accompany the visual work with a 4–5 page analytical essay explaining: (1) what you chose to represent and why; (2) the choices you made about perspective, color, symbolism, inclusion, and omission; (3) which course materials influenced those choices; (4) what your own process taught you about media literacy and cultural memory; and (5) what you believe your chosen medium can and cannot communicate.</w:t>
      </w:r>
    </w:p>
    <w:p w14:paraId="3FB9335D"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Guidelines for Written Work</w:t>
      </w:r>
    </w:p>
    <w:p w14:paraId="3EF43CD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12-point Times New Roman, double spacing, and 1-inch margins unless an assignment specifies otherwise.</w:t>
      </w:r>
    </w:p>
    <w:p w14:paraId="3ACEFDF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a consistent academic citation style (MLA, Chicago, or APA, as directed by the instructor) and cite all borrowed ideas, language, images, and media.</w:t>
      </w:r>
    </w:p>
    <w:p w14:paraId="31F0C75D"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Write coherent essays with an introduction, focused paragraphs, evidence, analysis, and a conclusion. Do not submit a list of answers to assignment prompts.</w:t>
      </w:r>
    </w:p>
    <w:p w14:paraId="7D1D193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Distinguish clearly among primary media, scholarly interpretation, and your own analysis.</w:t>
      </w:r>
    </w:p>
    <w:p w14:paraId="605C67E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Proofread for clarity, organization, grammar, and citation accuracy. Submit final drafts rather than unrevised first drafts.</w:t>
      </w:r>
    </w:p>
    <w:p w14:paraId="540B19E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Participation and Discussion Expectations</w:t>
      </w:r>
    </w:p>
    <w:p w14:paraId="48ED9EF7" w14:textId="77777777" w:rsidR="0048602E" w:rsidRPr="00736DDF" w:rsidRDefault="00000000" w:rsidP="00736DDF">
      <w:pPr>
        <w:pBdr>
          <w:bottom w:val="single" w:sz="4" w:space="1" w:color="auto"/>
        </w:pBdr>
        <w:spacing w:line="240" w:lineRule="auto"/>
        <w:rPr>
          <w:rFonts w:cs="Times New Roman"/>
        </w:rPr>
      </w:pPr>
      <w:r>
        <w:rPr>
          <w:rFonts w:cs="Times New Roman"/>
        </w:rPr>
        <w:t>Full participation means arriving prepared, listening closely, contributing substantively to whole-class and small-group discussion, and helping advance collective interpretation. Strong participation does not require speaking the most. It includes asking useful questions, making specific connections to readings and media, responding thoughtfully to classmates, and revising an interpretation when new evidence warrants it.</w:t>
      </w:r>
    </w:p>
    <w:p w14:paraId="5EF840B8"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lastRenderedPageBreak/>
        <w:t>Course Policies and Expectations</w:t>
      </w:r>
    </w:p>
    <w:p w14:paraId="74D7CE9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Preparation and Attendance</w:t>
      </w:r>
    </w:p>
    <w:p w14:paraId="161EACAA" w14:textId="77777777" w:rsidR="0048602E" w:rsidRPr="00736DDF" w:rsidRDefault="00000000" w:rsidP="00736DDF">
      <w:pPr>
        <w:pBdr>
          <w:bottom w:val="single" w:sz="4" w:space="1" w:color="auto"/>
        </w:pBdr>
        <w:spacing w:line="240" w:lineRule="auto"/>
        <w:rPr>
          <w:rFonts w:cs="Times New Roman"/>
        </w:rPr>
      </w:pPr>
      <w:r>
        <w:rPr>
          <w:rFonts w:cs="Times New Roman"/>
        </w:rPr>
        <w:t>Because this is a seven-week intensive seminar, each meeting represents a substantial portion of the course. Complete assigned readings and viewings before class and arrive prepared to work with specific evidence. If you must miss class, you are responsible for obtaining announcements, materials, and changes to the schedule.</w:t>
      </w:r>
    </w:p>
    <w:p w14:paraId="31D2B5D3"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Respectful and Trauma-Aware Engagement</w:t>
      </w:r>
    </w:p>
    <w:p w14:paraId="7B961EBD" w14:textId="77777777" w:rsidR="0048602E" w:rsidRPr="00736DDF" w:rsidRDefault="00000000" w:rsidP="00736DDF">
      <w:pPr>
        <w:pBdr>
          <w:bottom w:val="single" w:sz="4" w:space="1" w:color="auto"/>
        </w:pBdr>
        <w:spacing w:line="240" w:lineRule="auto"/>
        <w:rPr>
          <w:rFonts w:cs="Times New Roman"/>
        </w:rPr>
      </w:pPr>
      <w:r>
        <w:rPr>
          <w:rFonts w:cs="Times New Roman"/>
        </w:rPr>
        <w:t>The course includes testimony and representations of sexual violence, colonialism, war, and trauma. Students should discuss these materials with care and use respectful, precise language. No student will be required to disclose personal experiences. When appropriate, the instructor will provide advance context for difficult materials and offer more than one way to participate in reflection and discussion.</w:t>
      </w:r>
    </w:p>
    <w:p>
      <w:pPr>
        <w:pBdr>
          <w:bottom w:val="single" w:sz="4" w:space="1" w:color="auto"/>
        </w:pBdr>
        <w:spacing w:line="240" w:lineRule="auto"/>
        <w:rPr>
          <w:rFonts w:cs="Times New Roman"/>
        </w:rPr>
      </w:pPr>
      <w:r>
        <w:rPr>
          <w:rFonts w:cs="Times New Roman"/>
          <w:highlight w:val="yellow"/>
        </w:rPr>
        <w:t xml:space="preserve">A note on terminology: “comfort women” (wianbu in Korean) is a wartime euphemism. Many scholars and survivors’ advocates use “Japanese military sexual slavery” to name the system, while survivors themselves have used a range of terms, and Korean public culture often calls them halmoni (grandmothers). We will examine these terms as representational choices. In written work, place “comfort women” in quotation marks.</w:t>
      </w:r>
    </w:p>
    <w:p w14:paraId="4926369D"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Late Work</w:t>
      </w:r>
    </w:p>
    <w:p w14:paraId="5A0A0BE9" w14:textId="77777777" w:rsidR="0048602E" w:rsidRPr="00736DDF" w:rsidRDefault="00000000" w:rsidP="00736DDF">
      <w:pPr>
        <w:pBdr>
          <w:bottom w:val="single" w:sz="4" w:space="1" w:color="auto"/>
        </w:pBdr>
        <w:spacing w:line="240" w:lineRule="auto"/>
        <w:rPr>
          <w:rFonts w:cs="Times New Roman"/>
        </w:rPr>
      </w:pPr>
      <w:r>
        <w:rPr>
          <w:rFonts w:cs="Times New Roman"/>
        </w:rPr>
        <w:t>Assignments should be submitted by the posted deadline. If circumstances may prevent timely submission, contact the instructor as early as possible. Specific late-work procedures and any institutional accommodation requirements will follow the policies of the institution offering the course.</w:t>
      </w:r>
    </w:p>
    <w:p w14:paraId="4E77D28B"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Academic Integrity and AI</w:t>
      </w:r>
    </w:p>
    <w:p w14:paraId="65D503B9" w14:textId="77777777" w:rsidR="0048602E" w:rsidRPr="00736DDF" w:rsidRDefault="00000000" w:rsidP="00736DDF">
      <w:pPr>
        <w:pBdr>
          <w:bottom w:val="single" w:sz="4" w:space="1" w:color="auto"/>
        </w:pBdr>
        <w:spacing w:line="240" w:lineRule="auto"/>
        <w:rPr>
          <w:rFonts w:cs="Times New Roman"/>
        </w:rPr>
      </w:pPr>
      <w:r>
        <w:rPr>
          <w:rFonts w:cs="Times New Roman"/>
        </w:rPr>
        <w:t>Students are responsible for submitting their own analysis and accurately acknowledging sources. AI tools may be used only when explicitly permitted for a particular activity. Unless otherwise stated, AI-generated analysis or prose may not be submitted as the student’s own work. Students remain responsible for source verification, interpretation, and all representational choices.</w:t>
      </w:r>
    </w:p>
    <w:p w14:paraId="37FCB942"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EXPECTATIONS</w:t>
      </w:r>
    </w:p>
    <w:p w14:paraId="755BE5C6" w14:textId="77777777" w:rsidR="0048602E" w:rsidRPr="00736DDF" w:rsidRDefault="00000000" w:rsidP="00736DDF">
      <w:pPr>
        <w:pBdr>
          <w:bottom w:val="single" w:sz="4" w:space="1" w:color="auto"/>
        </w:pBdr>
        <w:spacing w:after="20" w:line="240" w:lineRule="auto"/>
        <w:rPr>
          <w:rFonts w:cs="Times New Roman"/>
        </w:rPr>
      </w:pPr>
      <w:r>
        <w:rPr>
          <w:rFonts w:cs="Times New Roman"/>
          <w:b/>
        </w:rPr>
        <w:t>I expect that you:</w:t>
      </w:r>
    </w:p>
    <w:p w14:paraId="618AE41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complete readings and viewings before class and bring questions or notes.</w:t>
      </w:r>
    </w:p>
    <w:p w14:paraId="285D86F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be present and prepared to participate in every class meeting.</w:t>
      </w:r>
    </w:p>
    <w:p w14:paraId="2710BE6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listen when classmates are speaking and respond to their ideas respectfully.</w:t>
      </w:r>
    </w:p>
    <w:p w14:paraId="4865401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use evidence from media and readings when making interpretive claims.</w:t>
      </w:r>
    </w:p>
    <w:p w14:paraId="6F59C2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approach survivor testimony and representations of trauma with care and precision.</w:t>
      </w:r>
    </w:p>
    <w:p w14:paraId="6191F3C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ask questions when course material, assignments, or expectations are unclear.</w:t>
      </w:r>
    </w:p>
    <w:p w14:paraId="37420F02" w14:textId="77777777" w:rsidR="0048602E" w:rsidRPr="00736DDF" w:rsidRDefault="00000000" w:rsidP="00736DDF">
      <w:pPr>
        <w:pBdr>
          <w:bottom w:val="single" w:sz="4" w:space="1" w:color="auto"/>
        </w:pBdr>
        <w:spacing w:after="20" w:line="240" w:lineRule="auto"/>
        <w:rPr>
          <w:rFonts w:cs="Times New Roman"/>
        </w:rPr>
      </w:pPr>
      <w:r>
        <w:rPr>
          <w:rFonts w:cs="Times New Roman"/>
          <w:b/>
        </w:rPr>
        <w:t>You can expect that I:</w:t>
      </w:r>
    </w:p>
    <w:p w14:paraId="7C4680E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treat you and your ideas with courtesy and respect.</w:t>
      </w:r>
    </w:p>
    <w:p w14:paraId="37CC6BE6"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require you to think, reflect, compare, and analyze during every class.</w:t>
      </w:r>
    </w:p>
    <w:p w14:paraId="385416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design activities that require active learning rather than passive reception.</w:t>
      </w:r>
    </w:p>
    <w:p w14:paraId="0CFA509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make assignment expectations and evaluation criteria as explicit as possible.</w:t>
      </w:r>
    </w:p>
    <w:p w14:paraId="79F2A69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provide contextual guidance for difficult course materials.</w:t>
      </w:r>
    </w:p>
    <w:p w14:paraId="6CECF03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evaluate your work based on evidence, analysis, clarity, and fulfillment of the assignment rather than agreement with a particular interpretation.</w:t>
      </w:r>
    </w:p>
    <w:sectPr w:rsidR="0048602E" w:rsidRPr="00736DDF" w:rsidSect="00736D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879" w14:textId="77777777" w:rsidR="00E14495" w:rsidRDefault="00E14495">
      <w:pPr>
        <w:spacing w:after="0" w:line="240" w:lineRule="auto"/>
      </w:pPr>
      <w:r>
        <w:separator/>
      </w:r>
    </w:p>
  </w:endnote>
  <w:endnote w:type="continuationSeparator" w:id="0">
    <w:p w14:paraId="2F9BAB64" w14:textId="77777777" w:rsidR="00E14495" w:rsidRDefault="00E1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04E6" w14:textId="77777777" w:rsidR="0048602E" w:rsidRDefault="00000000">
    <w:pPr>
      <w:pStyle w:val="Footer"/>
      <w:jc w:val="center"/>
    </w:pPr>
    <w:r>
      <w:fldChar w:fldCharType="begin"/>
    </w:r>
    <w:r>
      <w:instrText>PAGE</w:instrText>
    </w:r>
    <w:r>
      <w:fldChar w:fldCharType="separate"/>
    </w:r>
    <w:r w:rsidR="0073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20C7" w14:textId="77777777" w:rsidR="00E14495" w:rsidRDefault="00E14495">
      <w:pPr>
        <w:spacing w:after="0" w:line="240" w:lineRule="auto"/>
      </w:pPr>
      <w:r>
        <w:separator/>
      </w:r>
    </w:p>
  </w:footnote>
  <w:footnote w:type="continuationSeparator" w:id="0">
    <w:p w14:paraId="1FA665E5" w14:textId="77777777" w:rsidR="00E14495" w:rsidRDefault="00E1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6A909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53B54"/>
    <w:multiLevelType w:val="hybridMultilevel"/>
    <w:tmpl w:val="6FD22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F23134"/>
    <w:multiLevelType w:val="hybridMultilevel"/>
    <w:tmpl w:val="A7FE2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1071375">
    <w:abstractNumId w:val="8"/>
  </w:num>
  <w:num w:numId="2" w16cid:durableId="1446272845">
    <w:abstractNumId w:val="6"/>
  </w:num>
  <w:num w:numId="3" w16cid:durableId="1381515634">
    <w:abstractNumId w:val="5"/>
  </w:num>
  <w:num w:numId="4" w16cid:durableId="426315380">
    <w:abstractNumId w:val="4"/>
  </w:num>
  <w:num w:numId="5" w16cid:durableId="2078479464">
    <w:abstractNumId w:val="7"/>
  </w:num>
  <w:num w:numId="6" w16cid:durableId="1581330343">
    <w:abstractNumId w:val="3"/>
  </w:num>
  <w:num w:numId="7" w16cid:durableId="647562731">
    <w:abstractNumId w:val="2"/>
  </w:num>
  <w:num w:numId="8" w16cid:durableId="526258767">
    <w:abstractNumId w:val="1"/>
  </w:num>
  <w:num w:numId="9" w16cid:durableId="259797870">
    <w:abstractNumId w:val="0"/>
  </w:num>
  <w:num w:numId="10" w16cid:durableId="2114206568">
    <w:abstractNumId w:val="10"/>
  </w:num>
  <w:num w:numId="11" w16cid:durableId="517037689">
    <w:abstractNumId w:val="9"/>
  </w:num>
  <w:num w:numId="12" w16cid:durableId="1143963594">
    <w:abstractNumId w:val="7"/>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57A"/>
    <w:rsid w:val="0029639D"/>
    <w:rsid w:val="00326F90"/>
    <w:rsid w:val="0048602E"/>
    <w:rsid w:val="005C7225"/>
    <w:rsid w:val="00736DDF"/>
    <w:rsid w:val="00A84B10"/>
    <w:rsid w:val="00AA1D8D"/>
    <w:rsid w:val="00B47730"/>
    <w:rsid w:val="00CB0664"/>
    <w:rsid w:val="00E14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6B25"/>
  <w14:defaultImageDpi w14:val="300"/>
  <w15:docId w15:val="{59197DEA-5601-7141-B465-A6E1D7D5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HwaYoung Chun, Ph.D.</cp:lastModifiedBy>
  <cp:revision>4</cp:revision>
  <dcterms:created xsi:type="dcterms:W3CDTF">2026-09-16T05:17:00Z</dcterms:created>
  <dcterms:modified xsi:type="dcterms:W3CDTF">2026-10-23T05:16:00Z</dcterms:modified>
  <cp:category/>
</cp:coreProperties>
</file>