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</w:pPr>
      <w:r>
        <w:drawing>
          <wp:inline distT="0" distB="0" distL="0" distR="0">
            <wp:extent cx="1238250" cy="4855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8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6B66"/>
          <w:spacing w:val="20"/>
          <w:sz w:val="20"/>
          <w:szCs w:val="20"/>
        </w:rPr>
        <w:t xml:space="preserve">MODELO DE GESTIÓN Y PROSPECCIÓN COMERCIAL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1A2233"/>
          <w:sz w:val="40"/>
          <w:szCs w:val="40"/>
        </w:rPr>
        <w:t xml:space="preserve">Clientes clave, base de prospectos y estrategia multicanal</w:t>
      </w:r>
    </w:p>
    <w:p>
      <w:pPr>
        <w:spacing w:after="260"/>
      </w:pPr>
      <w:r>
        <w:rPr>
          <w:rFonts w:ascii="Calibri" w:cs="Calibri" w:eastAsia="Calibri" w:hAnsi="Calibri"/>
          <w:color w:val="5C6577"/>
          <w:sz w:val="23"/>
          <w:szCs w:val="23"/>
        </w:rPr>
        <w:t xml:space="preserve">RMG Parts — lubricantes, baterías y neumáticos industriales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Preparado por Juan Carlos Contreras, ejecutor del proyecto RMG Parts</w:t>
      </w:r>
    </w:p>
    <w:p>
      <w:pPr>
        <w:spacing w:after="40"/>
      </w:pPr>
      <w:r>
        <w:rPr>
          <w:rFonts w:ascii="Calibri" w:cs="Calibri" w:eastAsia="Calibri" w:hAnsi="Calibri"/>
          <w:color w:val="5C6577"/>
          <w:sz w:val="20"/>
          <w:szCs w:val="20"/>
        </w:rPr>
        <w:t xml:space="preserve">25 de agosto de 2026</w:t>
      </w:r>
    </w:p>
    <w:p>
      <w:pPr>
        <w:spacing w:after="360"/>
      </w:pPr>
      <w:r>
        <w:rPr>
          <w:rFonts w:ascii="Calibri" w:cs="Calibri" w:eastAsia="Calibri" w:hAnsi="Calibri"/>
          <w:i/>
          <w:iCs/>
          <w:color w:val="5C6577"/>
          <w:sz w:val="17"/>
          <w:szCs w:val="17"/>
        </w:rPr>
        <w:t xml:space="preserve">Fuentes: sistema en producción, historial de código, correo de rmgautos.cl, propuesta y paper interno para Cruzeiro Gomas, base de prospectos B2B (4.205 contactos).</w:t>
      </w:r>
    </w:p>
    <w:tbl>
      <w:tblPr>
        <w:tblW w:type="pct" w:w="100%"/>
        <w:tblBorders>
          <w:top w:val="single" w:color="5433C4" w:sz="4"/>
          <w:left w:val="single" w:color="5433C4" w:sz="4"/>
          <w:bottom w:val="single" w:color="5433C4" w:sz="4"/>
          <w:right w:val="single" w:color="5433C4" w:sz="4"/>
          <w:insideH w:val="none"/>
          <w:insideV w:val="none"/>
        </w:tblBorders>
      </w:tblPr>
      <w:tblGrid>
        <w:gridCol w:w="100"/>
      </w:tblGrid>
      <w:tr>
        <w:tc>
          <w:tcPr>
            <w:shd w:fill="EFEC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5433C4"/>
                <w:sz w:val="21"/>
                <w:szCs w:val="21"/>
              </w:rPr>
              <w:t xml:space="preserve">Rol asumido en este documento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5433C4"/>
                <w:sz w:val="21"/>
                <w:szCs w:val="21"/>
              </w:rPr>
              <w:t xml:space="preserve">Este modelo se construyó actuando como ingeniero de negocios con foco en neuromarketing y estrategia de medios — no es teoría genérica: cada recomendación se apoya en datos reales del proyecto (la base de 4.205 prospectos, el trabajo de prospección ya ejecutado en agosto, y el plan de SKU por segmento ya construido).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EE3EA" w:sz="4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0B6B66"/>
          <w:sz w:val="24"/>
          <w:szCs w:val="24"/>
        </w:rPr>
        <w:t xml:space="preserve">1.  </w:t>
      </w:r>
      <w:r>
        <w:rPr>
          <w:rFonts w:ascii="Cambria" w:cs="Cambria" w:eastAsia="Cambria" w:hAnsi="Cambria"/>
          <w:b/>
          <w:bCs/>
          <w:color w:val="1A2233"/>
          <w:sz w:val="26"/>
          <w:szCs w:val="26"/>
        </w:rPr>
        <w:t xml:space="preserve">Resumen ejecutivo</w:t>
      </w:r>
    </w:p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El modelo propuesto es de cuentas clave por niveles (Tier 1 / 2 / 3), aplicado sobre la base de 4.205 prospectos ya cargada en el sistema, filtrada por el criterio de segmento que ya se definió a inicios de agosto: empresas, industrias y constructoras — no talleres ni lubricentros.</w:t>
      </w:r>
    </w:p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527 cuentas</w:t>
      </w:r>
      <w:r>
        <w:rPr>
          <w:rFonts w:ascii="Calibri" w:cs="Calibri" w:eastAsia="Calibri" w:hAnsi="Calibri"/>
          <w:color w:val="1A2233"/>
          <w:sz w:val="21"/>
          <w:szCs w:val="21"/>
        </w:rPr>
        <w:t xml:space="preserve"> caen en Tier 1 — prioridad alta y rubro en foco (Construcción, Industria, Ingeniería, Minería, Transporte) — y reciben trato 1:1, con seguimiento nombrado. </w:t>
      </w:r>
      <w:r>
        <w:rPr>
          <w:rFonts w:ascii="Calibri" w:cs="Calibri" w:eastAsia="Calibri" w:hAnsi="Calibri"/>
          <w:color w:val="1A2233"/>
          <w:sz w:val="21"/>
          <w:szCs w:val="21"/>
        </w:rPr>
        <w:t xml:space="preserve">975</w:t>
      </w:r>
      <w:r>
        <w:rPr>
          <w:rFonts w:ascii="Calibri" w:cs="Calibri" w:eastAsia="Calibri" w:hAnsi="Calibri"/>
          <w:color w:val="1A2233"/>
          <w:sz w:val="21"/>
          <w:szCs w:val="21"/>
        </w:rPr>
        <w:t xml:space="preserve"> caen en Tier 2 (cultivo, cadencia semi-automatizada). El resto — </w:t>
      </w:r>
      <w:r>
        <w:rPr>
          <w:rFonts w:ascii="Calibri" w:cs="Calibri" w:eastAsia="Calibri" w:hAnsi="Calibri"/>
          <w:color w:val="1A2233"/>
          <w:sz w:val="21"/>
          <w:szCs w:val="21"/>
        </w:rPr>
        <w:t xml:space="preserve">2.703</w:t>
      </w:r>
      <w:r>
        <w:rPr>
          <w:rFonts w:ascii="Calibri" w:cs="Calibri" w:eastAsia="Calibri" w:hAnsi="Calibri"/>
          <w:color w:val="1A2233"/>
          <w:sz w:val="21"/>
          <w:szCs w:val="21"/>
        </w:rPr>
        <w:t xml:space="preserve"> — se trabaja con el motor de campañas del ERP y Apollo, sin dedicación manual.</w:t>
      </w:r>
    </w:p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El marco de mensajes aplica principios de neuromarketing ya validados en la propia experiencia de agosto — el pitch de costo de inactividad a Tremac es, sin haberlo planteado así, un ejemplo correcto de aversión a la pérdida — y los sistematiza para las 527 cuentas clave, diferenciando el mensaje según el tipo de comprador: revendedor (mayoría en Tier 1) versus cliente final.</w:t>
      </w:r>
    </w:p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La estrategia de canal no depende de un solo medio: correo, teléfono, WhatsApp, LinkedIn, Mercado Público, gremios industriales, y los dos activos ya construidos pero subutilizados — el motor de campañas del ERP y la cuenta de Apollo — se ordenan por tier y por costo/esfuerzo.</w:t>
      </w:r>
    </w:p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Todo el ritmo operativo está calibrado a la realidad de que hoy este trabajo lo ejecuta una sola persona.</w:t>
      </w:r>
    </w:p>
    <w:p>
      <w:pPr>
        <w:pStyle w:val="Heading1"/>
        <w:pBdr>
          <w:bottom w:val="single" w:color="DEE3EA" w:sz="4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0B6B66"/>
          <w:sz w:val="24"/>
          <w:szCs w:val="24"/>
        </w:rPr>
        <w:t xml:space="preserve">2.  </w:t>
      </w:r>
      <w:r>
        <w:rPr>
          <w:rFonts w:ascii="Cambria" w:cs="Cambria" w:eastAsia="Cambria" w:hAnsi="Cambria"/>
          <w:b/>
          <w:bCs/>
          <w:color w:val="1A2233"/>
          <w:sz w:val="26"/>
          <w:szCs w:val="26"/>
        </w:rPr>
        <w:t xml:space="preserve">El universo de clientes: la base de 4.205 prospectos</w:t>
      </w:r>
    </w:p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La base se cargó al sistema el 3 de agosto. Sus propios metadatos identifican el origen:</w:t>
      </w:r>
    </w:p>
    <w:tbl>
      <w:tblPr>
        <w:tblW w:type="pct" w:w="100%"/>
        <w:tblBorders>
          <w:top w:val="single" w:color="8A5607" w:sz="4"/>
          <w:left w:val="single" w:color="8A5607" w:sz="4"/>
          <w:bottom w:val="single" w:color="8A5607" w:sz="4"/>
          <w:right w:val="single" w:color="8A5607" w:sz="4"/>
          <w:insideH w:val="none"/>
          <w:insideV w:val="none"/>
        </w:tblBorders>
      </w:tblPr>
      <w:tblGrid>
        <w:gridCol w:w="100"/>
      </w:tblGrid>
      <w:tr>
        <w:tc>
          <w:tcPr>
            <w:shd w:fill="FBF0D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8A5607"/>
                <w:sz w:val="21"/>
                <w:szCs w:val="21"/>
              </w:rPr>
              <w:t xml:space="preserve">Origen de la base (según metadatos del archivo)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2233"/>
                <w:sz w:val="21"/>
                <w:szCs w:val="21"/>
              </w:rPr>
              <w:t xml:space="preserve">Fuente: </w:t>
            </w:r>
            <w:r>
              <w:rPr>
                <w:rFonts w:ascii="Calibri" w:cs="Calibri" w:eastAsia="Calibri" w:hAnsi="Calibri"/>
                <w:b/>
                <w:bCs/>
                <w:color w:val="1A2233"/>
                <w:sz w:val="21"/>
                <w:szCs w:val="21"/>
              </w:rPr>
              <w:t xml:space="preserve">Base Clientes Cruzeiro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2233"/>
                <w:sz w:val="21"/>
                <w:szCs w:val="21"/>
              </w:rPr>
              <w:t xml:space="preserve">Filtro: </w:t>
            </w:r>
            <w:r>
              <w:rPr>
                <w:rFonts w:ascii="Calibri" w:cs="Calibri" w:eastAsia="Calibri" w:hAnsi="Calibri"/>
                <w:b/>
                <w:bCs/>
                <w:color w:val="1A2233"/>
                <w:sz w:val="21"/>
                <w:szCs w:val="21"/>
              </w:rPr>
              <w:t xml:space="preserve">Revendedores + Segmentos RMG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2233"/>
                <w:sz w:val="21"/>
                <w:szCs w:val="21"/>
              </w:rPr>
              <w:t xml:space="preserve">Generado: </w:t>
            </w:r>
            <w:r>
              <w:rPr>
                <w:rFonts w:ascii="Calibri" w:cs="Calibri" w:eastAsia="Calibri" w:hAnsi="Calibri"/>
                <w:b/>
                <w:bCs/>
                <w:color w:val="1A2233"/>
                <w:sz w:val="21"/>
                <w:szCs w:val="21"/>
              </w:rPr>
              <w:t xml:space="preserve">03/08/2026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Es decir: no es una base comprada ni construida desde cero — es un extracto de la propia cartera de clientes de Cruzeiro, ya filtrado a los segmentos que le sirven a RMG. Se confirmó que su uso está autorizado; aun así, la sección 8 (resguardos) plantea cómo manejarla con el mismo cuidado que se ha tenido con el resto de la relación Cruzeiro.</w:t>
      </w: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A2233"/>
          <w:sz w:val="21"/>
          <w:szCs w:val="21"/>
        </w:rPr>
        <w:t xml:space="preserve">Composición por rubro y prioridad</w:t>
      </w:r>
    </w:p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La base ya trae una prioridad A/B/C heredada de Cruzeiro. Cruzada con el filtro de segmento de agosto (empresas, industrias, constructoras), el universo relevante se reduce de 4.205 a 2.281 — y dentro de ese universo, 527 son Prioridad A.</w:t>
      </w:r>
    </w:p>
    <w:tbl>
      <w:tblPr>
        <w:tblW w:type="dxa" w:w="9000"/>
        <w:tblBorders>
          <w:top w:val="single" w:color="DEE3EA" w:sz="2"/>
          <w:left w:val="single" w:color="DEE3EA" w:sz="2"/>
          <w:bottom w:val="single" w:color="DEE3EA" w:sz="2"/>
          <w:right w:val="single" w:color="DEE3EA" w:sz="2"/>
          <w:insideH w:val="single" w:color="DEE3EA" w:sz="2"/>
          <w:insideV w:val="single" w:color="DEE3EA" w:sz="2"/>
        </w:tblBorders>
      </w:tblPr>
      <w:tblGrid>
        <w:gridCol w:w="3400"/>
        <w:gridCol w:w="1350"/>
        <w:gridCol w:w="1450"/>
        <w:gridCol w:w="1450"/>
        <w:gridCol w:w="1350"/>
      </w:tblGrid>
      <w:tr>
        <w:trPr>
          <w:tblHeader/>
        </w:trPr>
        <w:tc>
          <w:tcPr>
            <w:tcW w:type="dxa" w:w="34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Rubro</w:t>
            </w:r>
          </w:p>
        </w:tc>
        <w:tc>
          <w:tcPr>
            <w:tcW w:type="dxa" w:w="135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Total</w:t>
            </w:r>
          </w:p>
        </w:tc>
        <w:tc>
          <w:tcPr>
            <w:tcW w:type="dxa" w:w="145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Prioridad A</w:t>
            </w:r>
          </w:p>
        </w:tc>
        <w:tc>
          <w:tcPr>
            <w:tcW w:type="dxa" w:w="145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Prioridad B</w:t>
            </w:r>
          </w:p>
        </w:tc>
        <w:tc>
          <w:tcPr>
            <w:tcW w:type="dxa" w:w="135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Prioridad C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19"/>
                <w:szCs w:val="19"/>
              </w:rPr>
              <w:t xml:space="preserve">Construcción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1.364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271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622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471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19"/>
                <w:szCs w:val="19"/>
              </w:rPr>
              <w:t xml:space="preserve">Industria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546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164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176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206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19"/>
                <w:szCs w:val="19"/>
              </w:rPr>
              <w:t xml:space="preserve">Ingeniería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175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53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70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52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19"/>
                <w:szCs w:val="19"/>
              </w:rPr>
              <w:t xml:space="preserve">Minería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86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24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38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19"/>
                <w:szCs w:val="19"/>
              </w:rPr>
              <w:t xml:space="preserve">Transporte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110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15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69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19"/>
                <w:szCs w:val="19"/>
              </w:rPr>
              <w:t xml:space="preserve">Subtotal — en foco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2.281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527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975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779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19"/>
                <w:szCs w:val="19"/>
              </w:rPr>
              <w:t xml:space="preserve">Talleres (fuera de foco)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273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189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42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19"/>
                <w:szCs w:val="19"/>
              </w:rPr>
              <w:t xml:space="preserve">Ferretería (fuera de foco)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366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268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51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47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19"/>
                <w:szCs w:val="19"/>
              </w:rPr>
              <w:t xml:space="preserve">Distribuidores (fuera de foco)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340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178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79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83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19"/>
                <w:szCs w:val="19"/>
              </w:rPr>
              <w:t xml:space="preserve">Otros (fuera de foco)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868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321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209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338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19"/>
                <w:szCs w:val="19"/>
              </w:rPr>
              <w:t xml:space="preserve">Agrícola (fuera de foco)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56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17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20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19"/>
                <w:szCs w:val="19"/>
              </w:rPr>
              <w:t xml:space="preserve">Gomas/Correas (fuera de foco)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21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19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19"/>
                <w:szCs w:val="19"/>
              </w:rPr>
              <w:t xml:space="preserve">TOTAL BASE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4.205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1.519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1.377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1.309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Los rubros fuera de foco no se descartan — quedan como reserva secundaria u oportunista (sección 3, Tier 3), coherente con la decisión de no perseguir talleres ni lubricentros como prioridad.</w:t>
      </w: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A2233"/>
          <w:sz w:val="21"/>
          <w:szCs w:val="21"/>
        </w:rPr>
        <w:t xml:space="preserve">Dos perfiles de comprador, no uno</w:t>
      </w:r>
    </w:p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62% de la base</w:t>
      </w:r>
      <w:r>
        <w:rPr>
          <w:rFonts w:ascii="Calibri" w:cs="Calibri" w:eastAsia="Calibri" w:hAnsi="Calibri"/>
          <w:color w:val="1A2233"/>
          <w:sz w:val="21"/>
          <w:szCs w:val="21"/>
        </w:rPr>
        <w:t xml:space="preserve"> está clasificada como </w:t>
      </w:r>
      <w:r>
        <w:rPr>
          <w:rFonts w:ascii="Calibri" w:cs="Calibri" w:eastAsia="Calibri" w:hAnsi="Calibri"/>
          <w:b/>
          <w:bCs/>
          <w:color w:val="1A2233"/>
          <w:sz w:val="21"/>
          <w:szCs w:val="21"/>
        </w:rPr>
        <w:t xml:space="preserve">Cliente Final</w:t>
      </w:r>
      <w:r>
        <w:rPr>
          <w:rFonts w:ascii="Calibri" w:cs="Calibri" w:eastAsia="Calibri" w:hAnsi="Calibri"/>
          <w:color w:val="1A2233"/>
          <w:sz w:val="21"/>
          <w:szCs w:val="21"/>
        </w:rPr>
        <w:t xml:space="preserve"> (compra para su propia operación) y </w:t>
      </w:r>
      <w:r>
        <w:rPr>
          <w:rFonts w:ascii="Calibri" w:cs="Calibri" w:eastAsia="Calibri" w:hAnsi="Calibri"/>
          <w:color w:val="1A2233"/>
          <w:sz w:val="21"/>
          <w:szCs w:val="21"/>
        </w:rPr>
        <w:t xml:space="preserve">36% como </w:t>
      </w:r>
      <w:r>
        <w:rPr>
          <w:rFonts w:ascii="Calibri" w:cs="Calibri" w:eastAsia="Calibri" w:hAnsi="Calibri"/>
          <w:b/>
          <w:bCs/>
          <w:color w:val="1A2233"/>
          <w:sz w:val="21"/>
          <w:szCs w:val="21"/>
        </w:rPr>
        <w:t xml:space="preserve">Revendedor</w:t>
      </w:r>
      <w:r>
        <w:rPr>
          <w:rFonts w:ascii="Calibri" w:cs="Calibri" w:eastAsia="Calibri" w:hAnsi="Calibri"/>
          <w:color w:val="1A2233"/>
          <w:sz w:val="21"/>
          <w:szCs w:val="21"/>
        </w:rPr>
        <w:t xml:space="preserve"> (compra para revender). El dato relevante: dentro de Tier 1 — las 527 cuentas de prioridad alta en foco — </w:t>
      </w:r>
      <w:r>
        <w:rPr>
          <w:rFonts w:ascii="Calibri" w:cs="Calibri" w:eastAsia="Calibri" w:hAnsi="Calibri"/>
          <w:b/>
          <w:bCs/>
          <w:color w:val="1A2233"/>
          <w:sz w:val="21"/>
          <w:szCs w:val="21"/>
        </w:rPr>
        <w:t xml:space="preserve">el 100% está clasificado como Revendedor</w:t>
      </w:r>
      <w:r>
        <w:rPr>
          <w:rFonts w:ascii="Calibri" w:cs="Calibri" w:eastAsia="Calibri" w:hAnsi="Calibri"/>
          <w:color w:val="1A2233"/>
          <w:sz w:val="21"/>
          <w:szCs w:val="21"/>
        </w:rPr>
        <w:t xml:space="preserve">. Cruzeiro prioriza, naturalmente, las cuentas que multiplican alcance. El mensaje a Tier 1 debe hablarle a un revendedor (margen, rotación, exclusividad), no a un operador (costo de inactividad) — ver sección 4.</w:t>
      </w: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A2233"/>
          <w:sz w:val="21"/>
          <w:szCs w:val="21"/>
        </w:rPr>
        <w:t xml:space="preserve">Completitud de datos y cruce con lo ya trabajado</w:t>
      </w:r>
    </w:p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De las 527 cuentas Tier 1: 527/527 tienen email, pero solo 333/527 (63%) tienen celular registrado — dato relevante para planificar el canal telefónico/WhatsApp. Antes de activar cualquier envío masivo sobre esta base, corresponde cruzarla contra los 51 contactos ya trabajados manualmente en agosto (ascensores, minería, maquinaria pesada, clientes dormidos Vistony) — son universos construidos por fuera de esta base y no deberían duplicarse.</w:t>
      </w:r>
    </w:p>
    <w:p>
      <w:pPr>
        <w:pStyle w:val="Heading1"/>
        <w:pBdr>
          <w:bottom w:val="single" w:color="DEE3EA" w:sz="4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0B6B66"/>
          <w:sz w:val="24"/>
          <w:szCs w:val="24"/>
        </w:rPr>
        <w:t xml:space="preserve">3.  </w:t>
      </w:r>
      <w:r>
        <w:rPr>
          <w:rFonts w:ascii="Cambria" w:cs="Cambria" w:eastAsia="Cambria" w:hAnsi="Cambria"/>
          <w:b/>
          <w:bCs/>
          <w:color w:val="1A2233"/>
          <w:sz w:val="26"/>
          <w:szCs w:val="26"/>
        </w:rPr>
        <w:t xml:space="preserve">Modelo de cuentas clave (Tier 1 / 2 / 3)</w:t>
      </w:r>
    </w:p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La regla de asignación es simple y ya está en los datos: prioridad heredada de Cruzeiro × ajuste de foco de segmento definido en agosto.</w:t>
      </w:r>
    </w:p>
    <w:tbl>
      <w:tblPr>
        <w:tblW w:type="dxa" w:w="9600"/>
        <w:tblBorders>
          <w:top w:val="single" w:color="DEE3EA" w:sz="2"/>
          <w:left w:val="single" w:color="DEE3EA" w:sz="2"/>
          <w:bottom w:val="single" w:color="DEE3EA" w:sz="2"/>
          <w:right w:val="single" w:color="DEE3EA" w:sz="2"/>
          <w:insideH w:val="single" w:color="DEE3EA" w:sz="2"/>
          <w:insideV w:val="single" w:color="DEE3EA" w:sz="2"/>
        </w:tblBorders>
      </w:tblPr>
      <w:tblGrid>
        <w:gridCol w:w="1500"/>
        <w:gridCol w:w="2600"/>
        <w:gridCol w:w="900"/>
        <w:gridCol w:w="2600"/>
        <w:gridCol w:w="2000"/>
      </w:tblGrid>
      <w:tr>
        <w:trPr>
          <w:tblHeader/>
        </w:trPr>
        <w:tc>
          <w:tcPr>
            <w:tcW w:type="dxa" w:w="15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Nivel</w:t>
            </w:r>
          </w:p>
        </w:tc>
        <w:tc>
          <w:tcPr>
            <w:tcW w:type="dxa" w:w="26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Definición</w:t>
            </w:r>
          </w:p>
        </w:tc>
        <w:tc>
          <w:tcPr>
            <w:tcW w:type="dxa" w:w="9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Cuentas</w:t>
            </w:r>
          </w:p>
        </w:tc>
        <w:tc>
          <w:tcPr>
            <w:tcW w:type="dxa" w:w="26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Tratamiento</w:t>
            </w:r>
          </w:p>
        </w:tc>
        <w:tc>
          <w:tcPr>
            <w:tcW w:type="dxa" w:w="20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Canal principal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Tier 1 — Clave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Prioridad A + rubro en foco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527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Gestión 1:1, cuenta nombrada, seguimiento manual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Correo personalizado + teléfono/WhatsApp (333 con celular)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Tier 2 — Cultivo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Prioridad B + rubro en foco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975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Cadencia semi-automatizada; sube a Tier 1 si responde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Correo secuenciado + WhatsApp masivo segmentado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Tier 3 — Motor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Resto: Prioridad C en foco + rubros fuera de foco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2.703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Campaña masiva, sin dedicación manual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Motor de campañas ERP + Apollo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El criterio detrás: Tier 1 concentra revendedores de alta prioridad en los cinco rubros que ya se decidió priorizar — es el conjunto con mayor probabilidad de convertir en el menor tiempo, y el único que justifica trato manual con la capacidad de una sola persona. Tier 2 es la cantera: se cultiva con cadencia automática y se promueve a Tier 1 en cuanto responde. Tier 3 no se abandona — se atiende con las herramientas que ya existen (motor de campañas, Apollo) y sin costo de tiempo adicional.</w:t>
      </w:r>
    </w:p>
    <w:p>
      <w:pPr>
        <w:pStyle w:val="Heading1"/>
        <w:pBdr>
          <w:bottom w:val="single" w:color="DEE3EA" w:sz="4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0B6B66"/>
          <w:sz w:val="24"/>
          <w:szCs w:val="24"/>
        </w:rPr>
        <w:t xml:space="preserve">4.  </w:t>
      </w:r>
      <w:r>
        <w:rPr>
          <w:rFonts w:ascii="Cambria" w:cs="Cambria" w:eastAsia="Cambria" w:hAnsi="Cambria"/>
          <w:b/>
          <w:bCs/>
          <w:color w:val="1A2233"/>
          <w:sz w:val="26"/>
          <w:szCs w:val="26"/>
        </w:rPr>
        <w:t xml:space="preserve">Marco de mensajes: neuromarketing aplicado a venta industrial B2B</w:t>
      </w:r>
    </w:p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Cada principio abajo ya tiene una versión validada en el trabajo real de agosto o en el plan de SKU por segmento — la idea no es partir de cero, sino sistematizar lo que ya funcionó.</w:t>
      </w: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0B6B66"/>
          <w:sz w:val="21"/>
          <w:szCs w:val="21"/>
        </w:rPr>
        <w:t xml:space="preserve">Principios aplicados</w:t>
      </w:r>
    </w:p>
    <w:tbl>
      <w:tblPr>
        <w:tblW w:type="dxa" w:w="9600"/>
        <w:tblBorders>
          <w:top w:val="single" w:color="DEE3EA" w:sz="2"/>
          <w:left w:val="single" w:color="DEE3EA" w:sz="2"/>
          <w:bottom w:val="single" w:color="DEE3EA" w:sz="2"/>
          <w:right w:val="single" w:color="DEE3EA" w:sz="2"/>
          <w:insideH w:val="single" w:color="DEE3EA" w:sz="2"/>
          <w:insideV w:val="single" w:color="DEE3EA" w:sz="2"/>
        </w:tblBorders>
      </w:tblPr>
      <w:tblGrid>
        <w:gridCol w:w="1800"/>
        <w:gridCol w:w="4300"/>
        <w:gridCol w:w="3500"/>
      </w:tblGrid>
      <w:tr>
        <w:trPr>
          <w:tblHeader/>
        </w:trPr>
        <w:tc>
          <w:tcPr>
            <w:tcW w:type="dxa" w:w="18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Principio</w:t>
            </w:r>
          </w:p>
        </w:tc>
        <w:tc>
          <w:tcPr>
            <w:tcW w:type="dxa" w:w="43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Qué significa aquí</w:t>
            </w:r>
          </w:p>
        </w:tc>
        <w:tc>
          <w:tcPr>
            <w:tcW w:type="dxa" w:w="35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Ejemplo ya validado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Autoridad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Mencionar la representación oficial Vistony desde el primer contacto — reduce el riesgo percibido de tratar con un proveedor nuevo.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Ya se usa en los correos de agosto ("lubricantes hidráulicos Vistony").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Prueba social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Mostrar quién más ya confía: casos reales, no genéricos.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MSTM SPA como cliente ✓ en el CRM; 2.917 clientes de Cruzeiro en el paper de alianza.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Anclaje numérico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Convertir el ahorro mensual en cifra anual — el número grande es el que queda en la memoria.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Doc de SKU: "Ahorro $42.000/mes = $504.000/año".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Aversión a la pérdida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El costo de NO actuar pesa más que el beneficio de actuar — mejor gancho que el precio.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Pitch a Tremac: "¿Cuánto te cuesta una hora de operación detenida?" — replicar, es el mejor ejemplo del período.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Reciprocidad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Entregar algo de valor real antes de pedir el pedido — no una muestra genérica.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Diagnóstico de consumo gratuito, ya usado con flotas en el doc de SKU.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Escasez real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Urgencia basada en un hecho verificable (capacidad de despacho, vigencia de precio) — nunca fabricada.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Ventana de precio Vistony vigente; capacidad de despacho de una operación de una persona.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Compromiso y consistencia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Pedir un sí pequeño antes del pedido grande.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"¿Te mando la lista de precios de esta semana?" antes de pedir la compra.</w:t>
            </w:r>
          </w:p>
        </w:tc>
      </w:tr>
    </w:tbl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0B6B66"/>
          <w:sz w:val="21"/>
          <w:szCs w:val="21"/>
        </w:rPr>
        <w:t xml:space="preserve">Sistema 1 (rápido/emocional) antes que Sistema 2 (lento/racional)</w:t>
      </w:r>
    </w:p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El primer contacto se procesa en modo Sistema 1: rápido, gana lo simple y lo que duele. El cierre se procesa en modo Sistema 2: ahí gana el dato. La secuencia de tres correos respeta ese orden — no al revés.</w:t>
      </w:r>
    </w:p>
    <w:tbl>
      <w:tblPr>
        <w:tblW w:type="dxa" w:w="9600"/>
        <w:tblBorders>
          <w:top w:val="single" w:color="DEE3EA" w:sz="2"/>
          <w:left w:val="single" w:color="DEE3EA" w:sz="2"/>
          <w:bottom w:val="single" w:color="DEE3EA" w:sz="2"/>
          <w:right w:val="single" w:color="DEE3EA" w:sz="2"/>
          <w:insideH w:val="single" w:color="DEE3EA" w:sz="2"/>
          <w:insideV w:val="single" w:color="DEE3EA" w:sz="2"/>
        </w:tblBorders>
      </w:tblPr>
      <w:tblGrid>
        <w:gridCol w:w="2300"/>
        <w:gridCol w:w="3000"/>
        <w:gridCol w:w="4300"/>
      </w:tblGrid>
      <w:tr>
        <w:trPr>
          <w:tblHeader/>
        </w:trPr>
        <w:tc>
          <w:tcPr>
            <w:tcW w:type="dxa" w:w="23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Etapa</w:t>
            </w:r>
          </w:p>
        </w:tc>
        <w:tc>
          <w:tcPr>
            <w:tcW w:type="dxa" w:w="30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Objetivo cognitivo</w:t>
            </w:r>
          </w:p>
        </w:tc>
        <w:tc>
          <w:tcPr>
            <w:tcW w:type="dxa" w:w="43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Día 0 — envío inicial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Sistema 1: reconocimiento inmediato del problema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Una pregunta o dato de dolor, una línea. Autoridad (Vistony) en la firma, no en el cuerpo.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Día 3 — seguimiento 1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Puente Sistema 1 → 2: prueba social + ancla numérica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Un caso real + una cifra concreta de ahorro o riesgo, anualizada.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Día 7 — seguimiento 2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Sistema 2: decisión racional final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Ficha técnica corta o lista de precios + pregunta de cierre concreta ("¿coordinamos 10 minutos el jueves?").</w:t>
            </w:r>
          </w:p>
        </w:tc>
      </w:tr>
    </w:tbl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0B6B66"/>
          <w:sz w:val="21"/>
          <w:szCs w:val="21"/>
        </w:rPr>
        <w:t xml:space="preserve">Plantillas por tipo de comprador</w:t>
      </w:r>
    </w:p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Tier 1 es 100% revendedor </w:t>
      </w:r>
      <w:r>
        <w:rPr>
          <w:rFonts w:ascii="Calibri" w:cs="Calibri" w:eastAsia="Calibri" w:hAnsi="Calibri"/>
          <w:color w:val="1A2233"/>
          <w:sz w:val="21"/>
          <w:szCs w:val="21"/>
        </w:rPr>
        <w:t xml:space="preserve">— el mensaje debe hablarle de margen y rotación, no de operación propia. El resto de la base y los 51 contactos ya trabajados en agosto son mayoritariamente clientes finales — ahí el mensaje correcto es de costo operativo.</w:t>
      </w:r>
    </w:p>
    <w:tbl>
      <w:tblPr>
        <w:tblW w:type="dxa" w:w="9600"/>
        <w:tblBorders>
          <w:top w:val="single" w:color="DEE3EA" w:sz="2"/>
          <w:left w:val="single" w:color="DEE3EA" w:sz="2"/>
          <w:bottom w:val="single" w:color="DEE3EA" w:sz="2"/>
          <w:right w:val="single" w:color="DEE3EA" w:sz="2"/>
          <w:insideH w:val="single" w:color="DEE3EA" w:sz="2"/>
          <w:insideV w:val="single" w:color="DEE3EA" w:sz="2"/>
        </w:tblBorders>
      </w:tblPr>
      <w:tblGrid>
        <w:gridCol w:w="1600"/>
        <w:gridCol w:w="4000"/>
        <w:gridCol w:w="4000"/>
      </w:tblGrid>
      <w:tr>
        <w:trPr>
          <w:tblHeader/>
        </w:trPr>
        <w:tc>
          <w:tcPr>
            <w:tcW w:type="dxa" w:w="16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Revendedor (Tier 1)</w:t>
            </w:r>
          </w:p>
        </w:tc>
        <w:tc>
          <w:tcPr>
            <w:tcW w:type="dxa" w:w="40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Cliente final (Tier 2/3 y pipeline propio)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Gancho día 0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"¿Con qué margen trabaja hoy su línea de lubricantes/baterías? Represento Vistony en RM — precio de distribuidor oficial."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"¿Cuánto le cuesta una hora de equipo detenido por falta de insumo a tiempo?"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Ancla día 3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Ejemplo de rotación + margen con cifra anualizada.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Caso real + ahorro anualizado (ej. "$42.000/mes = $504.000/año").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Cierre día 7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Lista de precios mayorista + condiciones de despacho.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Ficha técnica + propuesta de reunión de 10 minutos.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EE3EA" w:sz="4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0B6B66"/>
          <w:sz w:val="24"/>
          <w:szCs w:val="24"/>
        </w:rPr>
        <w:t xml:space="preserve">5.  </w:t>
      </w:r>
      <w:r>
        <w:rPr>
          <w:rFonts w:ascii="Cambria" w:cs="Cambria" w:eastAsia="Cambria" w:hAnsi="Cambria"/>
          <w:b/>
          <w:bCs/>
          <w:color w:val="1A2233"/>
          <w:sz w:val="26"/>
          <w:szCs w:val="26"/>
        </w:rPr>
        <w:t xml:space="preserve">Estrategia multicanal: cualquiera sea la forma y el medio</w:t>
      </w:r>
    </w:p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Ningún canal reemplaza al correo directo que ya funciona — se suman canales que ya están construidos y hoy no se usan a full, más un par de canales de bajo costo que faltan.</w:t>
      </w:r>
    </w:p>
    <w:tbl>
      <w:tblPr>
        <w:tblW w:type="dxa" w:w="9600"/>
        <w:tblBorders>
          <w:top w:val="single" w:color="DEE3EA" w:sz="2"/>
          <w:left w:val="single" w:color="DEE3EA" w:sz="2"/>
          <w:bottom w:val="single" w:color="DEE3EA" w:sz="2"/>
          <w:right w:val="single" w:color="DEE3EA" w:sz="2"/>
          <w:insideH w:val="single" w:color="DEE3EA" w:sz="2"/>
          <w:insideV w:val="single" w:color="DEE3EA" w:sz="2"/>
        </w:tblBorders>
      </w:tblPr>
      <w:tblGrid>
        <w:gridCol w:w="2100"/>
        <w:gridCol w:w="1900"/>
        <w:gridCol w:w="1300"/>
        <w:gridCol w:w="4300"/>
      </w:tblGrid>
      <w:tr>
        <w:trPr>
          <w:tblHeader/>
        </w:trPr>
        <w:tc>
          <w:tcPr>
            <w:tcW w:type="dxa" w:w="21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Canal</w:t>
            </w:r>
          </w:p>
        </w:tc>
        <w:tc>
          <w:tcPr>
            <w:tcW w:type="dxa" w:w="19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Sirve a</w:t>
            </w:r>
          </w:p>
        </w:tc>
        <w:tc>
          <w:tcPr>
            <w:tcW w:type="dxa" w:w="13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Costo</w:t>
            </w:r>
          </w:p>
        </w:tc>
        <w:tc>
          <w:tcPr>
            <w:tcW w:type="dxa" w:w="43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Qué hacer exactamente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Correo directo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Tier 1 y 2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$0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Secuencia día 0 / 3 / 7 de la sección 4, un correo a la vez, personalizado por Razón Social.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Teléfono / WhatsApp Business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Tier 1 (333 con celular)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$0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Lista de difusión por rubro — nunca un mensaje genérico a todos. Llamada solo tras 2 correos sin respuesta.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LinkedIn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Tier 1 revendedor + Tier 2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$0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Conectar con el jefe de compras/bodega de cada Razón Social — no con el gerente general. 2 publicaciones/semana (una técnica, una comercial), igual criterio que el plan de medios ya construido en junio.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Motor de campañas del ERP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Tier 3 (2.703)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$0 — ya construido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Activar campaña por rubro con seguimiento de apertura; quien abra o haga clic se re-prioriza a Tier 2.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Apollo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Tier 3 + enriquecimiento de Tier 1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Según plan contratado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Enriquecer los 194 contactos de Tier 1 sin celular; escalar el envío de Tier 3 sin trabajo manual.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Mercado Público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Construcción / Industria / Minería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$0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Licitaciones abiertas — dato público, sin conflicto de confidencialidad. Revisar semanalmente nuevas licitaciones en los rubros en foco.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Gremios (CChC, asociaciones mineras)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Tier 1/2 y reputación de marca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Bajo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Listados de socios públicos + eventos — vía de prospección nueva, fuera de cualquier base cargada.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Google Business Profile / SEO local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Inbound pasivo, todos los tiers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$0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Replicar la ficha ya diseñada en el plan de medios de junio para RMG Parts — trabaja mientras no hay tiempo para prospectar activamente.</w:t>
            </w:r>
          </w:p>
        </w:tc>
      </w:tr>
    </w:tbl>
    <w:p>
      <w:pPr>
        <w:pStyle w:val="Heading1"/>
        <w:pBdr>
          <w:bottom w:val="single" w:color="DEE3EA" w:sz="4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0B6B66"/>
          <w:sz w:val="24"/>
          <w:szCs w:val="24"/>
        </w:rPr>
        <w:t xml:space="preserve">6.  </w:t>
      </w:r>
      <w:r>
        <w:rPr>
          <w:rFonts w:ascii="Cambria" w:cs="Cambria" w:eastAsia="Cambria" w:hAnsi="Cambria"/>
          <w:b/>
          <w:bCs/>
          <w:color w:val="1A2233"/>
          <w:sz w:val="26"/>
          <w:szCs w:val="26"/>
        </w:rPr>
        <w:t xml:space="preserve">Operación semanal y ritmo de cobertura</w:t>
      </w:r>
    </w:p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Calibrado a que hoy esto lo ejecuta una sola persona — el mismo objetivo diario y semanal ya presentado a gerencia (10–20 envíos nuevos/día, 50–100/semana), ahora aplicado específicamente a Tier 1 primero.</w:t>
      </w:r>
    </w:p>
    <w:tbl>
      <w:tblPr>
        <w:tblW w:type="dxa" w:w="9600"/>
        <w:tblBorders>
          <w:top w:val="single" w:color="DEE3EA" w:sz="2"/>
          <w:left w:val="single" w:color="DEE3EA" w:sz="2"/>
          <w:bottom w:val="single" w:color="DEE3EA" w:sz="2"/>
          <w:right w:val="single" w:color="DEE3EA" w:sz="2"/>
          <w:insideH w:val="single" w:color="DEE3EA" w:sz="2"/>
          <w:insideV w:val="single" w:color="DEE3EA" w:sz="2"/>
        </w:tblBorders>
      </w:tblPr>
      <w:tblGrid>
        <w:gridCol w:w="2700"/>
        <w:gridCol w:w="2000"/>
        <w:gridCol w:w="4900"/>
      </w:tblGrid>
      <w:tr>
        <w:trPr>
          <w:tblHeader/>
        </w:trPr>
        <w:tc>
          <w:tcPr>
            <w:tcW w:type="dxa" w:w="27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Bloque semanal</w:t>
            </w:r>
          </w:p>
        </w:tc>
        <w:tc>
          <w:tcPr>
            <w:tcW w:type="dxa" w:w="20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Tiempo estimado</w:t>
            </w:r>
          </w:p>
        </w:tc>
        <w:tc>
          <w:tcPr>
            <w:tcW w:type="dxa" w:w="49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Qué incluye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Envíos nuevos Tier 1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45–60 min/día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10–20 correos nuevos personalizados a cuentas Tier 1 no trabajadas.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Seguimientos día+3 / día+7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30 min/día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Seguimiento a correos previos según la cadencia de la sección 4.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Llamadas / WhatsApp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45 min/día, 3 días/semana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A las cuentas Tier 1 con celular que no respondieron por correo.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Revisión Tier 2 y Tier 3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 bloque, 1 vez/semana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Ver qué abrió/hizo clic en el motor de campañas o en Apollo; promover a Tier 1 lo que muestre interés.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LinkedIn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20 min/día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Conexiones nuevas + 2 publicaciones/semana.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Cobertura de Tier 1: </w:t>
      </w:r>
      <w:r>
        <w:rPr>
          <w:rFonts w:ascii="Calibri" w:cs="Calibri" w:eastAsia="Calibri" w:hAnsi="Calibri"/>
          <w:color w:val="1A2233"/>
          <w:sz w:val="21"/>
          <w:szCs w:val="21"/>
        </w:rPr>
        <w:t xml:space="preserve">a 50–100 contactos nuevos por semana, las 527 cuentas se cubren en 6 a 11 semanas — antes de dedicar tiempo manual completo a Tier 2. Es un horizonte de poco más de dos meses, consistente con lo ya presentado a gerencia.</w:t>
      </w:r>
    </w:p>
    <w:p>
      <w:pPr>
        <w:pStyle w:val="Heading1"/>
        <w:pBdr>
          <w:bottom w:val="single" w:color="DEE3EA" w:sz="4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0B6B66"/>
          <w:sz w:val="24"/>
          <w:szCs w:val="24"/>
        </w:rPr>
        <w:t xml:space="preserve">7.  </w:t>
      </w:r>
      <w:r>
        <w:rPr>
          <w:rFonts w:ascii="Cambria" w:cs="Cambria" w:eastAsia="Cambria" w:hAnsi="Cambria"/>
          <w:b/>
          <w:bCs/>
          <w:color w:val="1A2233"/>
          <w:sz w:val="26"/>
          <w:szCs w:val="26"/>
        </w:rPr>
        <w:t xml:space="preserve">KPIs y tablero de seguimiento</w:t>
      </w:r>
    </w:p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El mismo embudo ya validado con gerencia (Contacto → Seguimiento → Cotización → Cierre), medido ahora por tier.</w:t>
      </w:r>
    </w:p>
    <w:tbl>
      <w:tblPr>
        <w:tblW w:type="dxa" w:w="9600"/>
        <w:tblBorders>
          <w:top w:val="single" w:color="DEE3EA" w:sz="2"/>
          <w:left w:val="single" w:color="DEE3EA" w:sz="2"/>
          <w:bottom w:val="single" w:color="DEE3EA" w:sz="2"/>
          <w:right w:val="single" w:color="DEE3EA" w:sz="2"/>
          <w:insideH w:val="single" w:color="DEE3EA" w:sz="2"/>
          <w:insideV w:val="single" w:color="DEE3EA" w:sz="2"/>
        </w:tblBorders>
      </w:tblPr>
      <w:tblGrid>
        <w:gridCol w:w="2200"/>
        <w:gridCol w:w="2500"/>
        <w:gridCol w:w="2500"/>
        <w:gridCol w:w="2400"/>
      </w:tblGrid>
      <w:tr>
        <w:trPr>
          <w:tblHeader/>
        </w:trPr>
        <w:tc>
          <w:tcPr>
            <w:tcW w:type="dxa" w:w="22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Métrica</w:t>
            </w:r>
          </w:p>
        </w:tc>
        <w:tc>
          <w:tcPr>
            <w:tcW w:type="dxa" w:w="25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Tier 1</w:t>
            </w:r>
          </w:p>
        </w:tc>
        <w:tc>
          <w:tcPr>
            <w:tcW w:type="dxa" w:w="25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Tier 2</w:t>
            </w:r>
          </w:p>
        </w:tc>
        <w:tc>
          <w:tcPr>
            <w:tcW w:type="dxa" w:w="2400"/>
            <w:shd w:fill="EEF1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6577"/>
                <w:sz w:val="18"/>
                <w:szCs w:val="18"/>
              </w:rPr>
              <w:t xml:space="preserve">Tier 3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Contactados / semana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50–100 (meta)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Automatizado (correo secuenciado)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Automatizado (campaña + Apollo)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Tasa de respuesta esperada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10–20%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5–10%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1–3% (apertura)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Conversión a reunión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3–5% de contactados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Escala a Tier 1 si responde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N/A — nutrición pasiva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Revisión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Semanal, 1:1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Quincenal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19"/>
                <w:szCs w:val="19"/>
              </w:rPr>
              <w:t xml:space="preserve">Mensual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Sugerencia de trazabilidad: agregar el campo "Tier" y "Rubro" a cada cuenta en el CRM del ERP, junto con la mejora ya identificada de vincular cliente a cada cotización — no implica tocar el circuito de conversión que hoy está bloqueado, solo capturar el dato para poder medir esta tabla con el sistema, no a mano.</w:t>
      </w:r>
    </w:p>
    <w:p>
      <w:pPr>
        <w:pStyle w:val="Heading1"/>
        <w:pBdr>
          <w:bottom w:val="single" w:color="DEE3EA" w:sz="4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0B6B66"/>
          <w:sz w:val="24"/>
          <w:szCs w:val="24"/>
        </w:rPr>
        <w:t xml:space="preserve">8.  </w:t>
      </w:r>
      <w:r>
        <w:rPr>
          <w:rFonts w:ascii="Cambria" w:cs="Cambria" w:eastAsia="Cambria" w:hAnsi="Cambria"/>
          <w:b/>
          <w:bCs/>
          <w:color w:val="1A2233"/>
          <w:sz w:val="26"/>
          <w:szCs w:val="26"/>
        </w:rPr>
        <w:t xml:space="preserve">Resguardos, dado el origen de la base</w:t>
      </w:r>
    </w:p>
    <w:tbl>
      <w:tblPr>
        <w:tblW w:type="pct" w:w="100%"/>
        <w:tblBorders>
          <w:top w:val="single" w:color="8A5607" w:sz="4"/>
          <w:left w:val="single" w:color="8A5607" w:sz="4"/>
          <w:bottom w:val="single" w:color="8A5607" w:sz="4"/>
          <w:right w:val="single" w:color="8A5607" w:sz="4"/>
          <w:insideH w:val="none"/>
          <w:insideV w:val="none"/>
        </w:tblBorders>
      </w:tblPr>
      <w:tblGrid>
        <w:gridCol w:w="100"/>
      </w:tblGrid>
      <w:tr>
        <w:tc>
          <w:tcPr>
            <w:shd w:fill="FBF0D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8A5607"/>
                <w:sz w:val="21"/>
                <w:szCs w:val="21"/>
              </w:rPr>
              <w:t xml:space="preserve">El uso está autorizado — igual conviene operar con cuidado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8A5607"/>
                <w:sz w:val="21"/>
                <w:szCs w:val="21"/>
              </w:rPr>
              <w:t xml:space="preserve">—  </w:t>
            </w:r>
            <w:r>
              <w:rPr>
                <w:rFonts w:ascii="Calibri" w:cs="Calibri" w:eastAsia="Calibri" w:hAnsi="Calibri"/>
                <w:color w:val="8A5607"/>
                <w:sz w:val="21"/>
                <w:szCs w:val="21"/>
              </w:rPr>
              <w:t xml:space="preserve">No mencionar a Cruzeiro como fuente del contacto en el primer mensaje — la propuesta es de RMG como representante Vistony, no "conseguimos su contacto a través de Cruzeiro".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8A5607"/>
                <w:sz w:val="21"/>
                <w:szCs w:val="21"/>
              </w:rPr>
              <w:t xml:space="preserve">—  </w:t>
            </w:r>
            <w:r>
              <w:rPr>
                <w:rFonts w:ascii="Calibri" w:cs="Calibri" w:eastAsia="Calibri" w:hAnsi="Calibri"/>
                <w:color w:val="8A5607"/>
                <w:sz w:val="21"/>
                <w:szCs w:val="21"/>
              </w:rPr>
              <w:t xml:space="preserve">Mantener un ritmo moderado en Tier 1 durante la semana previa a la reunión del 27 de agosto, para no generar señales cruzadas antes de cerrar el modelo de alianza.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8A5607"/>
                <w:sz w:val="21"/>
                <w:szCs w:val="21"/>
              </w:rPr>
              <w:t xml:space="preserve">—  </w:t>
            </w:r>
            <w:r>
              <w:rPr>
                <w:rFonts w:ascii="Calibri" w:cs="Calibri" w:eastAsia="Calibri" w:hAnsi="Calibri"/>
                <w:color w:val="8A5607"/>
                <w:sz w:val="21"/>
                <w:szCs w:val="21"/>
              </w:rPr>
              <w:t xml:space="preserve">Dejar registro interno (correo o nota) de que el uso de esta base fue confirmado — respaldo simple ante cualquier pregunta futura, propia o de Cruzeiro.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8A5607"/>
                <w:sz w:val="21"/>
                <w:szCs w:val="21"/>
              </w:rPr>
              <w:t xml:space="preserve">—  </w:t>
            </w:r>
            <w:r>
              <w:rPr>
                <w:rFonts w:ascii="Calibri" w:cs="Calibri" w:eastAsia="Calibri" w:hAnsi="Calibri"/>
                <w:color w:val="8A5607"/>
                <w:sz w:val="21"/>
                <w:szCs w:val="21"/>
              </w:rPr>
              <w:t xml:space="preserve">Una vez cerrada la alianza, alinear el uso de esta base con el equipo comercial de Cruzeiro: 33 vendedores distintos aparecen ya asignados a las 527 cuentas de Tier 1 — conviene evitar que RMG y un vendedor de Cruzeiro contacten a la misma cuenta con mensajes distintos.</w:t>
            </w:r>
          </w:p>
        </w:tc>
      </w:tr>
    </w:tbl>
    <w:p>
      <w:pPr>
        <w:pStyle w:val="Heading1"/>
        <w:pBdr>
          <w:bottom w:val="single" w:color="DEE3EA" w:sz="4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0B6B66"/>
          <w:sz w:val="24"/>
          <w:szCs w:val="24"/>
        </w:rPr>
        <w:t xml:space="preserve">9.  </w:t>
      </w:r>
      <w:r>
        <w:rPr>
          <w:rFonts w:ascii="Cambria" w:cs="Cambria" w:eastAsia="Cambria" w:hAnsi="Cambria"/>
          <w:b/>
          <w:bCs/>
          <w:color w:val="1A2233"/>
          <w:sz w:val="26"/>
          <w:szCs w:val="26"/>
        </w:rPr>
        <w:t xml:space="preserve">Próximos pasos inmediatos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Cruzar los 527 contactos de Tier 1 contra los 51 ya trabajados en agosto, para no duplicar outreach.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Enriquecer con Apollo los 194 contactos de Tier 1 que no tienen celular registrado.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Redactar y dejar listas las plantillas día 0 / 3 / 7 para revendedor y cliente final (sección 4), antes de empezar los envíos.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Activar el motor de campañas del ERP sobre Tier 3, con seguimiento de apertura ya construido.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Iniciar Tier 1 la semana del 1 de septiembre — después de la reunión del 27 de agosto con Cruzeiro, para operar con el resultado de esa conversación ya incorporado.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A2233"/>
          <w:sz w:val="21"/>
          <w:szCs w:val="21"/>
        </w:rPr>
        <w:t xml:space="preserve">Agregar los campos "Tier" y "Rubro" al CRM para medir el tablero de la sección 7 con datos del sistema.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577"/>
        <w:sz w:val="15"/>
        <w:szCs w:val="15"/>
      </w:rPr>
      <w:t xml:space="preserve">25 de agosto de 2026 · Pág. </w:t>
    </w:r>
    <w:r>
      <w:rPr>
        <w:rFonts w:ascii="Calibri" w:cs="Calibri" w:eastAsia="Calibri" w:hAnsi="Calibri"/>
        <w:color w:val="5C657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C6577"/>
        <w:sz w:val="15"/>
        <w:szCs w:val="15"/>
      </w:rPr>
      <w:t xml:space="preserve">RMG Parts · Modelo de gestión y prospección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cb844cc29a9202ca567d0e3adab1ffcd88ec9d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2026-08-25T18:06:46.970Z</dcterms:created>
  <dcterms:modified xsi:type="dcterms:W3CDTF">2026-08-25T18:06:46.970Z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