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3"/>
        <w:gridCol w:w="283"/>
        <w:gridCol w:w="7497"/>
      </w:tblGrid>
      <w:tr w:rsidR="00385D1F" w:rsidRPr="00443ADB" w14:paraId="453226E0" w14:textId="77777777" w:rsidTr="00117A8D">
        <w:tc>
          <w:tcPr>
            <w:tcW w:w="1458" w:type="dxa"/>
          </w:tcPr>
          <w:p w14:paraId="64B4BACB" w14:textId="77777777" w:rsidR="00385D1F" w:rsidRPr="00443ADB" w:rsidRDefault="00385D1F" w:rsidP="00117A8D">
            <w:pPr>
              <w:pStyle w:val="NoSpacing"/>
              <w:jc w:val="both"/>
              <w:rPr>
                <w:rFonts w:ascii="Times New Roman" w:eastAsia="Calibri" w:hAnsi="Times New Roman" w:cs="Times New Roman"/>
                <w:color w:val="000000" w:themeColor="text1"/>
              </w:rPr>
            </w:pPr>
            <w:r w:rsidRPr="00443ADB">
              <w:rPr>
                <w:rFonts w:ascii="Times New Roman" w:eastAsia="Calibri" w:hAnsi="Times New Roman" w:cs="Times New Roman"/>
                <w:color w:val="000000" w:themeColor="text1"/>
              </w:rPr>
              <w:t>FOR</w:t>
            </w:r>
          </w:p>
        </w:tc>
        <w:tc>
          <w:tcPr>
            <w:tcW w:w="283" w:type="dxa"/>
          </w:tcPr>
          <w:p w14:paraId="046EE5D3" w14:textId="77777777" w:rsidR="00385D1F" w:rsidRPr="00443ADB" w:rsidRDefault="00385D1F" w:rsidP="00117A8D">
            <w:pPr>
              <w:pStyle w:val="NoSpacing"/>
              <w:jc w:val="both"/>
              <w:rPr>
                <w:rFonts w:ascii="Times New Roman" w:eastAsia="Calibri" w:hAnsi="Times New Roman" w:cs="Times New Roman"/>
                <w:color w:val="000000" w:themeColor="text1"/>
              </w:rPr>
            </w:pPr>
            <w:r w:rsidRPr="00443ADB">
              <w:rPr>
                <w:rFonts w:ascii="Times New Roman" w:eastAsia="Calibri" w:hAnsi="Times New Roman" w:cs="Times New Roman"/>
                <w:color w:val="000000" w:themeColor="text1"/>
              </w:rPr>
              <w:t>:</w:t>
            </w:r>
          </w:p>
        </w:tc>
        <w:tc>
          <w:tcPr>
            <w:tcW w:w="7502" w:type="dxa"/>
          </w:tcPr>
          <w:p w14:paraId="2D738E98" w14:textId="1E37419C" w:rsidR="00385D1F" w:rsidRPr="00443ADB" w:rsidRDefault="002D7B97" w:rsidP="00117A8D">
            <w:pPr>
              <w:pStyle w:val="NoSpacing"/>
              <w:jc w:val="both"/>
              <w:rPr>
                <w:rFonts w:ascii="Times New Roman" w:eastAsia="Calibri" w:hAnsi="Times New Roman" w:cs="Times New Roman"/>
                <w:b/>
                <w:color w:val="000000" w:themeColor="text1"/>
              </w:rPr>
            </w:pPr>
            <w:r>
              <w:rPr>
                <w:rFonts w:ascii="Times New Roman" w:eastAsia="Calibri" w:hAnsi="Times New Roman" w:cs="Times New Roman"/>
                <w:b/>
                <w:color w:val="000000" w:themeColor="text1"/>
              </w:rPr>
              <w:t>MERCIDITA P. JABAGAT</w:t>
            </w:r>
          </w:p>
        </w:tc>
      </w:tr>
      <w:tr w:rsidR="00385D1F" w:rsidRPr="00443ADB" w14:paraId="0C24933F" w14:textId="77777777" w:rsidTr="00117A8D">
        <w:tc>
          <w:tcPr>
            <w:tcW w:w="1458" w:type="dxa"/>
          </w:tcPr>
          <w:p w14:paraId="300A280F" w14:textId="77777777" w:rsidR="00385D1F" w:rsidRPr="00443ADB" w:rsidRDefault="00385D1F" w:rsidP="00117A8D">
            <w:pPr>
              <w:pStyle w:val="NoSpacing"/>
              <w:jc w:val="both"/>
              <w:rPr>
                <w:rFonts w:ascii="Times New Roman" w:eastAsia="Calibri" w:hAnsi="Times New Roman" w:cs="Times New Roman"/>
                <w:color w:val="000000" w:themeColor="text1"/>
              </w:rPr>
            </w:pPr>
          </w:p>
        </w:tc>
        <w:tc>
          <w:tcPr>
            <w:tcW w:w="283" w:type="dxa"/>
          </w:tcPr>
          <w:p w14:paraId="10AF8245" w14:textId="77777777" w:rsidR="00385D1F" w:rsidRPr="00443ADB" w:rsidRDefault="00385D1F" w:rsidP="00117A8D">
            <w:pPr>
              <w:pStyle w:val="NoSpacing"/>
              <w:jc w:val="both"/>
              <w:rPr>
                <w:rFonts w:ascii="Times New Roman" w:eastAsia="Calibri" w:hAnsi="Times New Roman" w:cs="Times New Roman"/>
                <w:color w:val="000000" w:themeColor="text1"/>
              </w:rPr>
            </w:pPr>
          </w:p>
        </w:tc>
        <w:tc>
          <w:tcPr>
            <w:tcW w:w="7502" w:type="dxa"/>
          </w:tcPr>
          <w:p w14:paraId="38255B19" w14:textId="225C2A9F" w:rsidR="00385D1F" w:rsidRPr="00443ADB" w:rsidRDefault="002D7B97" w:rsidP="002D7B97">
            <w:pPr>
              <w:pStyle w:val="NoSpacing"/>
              <w:jc w:val="both"/>
              <w:rPr>
                <w:rFonts w:ascii="Times New Roman" w:eastAsia="Calibri" w:hAnsi="Times New Roman" w:cs="Times New Roman"/>
                <w:b/>
                <w:color w:val="000000" w:themeColor="text1"/>
              </w:rPr>
            </w:pPr>
            <w:r>
              <w:rPr>
                <w:rFonts w:ascii="Times New Roman" w:eastAsia="Calibri" w:hAnsi="Times New Roman" w:cs="Times New Roman"/>
                <w:color w:val="000000" w:themeColor="text1"/>
              </w:rPr>
              <w:t>Regional Director, Field Office XI</w:t>
            </w:r>
          </w:p>
        </w:tc>
      </w:tr>
      <w:tr w:rsidR="00385D1F" w:rsidRPr="00443ADB" w14:paraId="37EC0879" w14:textId="77777777" w:rsidTr="00117A8D">
        <w:tc>
          <w:tcPr>
            <w:tcW w:w="1458" w:type="dxa"/>
          </w:tcPr>
          <w:p w14:paraId="72317E19" w14:textId="77777777" w:rsidR="00385D1F" w:rsidRPr="00443ADB" w:rsidRDefault="00385D1F" w:rsidP="00117A8D">
            <w:pPr>
              <w:pStyle w:val="NoSpacing"/>
              <w:jc w:val="both"/>
              <w:rPr>
                <w:rFonts w:ascii="Times New Roman" w:eastAsia="Calibri" w:hAnsi="Times New Roman" w:cs="Times New Roman"/>
                <w:color w:val="000000" w:themeColor="text1"/>
              </w:rPr>
            </w:pPr>
          </w:p>
        </w:tc>
        <w:tc>
          <w:tcPr>
            <w:tcW w:w="283" w:type="dxa"/>
          </w:tcPr>
          <w:p w14:paraId="6FBF7758" w14:textId="77777777" w:rsidR="00385D1F" w:rsidRPr="00443ADB" w:rsidRDefault="00385D1F" w:rsidP="00117A8D">
            <w:pPr>
              <w:pStyle w:val="NoSpacing"/>
              <w:jc w:val="both"/>
              <w:rPr>
                <w:rFonts w:ascii="Times New Roman" w:eastAsia="Calibri" w:hAnsi="Times New Roman" w:cs="Times New Roman"/>
                <w:color w:val="000000" w:themeColor="text1"/>
              </w:rPr>
            </w:pPr>
          </w:p>
        </w:tc>
        <w:tc>
          <w:tcPr>
            <w:tcW w:w="7502" w:type="dxa"/>
          </w:tcPr>
          <w:p w14:paraId="1F526B53" w14:textId="77777777" w:rsidR="00385D1F" w:rsidRPr="00443ADB" w:rsidRDefault="00385D1F" w:rsidP="00117A8D">
            <w:pPr>
              <w:pStyle w:val="NoSpacing"/>
              <w:jc w:val="both"/>
              <w:rPr>
                <w:rFonts w:ascii="Times New Roman" w:eastAsia="Calibri" w:hAnsi="Times New Roman" w:cs="Times New Roman"/>
                <w:color w:val="000000" w:themeColor="text1"/>
              </w:rPr>
            </w:pPr>
          </w:p>
        </w:tc>
      </w:tr>
      <w:tr w:rsidR="000715B8" w:rsidRPr="00443ADB" w14:paraId="1CA56CA7" w14:textId="77777777" w:rsidTr="00117A8D">
        <w:tc>
          <w:tcPr>
            <w:tcW w:w="1458" w:type="dxa"/>
          </w:tcPr>
          <w:p w14:paraId="750DE212" w14:textId="558DA4DC" w:rsidR="000715B8" w:rsidRPr="00443ADB" w:rsidRDefault="002D7B97" w:rsidP="00117A8D">
            <w:pPr>
              <w:pStyle w:val="NoSpacing"/>
              <w:jc w:val="both"/>
              <w:rPr>
                <w:rFonts w:ascii="Times New Roman" w:eastAsia="Calibri" w:hAnsi="Times New Roman" w:cs="Times New Roman"/>
                <w:color w:val="000000" w:themeColor="text1"/>
              </w:rPr>
            </w:pPr>
            <w:r>
              <w:rPr>
                <w:rFonts w:ascii="Times New Roman" w:eastAsia="Calibri" w:hAnsi="Times New Roman" w:cs="Times New Roman"/>
                <w:color w:val="000000" w:themeColor="text1"/>
              </w:rPr>
              <w:t>ATTENTION</w:t>
            </w:r>
          </w:p>
        </w:tc>
        <w:tc>
          <w:tcPr>
            <w:tcW w:w="283" w:type="dxa"/>
          </w:tcPr>
          <w:p w14:paraId="30A6BDC2" w14:textId="77777777" w:rsidR="000715B8" w:rsidRPr="00443ADB" w:rsidRDefault="000715B8" w:rsidP="00117A8D">
            <w:pPr>
              <w:pStyle w:val="NoSpacing"/>
              <w:jc w:val="both"/>
              <w:rPr>
                <w:rFonts w:ascii="Times New Roman" w:eastAsia="Calibri" w:hAnsi="Times New Roman" w:cs="Times New Roman"/>
                <w:color w:val="000000" w:themeColor="text1"/>
              </w:rPr>
            </w:pPr>
            <w:r w:rsidRPr="00443ADB">
              <w:rPr>
                <w:rFonts w:ascii="Times New Roman" w:eastAsia="Calibri" w:hAnsi="Times New Roman" w:cs="Times New Roman"/>
                <w:color w:val="000000" w:themeColor="text1"/>
              </w:rPr>
              <w:t>:</w:t>
            </w:r>
          </w:p>
        </w:tc>
        <w:tc>
          <w:tcPr>
            <w:tcW w:w="7502" w:type="dxa"/>
          </w:tcPr>
          <w:p w14:paraId="3FA42740" w14:textId="77777777" w:rsidR="000715B8" w:rsidRDefault="002D7B97" w:rsidP="002D7B97">
            <w:pPr>
              <w:pStyle w:val="NoSpacing"/>
              <w:jc w:val="both"/>
              <w:rPr>
                <w:rFonts w:ascii="Times New Roman" w:eastAsia="Calibri" w:hAnsi="Times New Roman" w:cs="Times New Roman"/>
                <w:b/>
                <w:color w:val="000000" w:themeColor="text1"/>
              </w:rPr>
            </w:pPr>
            <w:r>
              <w:rPr>
                <w:rFonts w:ascii="Times New Roman" w:eastAsia="Calibri" w:hAnsi="Times New Roman" w:cs="Times New Roman"/>
                <w:b/>
                <w:color w:val="000000" w:themeColor="text1"/>
              </w:rPr>
              <w:t>THE ASSISTAND REGIONAL DIRECTOR</w:t>
            </w:r>
          </w:p>
          <w:p w14:paraId="7EB5B9CA" w14:textId="13D5E218" w:rsidR="002D7B97" w:rsidRPr="002D7B97" w:rsidRDefault="002D7B97" w:rsidP="002D7B97">
            <w:pPr>
              <w:pStyle w:val="NoSpacing"/>
              <w:jc w:val="both"/>
              <w:rPr>
                <w:rFonts w:ascii="Times New Roman" w:eastAsia="Calibri" w:hAnsi="Times New Roman" w:cs="Times New Roman"/>
                <w:b/>
                <w:color w:val="000000" w:themeColor="text1"/>
              </w:rPr>
            </w:pPr>
            <w:r>
              <w:rPr>
                <w:rFonts w:ascii="Times New Roman" w:eastAsia="Calibri" w:hAnsi="Times New Roman" w:cs="Times New Roman"/>
                <w:b/>
                <w:color w:val="000000" w:themeColor="text1"/>
              </w:rPr>
              <w:t>REGIONAL PROGRAM COORDINATOR - SLP</w:t>
            </w:r>
          </w:p>
        </w:tc>
      </w:tr>
      <w:tr w:rsidR="000715B8" w:rsidRPr="00443ADB" w14:paraId="77EF92BA" w14:textId="77777777" w:rsidTr="00117A8D">
        <w:tc>
          <w:tcPr>
            <w:tcW w:w="1458" w:type="dxa"/>
          </w:tcPr>
          <w:p w14:paraId="1145F64C" w14:textId="6D42FD74" w:rsidR="000715B8" w:rsidRPr="00443ADB" w:rsidRDefault="000715B8" w:rsidP="00117A8D">
            <w:pPr>
              <w:pStyle w:val="NoSpacing"/>
              <w:jc w:val="both"/>
              <w:rPr>
                <w:rFonts w:ascii="Times New Roman" w:eastAsia="Calibri" w:hAnsi="Times New Roman" w:cs="Times New Roman"/>
                <w:color w:val="000000" w:themeColor="text1"/>
              </w:rPr>
            </w:pPr>
          </w:p>
        </w:tc>
        <w:tc>
          <w:tcPr>
            <w:tcW w:w="283" w:type="dxa"/>
          </w:tcPr>
          <w:p w14:paraId="44067ADB" w14:textId="77777777" w:rsidR="000715B8" w:rsidRPr="00443ADB" w:rsidRDefault="000715B8" w:rsidP="00117A8D">
            <w:pPr>
              <w:pStyle w:val="NoSpacing"/>
              <w:jc w:val="both"/>
              <w:rPr>
                <w:rFonts w:ascii="Times New Roman" w:eastAsia="Calibri" w:hAnsi="Times New Roman" w:cs="Times New Roman"/>
                <w:color w:val="000000" w:themeColor="text1"/>
              </w:rPr>
            </w:pPr>
          </w:p>
        </w:tc>
        <w:tc>
          <w:tcPr>
            <w:tcW w:w="7502" w:type="dxa"/>
          </w:tcPr>
          <w:p w14:paraId="47A3F4B5" w14:textId="77777777" w:rsidR="000715B8" w:rsidRPr="00443ADB" w:rsidRDefault="000715B8" w:rsidP="00117A8D">
            <w:pPr>
              <w:pStyle w:val="NoSpacing"/>
              <w:jc w:val="both"/>
              <w:rPr>
                <w:rFonts w:ascii="Times New Roman" w:eastAsia="Calibri" w:hAnsi="Times New Roman" w:cs="Times New Roman"/>
                <w:b/>
                <w:color w:val="000000" w:themeColor="text1"/>
              </w:rPr>
            </w:pPr>
          </w:p>
        </w:tc>
      </w:tr>
      <w:tr w:rsidR="00385D1F" w:rsidRPr="00443ADB" w14:paraId="5F888D2D" w14:textId="77777777" w:rsidTr="00117A8D">
        <w:tc>
          <w:tcPr>
            <w:tcW w:w="1458" w:type="dxa"/>
          </w:tcPr>
          <w:p w14:paraId="3CDCD4A5" w14:textId="77777777" w:rsidR="00385D1F" w:rsidRPr="00443ADB" w:rsidRDefault="00385D1F" w:rsidP="00117A8D">
            <w:pPr>
              <w:pStyle w:val="NoSpacing"/>
              <w:jc w:val="both"/>
              <w:rPr>
                <w:rFonts w:ascii="Times New Roman" w:eastAsia="Calibri" w:hAnsi="Times New Roman" w:cs="Times New Roman"/>
                <w:color w:val="000000" w:themeColor="text1"/>
              </w:rPr>
            </w:pPr>
            <w:r w:rsidRPr="00443ADB">
              <w:rPr>
                <w:rFonts w:ascii="Times New Roman" w:eastAsia="Calibri" w:hAnsi="Times New Roman" w:cs="Times New Roman"/>
                <w:color w:val="000000" w:themeColor="text1"/>
              </w:rPr>
              <w:t>FROM</w:t>
            </w:r>
          </w:p>
        </w:tc>
        <w:tc>
          <w:tcPr>
            <w:tcW w:w="283" w:type="dxa"/>
          </w:tcPr>
          <w:p w14:paraId="7ED68725" w14:textId="77777777" w:rsidR="00385D1F" w:rsidRPr="00443ADB" w:rsidRDefault="00385D1F" w:rsidP="00117A8D">
            <w:pPr>
              <w:pStyle w:val="NoSpacing"/>
              <w:jc w:val="both"/>
              <w:rPr>
                <w:rFonts w:ascii="Times New Roman" w:eastAsia="Calibri" w:hAnsi="Times New Roman" w:cs="Times New Roman"/>
                <w:color w:val="000000" w:themeColor="text1"/>
              </w:rPr>
            </w:pPr>
            <w:r w:rsidRPr="00443ADB">
              <w:rPr>
                <w:rFonts w:ascii="Times New Roman" w:eastAsia="Calibri" w:hAnsi="Times New Roman" w:cs="Times New Roman"/>
                <w:color w:val="000000" w:themeColor="text1"/>
              </w:rPr>
              <w:t>:</w:t>
            </w:r>
          </w:p>
        </w:tc>
        <w:tc>
          <w:tcPr>
            <w:tcW w:w="7502" w:type="dxa"/>
          </w:tcPr>
          <w:p w14:paraId="070B820B" w14:textId="60F78C80" w:rsidR="00385D1F" w:rsidRPr="00443ADB" w:rsidRDefault="002D7B97" w:rsidP="00117A8D">
            <w:pPr>
              <w:pStyle w:val="NoSpacing"/>
              <w:jc w:val="both"/>
              <w:rPr>
                <w:rFonts w:ascii="Times New Roman" w:eastAsia="Calibri" w:hAnsi="Times New Roman" w:cs="Times New Roman"/>
                <w:b/>
                <w:color w:val="000000" w:themeColor="text1"/>
              </w:rPr>
            </w:pPr>
            <w:r>
              <w:rPr>
                <w:rFonts w:ascii="Times New Roman" w:eastAsia="Calibri" w:hAnsi="Times New Roman" w:cs="Times New Roman"/>
                <w:b/>
                <w:color w:val="000000" w:themeColor="text1"/>
              </w:rPr>
              <w:t>THE DIRECTOR</w:t>
            </w:r>
          </w:p>
        </w:tc>
      </w:tr>
      <w:tr w:rsidR="00385D1F" w:rsidRPr="00443ADB" w14:paraId="6903B87C" w14:textId="77777777" w:rsidTr="00117A8D">
        <w:tc>
          <w:tcPr>
            <w:tcW w:w="1458" w:type="dxa"/>
          </w:tcPr>
          <w:p w14:paraId="149CE57F" w14:textId="77777777" w:rsidR="00385D1F" w:rsidRPr="00443ADB" w:rsidRDefault="00385D1F" w:rsidP="00117A8D">
            <w:pPr>
              <w:pStyle w:val="NoSpacing"/>
              <w:jc w:val="both"/>
              <w:rPr>
                <w:rFonts w:ascii="Times New Roman" w:eastAsia="Calibri" w:hAnsi="Times New Roman" w:cs="Times New Roman"/>
                <w:color w:val="000000" w:themeColor="text1"/>
              </w:rPr>
            </w:pPr>
          </w:p>
        </w:tc>
        <w:tc>
          <w:tcPr>
            <w:tcW w:w="283" w:type="dxa"/>
          </w:tcPr>
          <w:p w14:paraId="621CED0F" w14:textId="77777777" w:rsidR="00385D1F" w:rsidRPr="00443ADB" w:rsidRDefault="00385D1F" w:rsidP="00117A8D">
            <w:pPr>
              <w:pStyle w:val="NoSpacing"/>
              <w:jc w:val="both"/>
              <w:rPr>
                <w:rFonts w:ascii="Times New Roman" w:eastAsia="Calibri" w:hAnsi="Times New Roman" w:cs="Times New Roman"/>
                <w:color w:val="000000" w:themeColor="text1"/>
              </w:rPr>
            </w:pPr>
          </w:p>
        </w:tc>
        <w:tc>
          <w:tcPr>
            <w:tcW w:w="7502" w:type="dxa"/>
          </w:tcPr>
          <w:p w14:paraId="0ABF53EF" w14:textId="78597DCD" w:rsidR="00385D1F" w:rsidRPr="00443ADB" w:rsidRDefault="002D7B97" w:rsidP="00117A8D">
            <w:pPr>
              <w:pStyle w:val="NoSpacing"/>
              <w:jc w:val="both"/>
              <w:rPr>
                <w:rFonts w:ascii="Times New Roman" w:eastAsia="Calibri" w:hAnsi="Times New Roman" w:cs="Times New Roman"/>
                <w:color w:val="000000" w:themeColor="text1"/>
              </w:rPr>
            </w:pPr>
            <w:r>
              <w:rPr>
                <w:rFonts w:ascii="Times New Roman" w:eastAsia="Calibri" w:hAnsi="Times New Roman" w:cs="Times New Roman"/>
                <w:color w:val="000000" w:themeColor="text1"/>
              </w:rPr>
              <w:t>Sustainable Livelihood Program</w:t>
            </w:r>
          </w:p>
        </w:tc>
      </w:tr>
      <w:tr w:rsidR="00385D1F" w:rsidRPr="00443ADB" w14:paraId="2CF33481" w14:textId="77777777" w:rsidTr="00117A8D">
        <w:tc>
          <w:tcPr>
            <w:tcW w:w="1458" w:type="dxa"/>
          </w:tcPr>
          <w:p w14:paraId="4EC963E2" w14:textId="77777777" w:rsidR="00385D1F" w:rsidRPr="00443ADB" w:rsidRDefault="00385D1F" w:rsidP="00117A8D">
            <w:pPr>
              <w:pStyle w:val="NoSpacing"/>
              <w:jc w:val="both"/>
              <w:rPr>
                <w:rFonts w:ascii="Times New Roman" w:eastAsia="Calibri" w:hAnsi="Times New Roman" w:cs="Times New Roman"/>
                <w:color w:val="000000" w:themeColor="text1"/>
              </w:rPr>
            </w:pPr>
          </w:p>
        </w:tc>
        <w:tc>
          <w:tcPr>
            <w:tcW w:w="283" w:type="dxa"/>
          </w:tcPr>
          <w:p w14:paraId="1F09B217" w14:textId="77777777" w:rsidR="00385D1F" w:rsidRPr="00443ADB" w:rsidRDefault="00385D1F" w:rsidP="00117A8D">
            <w:pPr>
              <w:pStyle w:val="NoSpacing"/>
              <w:jc w:val="both"/>
              <w:rPr>
                <w:rFonts w:ascii="Times New Roman" w:eastAsia="Calibri" w:hAnsi="Times New Roman" w:cs="Times New Roman"/>
                <w:color w:val="000000" w:themeColor="text1"/>
              </w:rPr>
            </w:pPr>
          </w:p>
        </w:tc>
        <w:tc>
          <w:tcPr>
            <w:tcW w:w="7502" w:type="dxa"/>
          </w:tcPr>
          <w:p w14:paraId="5201DFCA" w14:textId="77777777" w:rsidR="00385D1F" w:rsidRPr="00443ADB" w:rsidRDefault="00385D1F" w:rsidP="00117A8D">
            <w:pPr>
              <w:pStyle w:val="NoSpacing"/>
              <w:jc w:val="both"/>
              <w:rPr>
                <w:rFonts w:ascii="Times New Roman" w:eastAsia="Calibri" w:hAnsi="Times New Roman" w:cs="Times New Roman"/>
                <w:color w:val="000000" w:themeColor="text1"/>
              </w:rPr>
            </w:pPr>
          </w:p>
        </w:tc>
      </w:tr>
      <w:tr w:rsidR="00385D1F" w:rsidRPr="00443ADB" w14:paraId="32857445" w14:textId="77777777" w:rsidTr="00117A8D">
        <w:tc>
          <w:tcPr>
            <w:tcW w:w="1458" w:type="dxa"/>
          </w:tcPr>
          <w:p w14:paraId="093216D4" w14:textId="77777777" w:rsidR="00385D1F" w:rsidRPr="00443ADB" w:rsidRDefault="00385D1F" w:rsidP="00117A8D">
            <w:pPr>
              <w:pStyle w:val="NoSpacing"/>
              <w:jc w:val="both"/>
              <w:rPr>
                <w:rFonts w:ascii="Times New Roman" w:eastAsia="Calibri" w:hAnsi="Times New Roman" w:cs="Times New Roman"/>
                <w:color w:val="000000" w:themeColor="text1"/>
              </w:rPr>
            </w:pPr>
            <w:r w:rsidRPr="00443ADB">
              <w:rPr>
                <w:rFonts w:ascii="Times New Roman" w:eastAsia="Calibri" w:hAnsi="Times New Roman" w:cs="Times New Roman"/>
                <w:color w:val="000000" w:themeColor="text1"/>
              </w:rPr>
              <w:t>SUBJECT</w:t>
            </w:r>
          </w:p>
        </w:tc>
        <w:tc>
          <w:tcPr>
            <w:tcW w:w="283" w:type="dxa"/>
          </w:tcPr>
          <w:p w14:paraId="61A26DF3" w14:textId="77777777" w:rsidR="00385D1F" w:rsidRPr="00443ADB" w:rsidRDefault="00385D1F" w:rsidP="00117A8D">
            <w:pPr>
              <w:pStyle w:val="NoSpacing"/>
              <w:jc w:val="both"/>
              <w:rPr>
                <w:rFonts w:ascii="Times New Roman" w:eastAsia="Calibri" w:hAnsi="Times New Roman" w:cs="Times New Roman"/>
                <w:color w:val="000000" w:themeColor="text1"/>
              </w:rPr>
            </w:pPr>
            <w:r w:rsidRPr="00443ADB">
              <w:rPr>
                <w:rFonts w:ascii="Times New Roman" w:eastAsia="Calibri" w:hAnsi="Times New Roman" w:cs="Times New Roman"/>
                <w:color w:val="000000" w:themeColor="text1"/>
              </w:rPr>
              <w:t>:</w:t>
            </w:r>
          </w:p>
        </w:tc>
        <w:tc>
          <w:tcPr>
            <w:tcW w:w="7502" w:type="dxa"/>
          </w:tcPr>
          <w:p w14:paraId="2F60E031" w14:textId="41AE4D6A" w:rsidR="00385D1F" w:rsidRPr="00443ADB" w:rsidRDefault="00FE429F" w:rsidP="002D7B97">
            <w:pPr>
              <w:pStyle w:val="NoSpacing"/>
              <w:jc w:val="both"/>
              <w:rPr>
                <w:rFonts w:ascii="Times New Roman" w:eastAsia="Calibri" w:hAnsi="Times New Roman" w:cs="Times New Roman"/>
                <w:b/>
                <w:color w:val="000000" w:themeColor="text1"/>
              </w:rPr>
            </w:pPr>
            <w:r>
              <w:rPr>
                <w:rFonts w:ascii="Times New Roman" w:eastAsia="Calibri" w:hAnsi="Times New Roman" w:cs="Times New Roman"/>
                <w:b/>
                <w:color w:val="000000" w:themeColor="text1"/>
              </w:rPr>
              <w:t xml:space="preserve">FEEDBACK ON THE </w:t>
            </w:r>
            <w:r w:rsidR="000715B8" w:rsidRPr="00443ADB">
              <w:rPr>
                <w:rFonts w:ascii="Times New Roman" w:eastAsia="Calibri" w:hAnsi="Times New Roman" w:cs="Times New Roman"/>
                <w:b/>
                <w:color w:val="000000" w:themeColor="text1"/>
              </w:rPr>
              <w:t xml:space="preserve">COURTESY CALL AND </w:t>
            </w:r>
            <w:r>
              <w:rPr>
                <w:rFonts w:ascii="Times New Roman" w:eastAsia="Calibri" w:hAnsi="Times New Roman" w:cs="Times New Roman"/>
                <w:b/>
                <w:color w:val="000000" w:themeColor="text1"/>
              </w:rPr>
              <w:t xml:space="preserve">KICK-OFF/ </w:t>
            </w:r>
            <w:r w:rsidR="000715B8" w:rsidRPr="00443ADB">
              <w:rPr>
                <w:rFonts w:ascii="Times New Roman" w:eastAsia="Calibri" w:hAnsi="Times New Roman" w:cs="Times New Roman"/>
                <w:b/>
                <w:color w:val="000000" w:themeColor="text1"/>
              </w:rPr>
              <w:t xml:space="preserve">TECHNICAL ASSISTANCE MEETING </w:t>
            </w:r>
          </w:p>
        </w:tc>
      </w:tr>
      <w:tr w:rsidR="00385D1F" w:rsidRPr="00443ADB" w14:paraId="5D2F68F1" w14:textId="77777777" w:rsidTr="00117A8D">
        <w:tc>
          <w:tcPr>
            <w:tcW w:w="1458" w:type="dxa"/>
          </w:tcPr>
          <w:p w14:paraId="44CA44F2" w14:textId="77777777" w:rsidR="00385D1F" w:rsidRPr="00443ADB" w:rsidRDefault="00385D1F" w:rsidP="00117A8D">
            <w:pPr>
              <w:pStyle w:val="NoSpacing"/>
              <w:jc w:val="both"/>
              <w:rPr>
                <w:rFonts w:ascii="Times New Roman" w:eastAsia="Calibri" w:hAnsi="Times New Roman" w:cs="Times New Roman"/>
                <w:color w:val="000000" w:themeColor="text1"/>
              </w:rPr>
            </w:pPr>
          </w:p>
        </w:tc>
        <w:tc>
          <w:tcPr>
            <w:tcW w:w="283" w:type="dxa"/>
          </w:tcPr>
          <w:p w14:paraId="1EC3D580" w14:textId="77777777" w:rsidR="00385D1F" w:rsidRPr="00443ADB" w:rsidRDefault="00385D1F" w:rsidP="00117A8D">
            <w:pPr>
              <w:pStyle w:val="NoSpacing"/>
              <w:jc w:val="both"/>
              <w:rPr>
                <w:rFonts w:ascii="Times New Roman" w:eastAsia="Calibri" w:hAnsi="Times New Roman" w:cs="Times New Roman"/>
                <w:color w:val="000000" w:themeColor="text1"/>
              </w:rPr>
            </w:pPr>
          </w:p>
        </w:tc>
        <w:tc>
          <w:tcPr>
            <w:tcW w:w="7502" w:type="dxa"/>
          </w:tcPr>
          <w:p w14:paraId="59E26451" w14:textId="77777777" w:rsidR="00385D1F" w:rsidRPr="00443ADB" w:rsidRDefault="00385D1F" w:rsidP="00117A8D">
            <w:pPr>
              <w:pStyle w:val="NoSpacing"/>
              <w:jc w:val="both"/>
              <w:rPr>
                <w:rFonts w:ascii="Times New Roman" w:eastAsia="Calibri" w:hAnsi="Times New Roman" w:cs="Times New Roman"/>
                <w:i/>
                <w:color w:val="000000" w:themeColor="text1"/>
              </w:rPr>
            </w:pPr>
          </w:p>
        </w:tc>
      </w:tr>
      <w:tr w:rsidR="00385D1F" w:rsidRPr="00443ADB" w14:paraId="16B4BBB1" w14:textId="77777777" w:rsidTr="00117A8D">
        <w:tc>
          <w:tcPr>
            <w:tcW w:w="1458" w:type="dxa"/>
          </w:tcPr>
          <w:p w14:paraId="7ED9C681" w14:textId="77777777" w:rsidR="00385D1F" w:rsidRPr="00443ADB" w:rsidRDefault="00385D1F" w:rsidP="00117A8D">
            <w:pPr>
              <w:pStyle w:val="NoSpacing"/>
              <w:jc w:val="both"/>
              <w:rPr>
                <w:rFonts w:ascii="Times New Roman" w:eastAsia="Calibri" w:hAnsi="Times New Roman" w:cs="Times New Roman"/>
                <w:color w:val="000000" w:themeColor="text1"/>
              </w:rPr>
            </w:pPr>
            <w:r w:rsidRPr="00443ADB">
              <w:rPr>
                <w:rFonts w:ascii="Times New Roman" w:eastAsia="Calibri" w:hAnsi="Times New Roman" w:cs="Times New Roman"/>
                <w:color w:val="000000" w:themeColor="text1"/>
              </w:rPr>
              <w:t>DATE</w:t>
            </w:r>
          </w:p>
        </w:tc>
        <w:tc>
          <w:tcPr>
            <w:tcW w:w="283" w:type="dxa"/>
          </w:tcPr>
          <w:p w14:paraId="03A144B8" w14:textId="77777777" w:rsidR="00385D1F" w:rsidRPr="00443ADB" w:rsidRDefault="00385D1F" w:rsidP="00117A8D">
            <w:pPr>
              <w:pStyle w:val="NoSpacing"/>
              <w:jc w:val="both"/>
              <w:rPr>
                <w:rFonts w:ascii="Times New Roman" w:eastAsia="Calibri" w:hAnsi="Times New Roman" w:cs="Times New Roman"/>
                <w:color w:val="000000" w:themeColor="text1"/>
              </w:rPr>
            </w:pPr>
            <w:r w:rsidRPr="00443ADB">
              <w:rPr>
                <w:rFonts w:ascii="Times New Roman" w:eastAsia="Calibri" w:hAnsi="Times New Roman" w:cs="Times New Roman"/>
                <w:color w:val="000000" w:themeColor="text1"/>
              </w:rPr>
              <w:t>:</w:t>
            </w:r>
          </w:p>
        </w:tc>
        <w:tc>
          <w:tcPr>
            <w:tcW w:w="7502" w:type="dxa"/>
          </w:tcPr>
          <w:p w14:paraId="5CD5F213" w14:textId="77777777" w:rsidR="00385D1F" w:rsidRPr="00443ADB" w:rsidRDefault="005307B4" w:rsidP="00214DC4">
            <w:pPr>
              <w:pStyle w:val="NoSpacing"/>
              <w:jc w:val="both"/>
              <w:rPr>
                <w:rFonts w:ascii="Times New Roman" w:eastAsia="Calibri" w:hAnsi="Times New Roman" w:cs="Times New Roman"/>
                <w:color w:val="000000" w:themeColor="text1"/>
              </w:rPr>
            </w:pPr>
            <w:r w:rsidRPr="00443ADB">
              <w:rPr>
                <w:rFonts w:ascii="Times New Roman" w:eastAsia="Calibri" w:hAnsi="Times New Roman" w:cs="Times New Roman"/>
                <w:color w:val="000000" w:themeColor="text1"/>
              </w:rPr>
              <w:fldChar w:fldCharType="begin"/>
            </w:r>
            <w:r w:rsidR="00385D1F" w:rsidRPr="00443ADB">
              <w:rPr>
                <w:rFonts w:ascii="Times New Roman" w:eastAsia="Calibri" w:hAnsi="Times New Roman" w:cs="Times New Roman"/>
                <w:color w:val="000000" w:themeColor="text1"/>
              </w:rPr>
              <w:instrText xml:space="preserve"> DATE  \@ "d MMMM yyyy"  \* MERGEFORMAT </w:instrText>
            </w:r>
            <w:r w:rsidRPr="00443ADB">
              <w:rPr>
                <w:rFonts w:ascii="Times New Roman" w:eastAsia="Calibri" w:hAnsi="Times New Roman" w:cs="Times New Roman"/>
                <w:color w:val="000000" w:themeColor="text1"/>
              </w:rPr>
              <w:fldChar w:fldCharType="separate"/>
            </w:r>
            <w:r w:rsidR="005A6D0E">
              <w:rPr>
                <w:rFonts w:ascii="Times New Roman" w:eastAsia="Calibri" w:hAnsi="Times New Roman" w:cs="Times New Roman"/>
                <w:noProof/>
                <w:color w:val="000000" w:themeColor="text1"/>
              </w:rPr>
              <w:t>10 February 2016</w:t>
            </w:r>
            <w:r w:rsidRPr="00443ADB">
              <w:rPr>
                <w:rFonts w:ascii="Times New Roman" w:eastAsia="Calibri" w:hAnsi="Times New Roman" w:cs="Times New Roman"/>
                <w:color w:val="000000" w:themeColor="text1"/>
              </w:rPr>
              <w:fldChar w:fldCharType="end"/>
            </w:r>
          </w:p>
        </w:tc>
      </w:tr>
      <w:tr w:rsidR="00385D1F" w:rsidRPr="00443ADB" w14:paraId="4D142B36" w14:textId="77777777" w:rsidTr="00117A8D">
        <w:tc>
          <w:tcPr>
            <w:tcW w:w="1458" w:type="dxa"/>
            <w:tcBorders>
              <w:bottom w:val="double" w:sz="4" w:space="0" w:color="auto"/>
            </w:tcBorders>
          </w:tcPr>
          <w:p w14:paraId="2E912149" w14:textId="77777777" w:rsidR="00385D1F" w:rsidRPr="00443ADB" w:rsidRDefault="00385D1F" w:rsidP="00117A8D">
            <w:pPr>
              <w:pStyle w:val="NoSpacing"/>
              <w:jc w:val="both"/>
              <w:rPr>
                <w:rFonts w:ascii="Times New Roman" w:eastAsia="Calibri" w:hAnsi="Times New Roman" w:cs="Times New Roman"/>
                <w:color w:val="000000" w:themeColor="text1"/>
              </w:rPr>
            </w:pPr>
          </w:p>
        </w:tc>
        <w:tc>
          <w:tcPr>
            <w:tcW w:w="283" w:type="dxa"/>
            <w:tcBorders>
              <w:bottom w:val="double" w:sz="4" w:space="0" w:color="auto"/>
            </w:tcBorders>
          </w:tcPr>
          <w:p w14:paraId="10B6B8E7" w14:textId="77777777" w:rsidR="00385D1F" w:rsidRPr="00443ADB" w:rsidRDefault="00385D1F" w:rsidP="00117A8D">
            <w:pPr>
              <w:pStyle w:val="NoSpacing"/>
              <w:jc w:val="both"/>
              <w:rPr>
                <w:rFonts w:ascii="Times New Roman" w:eastAsia="Calibri" w:hAnsi="Times New Roman" w:cs="Times New Roman"/>
                <w:color w:val="000000" w:themeColor="text1"/>
              </w:rPr>
            </w:pPr>
          </w:p>
        </w:tc>
        <w:tc>
          <w:tcPr>
            <w:tcW w:w="7502" w:type="dxa"/>
            <w:tcBorders>
              <w:bottom w:val="double" w:sz="4" w:space="0" w:color="auto"/>
            </w:tcBorders>
          </w:tcPr>
          <w:p w14:paraId="4CE01F0E" w14:textId="77777777" w:rsidR="00385D1F" w:rsidRPr="00443ADB" w:rsidRDefault="00385D1F" w:rsidP="00117A8D">
            <w:pPr>
              <w:pStyle w:val="NoSpacing"/>
              <w:jc w:val="both"/>
              <w:rPr>
                <w:rFonts w:ascii="Times New Roman" w:eastAsia="Calibri" w:hAnsi="Times New Roman" w:cs="Times New Roman"/>
                <w:color w:val="000000" w:themeColor="text1"/>
              </w:rPr>
            </w:pPr>
          </w:p>
        </w:tc>
      </w:tr>
    </w:tbl>
    <w:p w14:paraId="19CA8944" w14:textId="77777777" w:rsidR="00117A8D" w:rsidRPr="00443ADB" w:rsidRDefault="00117A8D" w:rsidP="00117A8D">
      <w:pPr>
        <w:widowControl w:val="0"/>
        <w:autoSpaceDE w:val="0"/>
        <w:autoSpaceDN w:val="0"/>
        <w:adjustRightInd w:val="0"/>
        <w:rPr>
          <w:rFonts w:ascii="Times" w:eastAsiaTheme="minorHAnsi" w:hAnsi="Times" w:cs="Times"/>
          <w:b/>
          <w:sz w:val="22"/>
          <w:szCs w:val="22"/>
        </w:rPr>
      </w:pPr>
    </w:p>
    <w:p w14:paraId="5FA298B9" w14:textId="21DCECE4" w:rsidR="00DF38CA" w:rsidRDefault="0047791E" w:rsidP="00DF38CA">
      <w:pPr>
        <w:widowControl w:val="0"/>
        <w:autoSpaceDE w:val="0"/>
        <w:autoSpaceDN w:val="0"/>
        <w:adjustRightInd w:val="0"/>
        <w:rPr>
          <w:rFonts w:ascii="Times" w:eastAsiaTheme="minorHAnsi" w:hAnsi="Times" w:cs="Times"/>
          <w:sz w:val="22"/>
          <w:szCs w:val="22"/>
        </w:rPr>
      </w:pPr>
      <w:r w:rsidRPr="00443ADB">
        <w:rPr>
          <w:rFonts w:ascii="Times" w:eastAsiaTheme="minorHAnsi" w:hAnsi="Times" w:cs="Times"/>
          <w:sz w:val="22"/>
          <w:szCs w:val="22"/>
        </w:rPr>
        <w:t>This is to provide feedback o</w:t>
      </w:r>
      <w:r w:rsidR="00FF4656" w:rsidRPr="00443ADB">
        <w:rPr>
          <w:rFonts w:ascii="Times" w:eastAsiaTheme="minorHAnsi" w:hAnsi="Times" w:cs="Times"/>
          <w:sz w:val="22"/>
          <w:szCs w:val="22"/>
        </w:rPr>
        <w:t>n</w:t>
      </w:r>
      <w:r w:rsidR="00DF38CA">
        <w:rPr>
          <w:rFonts w:ascii="Times" w:eastAsiaTheme="minorHAnsi" w:hAnsi="Times" w:cs="Times"/>
          <w:sz w:val="22"/>
          <w:szCs w:val="22"/>
        </w:rPr>
        <w:t xml:space="preserve"> the visit conducted on January 20-21, 2016 by the assigned Cluster Coordinator and Regional Monitor to FO XI</w:t>
      </w:r>
      <w:r w:rsidR="002D7B97">
        <w:rPr>
          <w:rFonts w:ascii="Times" w:eastAsiaTheme="minorHAnsi" w:hAnsi="Times" w:cs="Times"/>
          <w:sz w:val="22"/>
          <w:szCs w:val="22"/>
        </w:rPr>
        <w:t>.</w:t>
      </w:r>
      <w:r w:rsidR="00DF38CA">
        <w:rPr>
          <w:rFonts w:ascii="Times" w:eastAsiaTheme="minorHAnsi" w:hAnsi="Times" w:cs="Times"/>
          <w:sz w:val="22"/>
          <w:szCs w:val="22"/>
        </w:rPr>
        <w:t xml:space="preserve"> The team held three separate meetings at the sidelines of the “Feasibility Assessment and SLPIS Roll-out Training with the Field PDOs” being conducted during the visit, with focused discussions as follows:</w:t>
      </w:r>
    </w:p>
    <w:p w14:paraId="7BC9ED36" w14:textId="77777777" w:rsidR="00DF38CA" w:rsidRDefault="00DF38CA" w:rsidP="00DF38CA">
      <w:pPr>
        <w:pStyle w:val="ListParagraph"/>
        <w:widowControl w:val="0"/>
        <w:numPr>
          <w:ilvl w:val="0"/>
          <w:numId w:val="10"/>
        </w:numPr>
        <w:autoSpaceDE w:val="0"/>
        <w:autoSpaceDN w:val="0"/>
        <w:adjustRightInd w:val="0"/>
        <w:rPr>
          <w:rFonts w:ascii="Times" w:eastAsiaTheme="minorHAnsi" w:hAnsi="Times" w:cs="Times"/>
          <w:sz w:val="22"/>
          <w:szCs w:val="22"/>
        </w:rPr>
      </w:pPr>
      <w:r>
        <w:rPr>
          <w:rFonts w:ascii="Times" w:eastAsiaTheme="minorHAnsi" w:hAnsi="Times" w:cs="Times"/>
          <w:sz w:val="22"/>
          <w:szCs w:val="22"/>
        </w:rPr>
        <w:t>Day 1/ 9-12 AM: Leveling-off Meeting with the ARDO and RPMO Staff - Relay and Clarifications on 2016 SLP Directives/ Thrusts/ Priorities/ Milestones/ Breakthrough Goals/ Lead Measures and Major Policies</w:t>
      </w:r>
    </w:p>
    <w:p w14:paraId="0C9E2210" w14:textId="77777777" w:rsidR="00DF38CA" w:rsidRDefault="00DF38CA" w:rsidP="00DF38CA">
      <w:pPr>
        <w:pStyle w:val="ListParagraph"/>
        <w:widowControl w:val="0"/>
        <w:numPr>
          <w:ilvl w:val="0"/>
          <w:numId w:val="10"/>
        </w:numPr>
        <w:autoSpaceDE w:val="0"/>
        <w:autoSpaceDN w:val="0"/>
        <w:adjustRightInd w:val="0"/>
        <w:rPr>
          <w:rFonts w:ascii="Times" w:eastAsiaTheme="minorHAnsi" w:hAnsi="Times" w:cs="Times"/>
          <w:sz w:val="22"/>
          <w:szCs w:val="22"/>
        </w:rPr>
      </w:pPr>
      <w:r>
        <w:rPr>
          <w:rFonts w:ascii="Times" w:eastAsiaTheme="minorHAnsi" w:hAnsi="Times" w:cs="Times"/>
          <w:sz w:val="22"/>
          <w:szCs w:val="22"/>
        </w:rPr>
        <w:t>Day 1/ 1-2:30 PM: Plenary Discussion with ARDO and all SLP Staff – NPMO/RPMO Role clarification, issues/ concerns on SLP implementation, municipal-level targeting</w:t>
      </w:r>
    </w:p>
    <w:p w14:paraId="298D7371" w14:textId="77777777" w:rsidR="00DF38CA" w:rsidRPr="00DE0526" w:rsidRDefault="00DF38CA" w:rsidP="00DF38CA">
      <w:pPr>
        <w:pStyle w:val="ListParagraph"/>
        <w:widowControl w:val="0"/>
        <w:numPr>
          <w:ilvl w:val="0"/>
          <w:numId w:val="10"/>
        </w:numPr>
        <w:autoSpaceDE w:val="0"/>
        <w:autoSpaceDN w:val="0"/>
        <w:adjustRightInd w:val="0"/>
        <w:rPr>
          <w:rFonts w:ascii="Times" w:eastAsiaTheme="minorHAnsi" w:hAnsi="Times" w:cs="Times"/>
          <w:sz w:val="22"/>
          <w:szCs w:val="22"/>
        </w:rPr>
      </w:pPr>
      <w:r>
        <w:rPr>
          <w:rFonts w:ascii="Times" w:eastAsiaTheme="minorHAnsi" w:hAnsi="Times" w:cs="Times"/>
          <w:sz w:val="22"/>
          <w:szCs w:val="22"/>
        </w:rPr>
        <w:t>Day 2/ 11-12 AM: Wrap-up/ Exit Conference with the RPMO staff</w:t>
      </w:r>
    </w:p>
    <w:p w14:paraId="2BCDA9D2" w14:textId="6C2196C9" w:rsidR="00DF38CA" w:rsidRDefault="00DF38CA" w:rsidP="00117A8D">
      <w:pPr>
        <w:widowControl w:val="0"/>
        <w:autoSpaceDE w:val="0"/>
        <w:autoSpaceDN w:val="0"/>
        <w:adjustRightInd w:val="0"/>
        <w:rPr>
          <w:rFonts w:ascii="Times" w:eastAsiaTheme="minorHAnsi" w:hAnsi="Times" w:cs="Times"/>
          <w:sz w:val="22"/>
          <w:szCs w:val="22"/>
        </w:rPr>
      </w:pPr>
    </w:p>
    <w:p w14:paraId="0EB69A0B" w14:textId="035B3AFE" w:rsidR="00021943" w:rsidRPr="00443ADB" w:rsidRDefault="007A0DA5" w:rsidP="00117A8D">
      <w:pPr>
        <w:widowControl w:val="0"/>
        <w:autoSpaceDE w:val="0"/>
        <w:autoSpaceDN w:val="0"/>
        <w:adjustRightInd w:val="0"/>
        <w:rPr>
          <w:rFonts w:ascii="Times" w:eastAsiaTheme="minorHAnsi" w:hAnsi="Times" w:cs="Times"/>
          <w:sz w:val="22"/>
          <w:szCs w:val="22"/>
        </w:rPr>
      </w:pPr>
      <w:r>
        <w:rPr>
          <w:rFonts w:ascii="Times" w:eastAsiaTheme="minorHAnsi" w:hAnsi="Times" w:cs="Times"/>
          <w:sz w:val="22"/>
          <w:szCs w:val="22"/>
        </w:rPr>
        <w:t xml:space="preserve"> </w:t>
      </w:r>
      <w:r w:rsidR="00021943">
        <w:rPr>
          <w:rFonts w:ascii="Times" w:eastAsiaTheme="minorHAnsi" w:hAnsi="Times" w:cs="Times"/>
          <w:sz w:val="22"/>
          <w:szCs w:val="22"/>
        </w:rPr>
        <w:t>Below are the major agreements/ recommendations for follow-through</w:t>
      </w:r>
      <w:r>
        <w:rPr>
          <w:rFonts w:ascii="Times" w:eastAsiaTheme="minorHAnsi" w:hAnsi="Times" w:cs="Times"/>
          <w:sz w:val="22"/>
          <w:szCs w:val="22"/>
        </w:rPr>
        <w:t xml:space="preserve"> within the 1</w:t>
      </w:r>
      <w:r w:rsidRPr="007A0DA5">
        <w:rPr>
          <w:rFonts w:ascii="Times" w:eastAsiaTheme="minorHAnsi" w:hAnsi="Times" w:cs="Times"/>
          <w:sz w:val="22"/>
          <w:szCs w:val="22"/>
          <w:vertAlign w:val="superscript"/>
        </w:rPr>
        <w:t>st</w:t>
      </w:r>
      <w:r>
        <w:rPr>
          <w:rFonts w:ascii="Times" w:eastAsiaTheme="minorHAnsi" w:hAnsi="Times" w:cs="Times"/>
          <w:sz w:val="22"/>
          <w:szCs w:val="22"/>
        </w:rPr>
        <w:t xml:space="preserve"> quarter of 2016</w:t>
      </w:r>
      <w:r w:rsidR="00DF38CA">
        <w:rPr>
          <w:rFonts w:ascii="Times" w:eastAsiaTheme="minorHAnsi" w:hAnsi="Times" w:cs="Times"/>
          <w:sz w:val="22"/>
          <w:szCs w:val="22"/>
        </w:rPr>
        <w:t xml:space="preserve"> with details contained in the attached report</w:t>
      </w:r>
      <w:r w:rsidR="00021943">
        <w:rPr>
          <w:rFonts w:ascii="Times" w:eastAsiaTheme="minorHAnsi" w:hAnsi="Times" w:cs="Times"/>
          <w:sz w:val="22"/>
          <w:szCs w:val="22"/>
        </w:rPr>
        <w:t>:</w:t>
      </w:r>
    </w:p>
    <w:p w14:paraId="73E3A956" w14:textId="4893DB81" w:rsidR="00B11A02" w:rsidRPr="00443ADB" w:rsidRDefault="00B11A02" w:rsidP="00117A8D">
      <w:pPr>
        <w:widowControl w:val="0"/>
        <w:autoSpaceDE w:val="0"/>
        <w:autoSpaceDN w:val="0"/>
        <w:adjustRightInd w:val="0"/>
        <w:rPr>
          <w:rFonts w:ascii="Times" w:eastAsiaTheme="minorHAnsi" w:hAnsi="Times" w:cs="Times"/>
          <w:b/>
          <w:sz w:val="22"/>
          <w:szCs w:val="22"/>
        </w:rPr>
      </w:pPr>
    </w:p>
    <w:tbl>
      <w:tblPr>
        <w:tblStyle w:val="TableGrid"/>
        <w:tblW w:w="0" w:type="auto"/>
        <w:tblLook w:val="04A0" w:firstRow="1" w:lastRow="0" w:firstColumn="1" w:lastColumn="0" w:noHBand="0" w:noVBand="1"/>
      </w:tblPr>
      <w:tblGrid>
        <w:gridCol w:w="1188"/>
        <w:gridCol w:w="8055"/>
      </w:tblGrid>
      <w:tr w:rsidR="007A0DA5" w:rsidRPr="00443ADB" w14:paraId="4AEF49ED" w14:textId="77777777" w:rsidTr="00050C88">
        <w:tc>
          <w:tcPr>
            <w:tcW w:w="1188" w:type="dxa"/>
          </w:tcPr>
          <w:p w14:paraId="19E71005" w14:textId="22592575" w:rsidR="007A0DA5" w:rsidRPr="00443ADB" w:rsidRDefault="0039590D" w:rsidP="002C2EE0">
            <w:pPr>
              <w:rPr>
                <w:color w:val="000000" w:themeColor="text1"/>
                <w:sz w:val="22"/>
                <w:szCs w:val="22"/>
              </w:rPr>
            </w:pPr>
            <w:r>
              <w:rPr>
                <w:color w:val="000000" w:themeColor="text1"/>
                <w:sz w:val="22"/>
                <w:szCs w:val="22"/>
              </w:rPr>
              <w:t>SLP Regular Concerns</w:t>
            </w:r>
          </w:p>
        </w:tc>
        <w:tc>
          <w:tcPr>
            <w:tcW w:w="8055" w:type="dxa"/>
          </w:tcPr>
          <w:p w14:paraId="6984577C" w14:textId="09ADBA1E" w:rsidR="007A0DA5" w:rsidRPr="00443ADB" w:rsidRDefault="007A0DA5" w:rsidP="007A0DA5">
            <w:pPr>
              <w:widowControl w:val="0"/>
              <w:autoSpaceDE w:val="0"/>
              <w:autoSpaceDN w:val="0"/>
              <w:adjustRightInd w:val="0"/>
              <w:rPr>
                <w:rFonts w:ascii="Times" w:eastAsiaTheme="minorHAnsi" w:hAnsi="Times" w:cs="Times"/>
                <w:sz w:val="22"/>
                <w:szCs w:val="22"/>
              </w:rPr>
            </w:pPr>
            <w:r w:rsidRPr="00443ADB">
              <w:rPr>
                <w:rFonts w:ascii="Times" w:eastAsiaTheme="minorHAnsi" w:hAnsi="Times" w:cs="Times"/>
                <w:sz w:val="22"/>
                <w:szCs w:val="22"/>
              </w:rPr>
              <w:t>a. Courtesy call with the Regional D</w:t>
            </w:r>
            <w:r w:rsidR="00050C88">
              <w:rPr>
                <w:rFonts w:ascii="Times" w:eastAsiaTheme="minorHAnsi" w:hAnsi="Times" w:cs="Times"/>
                <w:sz w:val="22"/>
                <w:szCs w:val="22"/>
              </w:rPr>
              <w:t>irector and/or Sit-in</w:t>
            </w:r>
            <w:r w:rsidRPr="00443ADB">
              <w:rPr>
                <w:rFonts w:ascii="Times" w:eastAsiaTheme="minorHAnsi" w:hAnsi="Times" w:cs="Times"/>
                <w:sz w:val="22"/>
                <w:szCs w:val="22"/>
              </w:rPr>
              <w:t xml:space="preserve"> the Re</w:t>
            </w:r>
            <w:r w:rsidR="00050C88">
              <w:rPr>
                <w:rFonts w:ascii="Times" w:eastAsiaTheme="minorHAnsi" w:hAnsi="Times" w:cs="Times"/>
                <w:sz w:val="22"/>
                <w:szCs w:val="22"/>
              </w:rPr>
              <w:t xml:space="preserve">gional ManCom meeting for the discussion of </w:t>
            </w:r>
            <w:r w:rsidRPr="00443ADB">
              <w:rPr>
                <w:rFonts w:ascii="Times" w:eastAsiaTheme="minorHAnsi" w:hAnsi="Times" w:cs="Times"/>
                <w:sz w:val="22"/>
                <w:szCs w:val="22"/>
              </w:rPr>
              <w:t>procurement and fiduciary policies relating to SLP implementation</w:t>
            </w:r>
            <w:r w:rsidR="00050C88">
              <w:rPr>
                <w:rFonts w:ascii="Times" w:eastAsiaTheme="minorHAnsi" w:hAnsi="Times" w:cs="Times"/>
                <w:sz w:val="22"/>
                <w:szCs w:val="22"/>
              </w:rPr>
              <w:t xml:space="preserve"> (</w:t>
            </w:r>
            <w:r w:rsidR="00050C88" w:rsidRPr="006E2F3A">
              <w:rPr>
                <w:rFonts w:ascii="Times" w:eastAsiaTheme="minorHAnsi" w:hAnsi="Times" w:cs="Times"/>
                <w:i/>
                <w:sz w:val="22"/>
                <w:szCs w:val="22"/>
              </w:rPr>
              <w:t>subject to concurrence by RD</w:t>
            </w:r>
            <w:r w:rsidR="00050C88">
              <w:rPr>
                <w:rFonts w:ascii="Times" w:eastAsiaTheme="minorHAnsi" w:hAnsi="Times" w:cs="Times"/>
                <w:sz w:val="22"/>
                <w:szCs w:val="22"/>
              </w:rPr>
              <w:t>); this is in l</w:t>
            </w:r>
            <w:r w:rsidR="00DF38CA">
              <w:rPr>
                <w:rFonts w:ascii="Times" w:eastAsiaTheme="minorHAnsi" w:hAnsi="Times" w:cs="Times"/>
                <w:sz w:val="22"/>
                <w:szCs w:val="22"/>
              </w:rPr>
              <w:t>ight of the expressed challenges</w:t>
            </w:r>
            <w:r w:rsidR="00050C88">
              <w:rPr>
                <w:rFonts w:ascii="Times" w:eastAsiaTheme="minorHAnsi" w:hAnsi="Times" w:cs="Times"/>
                <w:sz w:val="22"/>
                <w:szCs w:val="22"/>
              </w:rPr>
              <w:t xml:space="preserve"> of the FO on procurement processes which is</w:t>
            </w:r>
            <w:r w:rsidR="0039496C">
              <w:rPr>
                <w:rFonts w:ascii="Times" w:eastAsiaTheme="minorHAnsi" w:hAnsi="Times" w:cs="Times"/>
                <w:sz w:val="22"/>
                <w:szCs w:val="22"/>
              </w:rPr>
              <w:t xml:space="preserve"> deemed a</w:t>
            </w:r>
            <w:r w:rsidR="00050C88">
              <w:rPr>
                <w:rFonts w:ascii="Times" w:eastAsiaTheme="minorHAnsi" w:hAnsi="Times" w:cs="Times"/>
                <w:sz w:val="22"/>
                <w:szCs w:val="22"/>
              </w:rPr>
              <w:t xml:space="preserve"> major obstacle</w:t>
            </w:r>
            <w:r w:rsidR="006B45BB">
              <w:rPr>
                <w:rFonts w:ascii="Times" w:eastAsiaTheme="minorHAnsi" w:hAnsi="Times" w:cs="Times"/>
                <w:sz w:val="22"/>
                <w:szCs w:val="22"/>
              </w:rPr>
              <w:t xml:space="preserve"> and </w:t>
            </w:r>
            <w:r w:rsidR="0040446B">
              <w:rPr>
                <w:rFonts w:ascii="Times" w:eastAsiaTheme="minorHAnsi" w:hAnsi="Times" w:cs="Times"/>
                <w:sz w:val="22"/>
                <w:szCs w:val="22"/>
              </w:rPr>
              <w:t>COA findings in the past</w:t>
            </w:r>
          </w:p>
          <w:p w14:paraId="151D2A42" w14:textId="5030103A" w:rsidR="007A0DA5" w:rsidRPr="00443ADB" w:rsidRDefault="00050C88" w:rsidP="007A0DA5">
            <w:pPr>
              <w:widowControl w:val="0"/>
              <w:autoSpaceDE w:val="0"/>
              <w:autoSpaceDN w:val="0"/>
              <w:adjustRightInd w:val="0"/>
              <w:rPr>
                <w:rFonts w:ascii="Times" w:eastAsiaTheme="minorHAnsi" w:hAnsi="Times" w:cs="Times"/>
                <w:sz w:val="22"/>
                <w:szCs w:val="22"/>
              </w:rPr>
            </w:pPr>
            <w:r>
              <w:rPr>
                <w:rFonts w:ascii="Times" w:eastAsiaTheme="minorHAnsi" w:hAnsi="Times" w:cs="Times"/>
                <w:sz w:val="22"/>
                <w:szCs w:val="22"/>
              </w:rPr>
              <w:t>b. Provision of TA in the conduct of the PPDAW to be scheduled in February 2016</w:t>
            </w:r>
          </w:p>
          <w:p w14:paraId="741AFFDC" w14:textId="6F3E2ECC" w:rsidR="007A0DA5" w:rsidRDefault="00050C88" w:rsidP="007A0DA5">
            <w:pPr>
              <w:widowControl w:val="0"/>
              <w:autoSpaceDE w:val="0"/>
              <w:autoSpaceDN w:val="0"/>
              <w:adjustRightInd w:val="0"/>
              <w:rPr>
                <w:rFonts w:ascii="Times" w:eastAsiaTheme="minorHAnsi" w:hAnsi="Times" w:cs="Times"/>
                <w:sz w:val="22"/>
                <w:szCs w:val="22"/>
              </w:rPr>
            </w:pPr>
            <w:r>
              <w:rPr>
                <w:rFonts w:ascii="Times" w:eastAsiaTheme="minorHAnsi" w:hAnsi="Times" w:cs="Times"/>
                <w:sz w:val="22"/>
                <w:szCs w:val="22"/>
              </w:rPr>
              <w:t>c</w:t>
            </w:r>
            <w:r w:rsidR="006E2F3A">
              <w:rPr>
                <w:rFonts w:ascii="Times" w:eastAsiaTheme="minorHAnsi" w:hAnsi="Times" w:cs="Times"/>
                <w:sz w:val="22"/>
                <w:szCs w:val="22"/>
              </w:rPr>
              <w:t>. Partnership m</w:t>
            </w:r>
            <w:r w:rsidR="007A0DA5" w:rsidRPr="00443ADB">
              <w:rPr>
                <w:rFonts w:ascii="Times" w:eastAsiaTheme="minorHAnsi" w:hAnsi="Times" w:cs="Times"/>
                <w:sz w:val="22"/>
                <w:szCs w:val="22"/>
              </w:rPr>
              <w:t>apping initiatives</w:t>
            </w:r>
            <w:r>
              <w:rPr>
                <w:rFonts w:ascii="Times" w:eastAsiaTheme="minorHAnsi" w:hAnsi="Times" w:cs="Times"/>
                <w:sz w:val="22"/>
                <w:szCs w:val="22"/>
              </w:rPr>
              <w:t xml:space="preserve"> for employment facilitation</w:t>
            </w:r>
          </w:p>
          <w:p w14:paraId="424432FA" w14:textId="02E40811" w:rsidR="006B45BB" w:rsidRDefault="006B45BB" w:rsidP="007A0DA5">
            <w:pPr>
              <w:widowControl w:val="0"/>
              <w:autoSpaceDE w:val="0"/>
              <w:autoSpaceDN w:val="0"/>
              <w:adjustRightInd w:val="0"/>
              <w:rPr>
                <w:rFonts w:ascii="Times" w:eastAsiaTheme="minorHAnsi" w:hAnsi="Times" w:cs="Times"/>
                <w:sz w:val="22"/>
                <w:szCs w:val="22"/>
              </w:rPr>
            </w:pPr>
            <w:r>
              <w:rPr>
                <w:rFonts w:ascii="Times" w:eastAsiaTheme="minorHAnsi" w:hAnsi="Times" w:cs="Times"/>
                <w:sz w:val="22"/>
                <w:szCs w:val="22"/>
              </w:rPr>
              <w:t>d. Mapping/ linkage with service providers for Life Skills Training and Career Counseling relative to the Enhanced Skills Training Package (P30K)</w:t>
            </w:r>
          </w:p>
          <w:p w14:paraId="4504F7FF" w14:textId="30CCE2DE" w:rsidR="00050C88" w:rsidRPr="00443ADB" w:rsidRDefault="006B45BB" w:rsidP="00050C88">
            <w:pPr>
              <w:widowControl w:val="0"/>
              <w:autoSpaceDE w:val="0"/>
              <w:autoSpaceDN w:val="0"/>
              <w:adjustRightInd w:val="0"/>
              <w:rPr>
                <w:rFonts w:ascii="Times" w:eastAsiaTheme="minorHAnsi" w:hAnsi="Times" w:cs="Times"/>
                <w:sz w:val="22"/>
                <w:szCs w:val="22"/>
              </w:rPr>
            </w:pPr>
            <w:r>
              <w:rPr>
                <w:rFonts w:ascii="Times" w:eastAsiaTheme="minorHAnsi" w:hAnsi="Times" w:cs="Times"/>
                <w:sz w:val="22"/>
                <w:szCs w:val="22"/>
              </w:rPr>
              <w:t>e</w:t>
            </w:r>
            <w:r w:rsidR="00050C88">
              <w:rPr>
                <w:rFonts w:ascii="Times" w:eastAsiaTheme="minorHAnsi" w:hAnsi="Times" w:cs="Times"/>
                <w:sz w:val="22"/>
                <w:szCs w:val="22"/>
              </w:rPr>
              <w:t xml:space="preserve">. </w:t>
            </w:r>
            <w:r w:rsidR="00050C88" w:rsidRPr="00443ADB">
              <w:rPr>
                <w:rFonts w:ascii="Times" w:eastAsiaTheme="minorHAnsi" w:hAnsi="Times" w:cs="Times"/>
                <w:sz w:val="22"/>
                <w:szCs w:val="22"/>
              </w:rPr>
              <w:t xml:space="preserve">Roll-out </w:t>
            </w:r>
            <w:r w:rsidR="00050C88">
              <w:rPr>
                <w:rFonts w:ascii="Times" w:eastAsiaTheme="minorHAnsi" w:hAnsi="Times" w:cs="Times"/>
                <w:sz w:val="22"/>
                <w:szCs w:val="22"/>
              </w:rPr>
              <w:t xml:space="preserve">Training on the </w:t>
            </w:r>
            <w:r w:rsidR="006E2F3A">
              <w:rPr>
                <w:rFonts w:ascii="Times" w:eastAsiaTheme="minorHAnsi" w:hAnsi="Times" w:cs="Times"/>
                <w:sz w:val="22"/>
                <w:szCs w:val="22"/>
              </w:rPr>
              <w:t xml:space="preserve">enhanced </w:t>
            </w:r>
            <w:r w:rsidR="00050C88" w:rsidRPr="00443ADB">
              <w:rPr>
                <w:rFonts w:ascii="Times" w:eastAsiaTheme="minorHAnsi" w:hAnsi="Times" w:cs="Times"/>
                <w:sz w:val="22"/>
                <w:szCs w:val="22"/>
              </w:rPr>
              <w:t>project proposal t</w:t>
            </w:r>
            <w:r w:rsidR="006B75D8">
              <w:rPr>
                <w:rFonts w:ascii="Times" w:eastAsiaTheme="minorHAnsi" w:hAnsi="Times" w:cs="Times"/>
                <w:sz w:val="22"/>
                <w:szCs w:val="22"/>
              </w:rPr>
              <w:t>emplates and feasibility assessment</w:t>
            </w:r>
            <w:r w:rsidR="00050C88" w:rsidRPr="00443ADB">
              <w:rPr>
                <w:rFonts w:ascii="Times" w:eastAsiaTheme="minorHAnsi" w:hAnsi="Times" w:cs="Times"/>
                <w:sz w:val="22"/>
                <w:szCs w:val="22"/>
              </w:rPr>
              <w:t xml:space="preserve"> </w:t>
            </w:r>
            <w:r w:rsidR="006E2F3A">
              <w:rPr>
                <w:rFonts w:ascii="Times" w:eastAsiaTheme="minorHAnsi" w:hAnsi="Times" w:cs="Times"/>
                <w:sz w:val="22"/>
                <w:szCs w:val="22"/>
              </w:rPr>
              <w:t xml:space="preserve">tool </w:t>
            </w:r>
            <w:r w:rsidR="00050C88" w:rsidRPr="00443ADB">
              <w:rPr>
                <w:rFonts w:ascii="Times" w:eastAsiaTheme="minorHAnsi" w:hAnsi="Times" w:cs="Times"/>
                <w:sz w:val="22"/>
                <w:szCs w:val="22"/>
              </w:rPr>
              <w:t>with Field PDOs, C/ML’s, MCCT Community Facilitators, and LGU Livelihood Workers</w:t>
            </w:r>
            <w:r w:rsidR="006E2F3A">
              <w:rPr>
                <w:rFonts w:ascii="Times" w:eastAsiaTheme="minorHAnsi" w:hAnsi="Times" w:cs="Times"/>
                <w:sz w:val="22"/>
                <w:szCs w:val="22"/>
              </w:rPr>
              <w:t>; this is toward strengthening convergence mechanisms</w:t>
            </w:r>
          </w:p>
          <w:p w14:paraId="505E40F8" w14:textId="03907628" w:rsidR="00050C88" w:rsidRPr="00050C88" w:rsidRDefault="006B45BB" w:rsidP="007A0DA5">
            <w:pPr>
              <w:widowControl w:val="0"/>
              <w:autoSpaceDE w:val="0"/>
              <w:autoSpaceDN w:val="0"/>
              <w:adjustRightInd w:val="0"/>
              <w:rPr>
                <w:rFonts w:ascii="Times" w:eastAsiaTheme="minorHAnsi" w:hAnsi="Times" w:cs="Times"/>
                <w:sz w:val="22"/>
                <w:szCs w:val="22"/>
              </w:rPr>
            </w:pPr>
            <w:r>
              <w:rPr>
                <w:rFonts w:ascii="Times" w:eastAsiaTheme="minorHAnsi" w:hAnsi="Times" w:cs="Times"/>
                <w:sz w:val="22"/>
                <w:szCs w:val="22"/>
              </w:rPr>
              <w:t>f</w:t>
            </w:r>
            <w:r w:rsidR="006E2F3A">
              <w:rPr>
                <w:rFonts w:ascii="Times" w:eastAsiaTheme="minorHAnsi" w:hAnsi="Times" w:cs="Times"/>
                <w:sz w:val="22"/>
                <w:szCs w:val="22"/>
              </w:rPr>
              <w:t>. Tracking</w:t>
            </w:r>
            <w:r w:rsidR="00050C88" w:rsidRPr="00443ADB">
              <w:rPr>
                <w:rFonts w:ascii="Times" w:eastAsiaTheme="minorHAnsi" w:hAnsi="Times" w:cs="Times"/>
                <w:sz w:val="22"/>
                <w:szCs w:val="22"/>
              </w:rPr>
              <w:t xml:space="preserve"> of the 15% fund utilization program milestone</w:t>
            </w:r>
            <w:r w:rsidR="00050C88">
              <w:rPr>
                <w:rFonts w:ascii="Times" w:eastAsiaTheme="minorHAnsi" w:hAnsi="Times" w:cs="Times"/>
                <w:sz w:val="22"/>
                <w:szCs w:val="22"/>
              </w:rPr>
              <w:t xml:space="preserve"> / 1</w:t>
            </w:r>
            <w:r w:rsidR="00050C88" w:rsidRPr="00644169">
              <w:rPr>
                <w:rFonts w:ascii="Times" w:eastAsiaTheme="minorHAnsi" w:hAnsi="Times" w:cs="Times"/>
                <w:sz w:val="22"/>
                <w:szCs w:val="22"/>
                <w:vertAlign w:val="superscript"/>
              </w:rPr>
              <w:t>st</w:t>
            </w:r>
            <w:r w:rsidR="00050C88">
              <w:rPr>
                <w:rFonts w:ascii="Times" w:eastAsiaTheme="minorHAnsi" w:hAnsi="Times" w:cs="Times"/>
                <w:sz w:val="22"/>
                <w:szCs w:val="22"/>
              </w:rPr>
              <w:t xml:space="preserve"> Quarter assessment</w:t>
            </w:r>
          </w:p>
        </w:tc>
      </w:tr>
      <w:tr w:rsidR="0039496C" w:rsidRPr="00443ADB" w14:paraId="4F1C9D65" w14:textId="77777777" w:rsidTr="00050C88">
        <w:tc>
          <w:tcPr>
            <w:tcW w:w="1188" w:type="dxa"/>
            <w:vMerge w:val="restart"/>
          </w:tcPr>
          <w:p w14:paraId="53A1705B" w14:textId="38F03304" w:rsidR="0039496C" w:rsidRDefault="0039496C" w:rsidP="002C2EE0">
            <w:pPr>
              <w:rPr>
                <w:color w:val="000000" w:themeColor="text1"/>
                <w:sz w:val="22"/>
                <w:szCs w:val="22"/>
              </w:rPr>
            </w:pPr>
            <w:r>
              <w:rPr>
                <w:color w:val="000000" w:themeColor="text1"/>
                <w:sz w:val="22"/>
                <w:szCs w:val="22"/>
              </w:rPr>
              <w:t>Other Concerns</w:t>
            </w:r>
          </w:p>
        </w:tc>
        <w:tc>
          <w:tcPr>
            <w:tcW w:w="8055" w:type="dxa"/>
          </w:tcPr>
          <w:p w14:paraId="736043F9" w14:textId="6FBCAE5C" w:rsidR="0039496C" w:rsidRPr="00443ADB" w:rsidRDefault="0039496C" w:rsidP="00050C88">
            <w:pPr>
              <w:widowControl w:val="0"/>
              <w:autoSpaceDE w:val="0"/>
              <w:autoSpaceDN w:val="0"/>
              <w:adjustRightInd w:val="0"/>
              <w:rPr>
                <w:rFonts w:ascii="Times" w:eastAsiaTheme="minorHAnsi" w:hAnsi="Times" w:cs="Times"/>
                <w:sz w:val="22"/>
                <w:szCs w:val="22"/>
              </w:rPr>
            </w:pPr>
            <w:r>
              <w:rPr>
                <w:rFonts w:ascii="Times" w:eastAsiaTheme="minorHAnsi" w:hAnsi="Times" w:cs="Times"/>
                <w:sz w:val="22"/>
                <w:szCs w:val="22"/>
              </w:rPr>
              <w:t>Special Action Force (SAF)</w:t>
            </w:r>
            <w:r w:rsidRPr="00443ADB">
              <w:rPr>
                <w:rFonts w:ascii="Times" w:eastAsiaTheme="minorHAnsi" w:hAnsi="Times" w:cs="Times"/>
                <w:sz w:val="22"/>
                <w:szCs w:val="22"/>
              </w:rPr>
              <w:t xml:space="preserve"> 44 livelihood assistance updates</w:t>
            </w:r>
          </w:p>
        </w:tc>
      </w:tr>
      <w:tr w:rsidR="0039496C" w:rsidRPr="00443ADB" w14:paraId="48832301" w14:textId="77777777" w:rsidTr="00050C88">
        <w:tc>
          <w:tcPr>
            <w:tcW w:w="1188" w:type="dxa"/>
            <w:vMerge/>
          </w:tcPr>
          <w:p w14:paraId="4C52D0FD" w14:textId="77777777" w:rsidR="0039496C" w:rsidRDefault="0039496C" w:rsidP="002C2EE0">
            <w:pPr>
              <w:rPr>
                <w:color w:val="000000" w:themeColor="text1"/>
                <w:sz w:val="22"/>
                <w:szCs w:val="22"/>
              </w:rPr>
            </w:pPr>
          </w:p>
        </w:tc>
        <w:tc>
          <w:tcPr>
            <w:tcW w:w="8055" w:type="dxa"/>
          </w:tcPr>
          <w:p w14:paraId="202863A3" w14:textId="69E2BF71" w:rsidR="0039496C" w:rsidRPr="00443ADB" w:rsidRDefault="0039496C" w:rsidP="00050C88">
            <w:pPr>
              <w:widowControl w:val="0"/>
              <w:autoSpaceDE w:val="0"/>
              <w:autoSpaceDN w:val="0"/>
              <w:adjustRightInd w:val="0"/>
              <w:rPr>
                <w:rFonts w:ascii="Times" w:eastAsiaTheme="minorHAnsi" w:hAnsi="Times" w:cs="Times"/>
                <w:sz w:val="22"/>
                <w:szCs w:val="22"/>
              </w:rPr>
            </w:pPr>
            <w:r w:rsidRPr="00443ADB">
              <w:rPr>
                <w:color w:val="000000" w:themeColor="text1"/>
                <w:sz w:val="22"/>
                <w:szCs w:val="22"/>
              </w:rPr>
              <w:t>Local Governance Support Program for Local Economic Development (LGSP – LED) clarification on implementation</w:t>
            </w:r>
          </w:p>
        </w:tc>
      </w:tr>
      <w:tr w:rsidR="0039496C" w:rsidRPr="00443ADB" w14:paraId="38127FDB" w14:textId="77777777" w:rsidTr="00050C88">
        <w:tc>
          <w:tcPr>
            <w:tcW w:w="1188" w:type="dxa"/>
            <w:vMerge/>
          </w:tcPr>
          <w:p w14:paraId="6161E5EB" w14:textId="77777777" w:rsidR="0039496C" w:rsidRDefault="0039496C" w:rsidP="002C2EE0">
            <w:pPr>
              <w:rPr>
                <w:color w:val="000000" w:themeColor="text1"/>
                <w:sz w:val="22"/>
                <w:szCs w:val="22"/>
              </w:rPr>
            </w:pPr>
          </w:p>
        </w:tc>
        <w:tc>
          <w:tcPr>
            <w:tcW w:w="8055" w:type="dxa"/>
          </w:tcPr>
          <w:p w14:paraId="03BE56BF" w14:textId="38BFBD51" w:rsidR="0039496C" w:rsidRPr="00443ADB" w:rsidRDefault="0039496C" w:rsidP="00050C88">
            <w:pPr>
              <w:widowControl w:val="0"/>
              <w:autoSpaceDE w:val="0"/>
              <w:autoSpaceDN w:val="0"/>
              <w:adjustRightInd w:val="0"/>
              <w:rPr>
                <w:color w:val="000000" w:themeColor="text1"/>
                <w:sz w:val="22"/>
                <w:szCs w:val="22"/>
              </w:rPr>
            </w:pPr>
            <w:r w:rsidRPr="00443ADB">
              <w:rPr>
                <w:color w:val="000000" w:themeColor="text1"/>
                <w:sz w:val="22"/>
                <w:szCs w:val="22"/>
              </w:rPr>
              <w:t>Globe BanKo ATM cards yet to be given</w:t>
            </w:r>
          </w:p>
        </w:tc>
      </w:tr>
    </w:tbl>
    <w:p w14:paraId="6ABB56EF" w14:textId="77777777" w:rsidR="00DE0526" w:rsidRDefault="00DE0526">
      <w:pPr>
        <w:rPr>
          <w:sz w:val="22"/>
          <w:szCs w:val="22"/>
        </w:rPr>
      </w:pPr>
    </w:p>
    <w:p w14:paraId="171A92DF" w14:textId="4D9A8D88" w:rsidR="00DF38CA" w:rsidRPr="00443ADB" w:rsidRDefault="00DF38CA">
      <w:pPr>
        <w:rPr>
          <w:sz w:val="22"/>
          <w:szCs w:val="22"/>
        </w:rPr>
      </w:pPr>
      <w:r>
        <w:rPr>
          <w:sz w:val="22"/>
          <w:szCs w:val="22"/>
        </w:rPr>
        <w:t>The assigned NPMO Team will continue close coordination with the RPMO to carry out the aforesaid action points. This is for your information in the meantime.</w:t>
      </w:r>
    </w:p>
    <w:p w14:paraId="4AC645F9" w14:textId="77777777" w:rsidR="002D7B97" w:rsidRDefault="002D7B97" w:rsidP="00117A8D">
      <w:pPr>
        <w:widowControl w:val="0"/>
        <w:autoSpaceDE w:val="0"/>
        <w:autoSpaceDN w:val="0"/>
        <w:adjustRightInd w:val="0"/>
        <w:rPr>
          <w:rFonts w:ascii="Times" w:eastAsiaTheme="minorHAnsi" w:hAnsi="Times" w:cs="Times"/>
          <w:sz w:val="22"/>
          <w:szCs w:val="22"/>
        </w:rPr>
      </w:pPr>
    </w:p>
    <w:p w14:paraId="3D348B8C" w14:textId="77777777" w:rsidR="00DF38CA" w:rsidRDefault="00DF38CA" w:rsidP="00117A8D">
      <w:pPr>
        <w:widowControl w:val="0"/>
        <w:autoSpaceDE w:val="0"/>
        <w:autoSpaceDN w:val="0"/>
        <w:adjustRightInd w:val="0"/>
        <w:rPr>
          <w:rFonts w:ascii="Times" w:eastAsiaTheme="minorHAnsi" w:hAnsi="Times" w:cs="Times"/>
          <w:sz w:val="22"/>
          <w:szCs w:val="22"/>
        </w:rPr>
      </w:pPr>
    </w:p>
    <w:p w14:paraId="23DA5E57" w14:textId="77777777" w:rsidR="00DF38CA" w:rsidRPr="00443ADB" w:rsidRDefault="00DF38CA" w:rsidP="00117A8D">
      <w:pPr>
        <w:widowControl w:val="0"/>
        <w:autoSpaceDE w:val="0"/>
        <w:autoSpaceDN w:val="0"/>
        <w:adjustRightInd w:val="0"/>
        <w:rPr>
          <w:rFonts w:ascii="Times" w:eastAsiaTheme="minorHAnsi" w:hAnsi="Times" w:cs="Times"/>
          <w:sz w:val="22"/>
          <w:szCs w:val="22"/>
        </w:rPr>
      </w:pPr>
    </w:p>
    <w:p w14:paraId="4FC5D6A4" w14:textId="77777777" w:rsidR="00081872" w:rsidRPr="002D7B97" w:rsidRDefault="002D7B97" w:rsidP="002D7B97">
      <w:pPr>
        <w:widowControl w:val="0"/>
        <w:autoSpaceDE w:val="0"/>
        <w:autoSpaceDN w:val="0"/>
        <w:adjustRightInd w:val="0"/>
        <w:rPr>
          <w:rFonts w:ascii="Times" w:eastAsiaTheme="minorHAnsi" w:hAnsi="Times" w:cs="Times"/>
          <w:b/>
          <w:sz w:val="22"/>
          <w:szCs w:val="22"/>
        </w:rPr>
      </w:pPr>
      <w:r w:rsidRPr="002D7B97">
        <w:rPr>
          <w:rFonts w:ascii="Times" w:eastAsiaTheme="minorHAnsi" w:hAnsi="Times" w:cs="Times"/>
          <w:b/>
          <w:sz w:val="22"/>
          <w:szCs w:val="22"/>
        </w:rPr>
        <w:t>DENNIS A. RAPOSA</w:t>
      </w:r>
      <w:r w:rsidR="00C14994" w:rsidRPr="00443ADB">
        <w:rPr>
          <w:color w:val="000000" w:themeColor="text1"/>
          <w:sz w:val="20"/>
          <w:szCs w:val="20"/>
        </w:rPr>
        <w:br w:type="column"/>
      </w:r>
      <w:r w:rsidR="00C14994">
        <w:rPr>
          <w:rFonts w:eastAsia="Calibri"/>
          <w:b/>
          <w:color w:val="000000" w:themeColor="text1"/>
        </w:rPr>
        <w:lastRenderedPageBreak/>
        <w:t xml:space="preserve">FEEDBACK </w:t>
      </w:r>
      <w:r w:rsidR="00081872">
        <w:rPr>
          <w:rFonts w:eastAsia="Calibri"/>
          <w:b/>
          <w:color w:val="000000" w:themeColor="text1"/>
        </w:rPr>
        <w:t>REPORT</w:t>
      </w:r>
    </w:p>
    <w:p w14:paraId="73C81E74" w14:textId="2C11CF23" w:rsidR="006B47AB" w:rsidRPr="00081872" w:rsidRDefault="006B45BB" w:rsidP="005E41AA">
      <w:pPr>
        <w:rPr>
          <w:rFonts w:eastAsia="Calibri"/>
          <w:color w:val="000000" w:themeColor="text1"/>
        </w:rPr>
      </w:pPr>
      <w:r>
        <w:rPr>
          <w:rFonts w:eastAsia="Calibri"/>
          <w:color w:val="000000" w:themeColor="text1"/>
        </w:rPr>
        <w:t>2016 Courtesy Call a</w:t>
      </w:r>
      <w:r w:rsidR="00081872" w:rsidRPr="00081872">
        <w:rPr>
          <w:rFonts w:eastAsia="Calibri"/>
          <w:color w:val="000000" w:themeColor="text1"/>
        </w:rPr>
        <w:t xml:space="preserve">nd </w:t>
      </w:r>
      <w:r>
        <w:rPr>
          <w:rFonts w:eastAsia="Calibri"/>
          <w:color w:val="000000" w:themeColor="text1"/>
        </w:rPr>
        <w:t>Kick-Off/</w:t>
      </w:r>
      <w:r w:rsidR="00081872" w:rsidRPr="00081872">
        <w:rPr>
          <w:rFonts w:eastAsia="Calibri"/>
          <w:color w:val="000000" w:themeColor="text1"/>
        </w:rPr>
        <w:t>Technical Assistan</w:t>
      </w:r>
      <w:r w:rsidR="00081872">
        <w:rPr>
          <w:rFonts w:eastAsia="Calibri"/>
          <w:color w:val="000000" w:themeColor="text1"/>
        </w:rPr>
        <w:t>ce Meeting with Field Office IX and XI</w:t>
      </w:r>
    </w:p>
    <w:p w14:paraId="5F452FEA" w14:textId="77777777" w:rsidR="00C14994" w:rsidRPr="00C14994" w:rsidRDefault="00C14994" w:rsidP="005E41AA">
      <w:pPr>
        <w:rPr>
          <w:rFonts w:eastAsia="Calibri"/>
          <w:color w:val="000000" w:themeColor="text1"/>
        </w:rPr>
      </w:pPr>
      <w:r w:rsidRPr="00C14994">
        <w:rPr>
          <w:rFonts w:eastAsia="Calibri"/>
          <w:color w:val="000000" w:themeColor="text1"/>
        </w:rPr>
        <w:fldChar w:fldCharType="begin"/>
      </w:r>
      <w:r w:rsidRPr="00C14994">
        <w:rPr>
          <w:rFonts w:eastAsia="Calibri"/>
          <w:color w:val="000000" w:themeColor="text1"/>
        </w:rPr>
        <w:instrText xml:space="preserve"> TIME \@ "d MMMM yyyy" </w:instrText>
      </w:r>
      <w:r w:rsidRPr="00C14994">
        <w:rPr>
          <w:rFonts w:eastAsia="Calibri"/>
          <w:color w:val="000000" w:themeColor="text1"/>
        </w:rPr>
        <w:fldChar w:fldCharType="separate"/>
      </w:r>
      <w:r w:rsidR="005A6D0E">
        <w:rPr>
          <w:rFonts w:eastAsia="Calibri"/>
          <w:noProof/>
          <w:color w:val="000000" w:themeColor="text1"/>
        </w:rPr>
        <w:t>10 February 2016</w:t>
      </w:r>
      <w:r w:rsidRPr="00C14994">
        <w:rPr>
          <w:rFonts w:eastAsia="Calibri"/>
          <w:color w:val="000000" w:themeColor="text1"/>
        </w:rPr>
        <w:fldChar w:fldCharType="end"/>
      </w:r>
    </w:p>
    <w:p w14:paraId="1BD0D09E" w14:textId="77777777" w:rsidR="00B769BA" w:rsidRDefault="00B769BA" w:rsidP="00C14994">
      <w:pPr>
        <w:rPr>
          <w:color w:val="000000" w:themeColor="text1"/>
        </w:rPr>
      </w:pP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0"/>
        <w:gridCol w:w="2258"/>
        <w:gridCol w:w="6570"/>
      </w:tblGrid>
      <w:tr w:rsidR="00B57F17" w:rsidRPr="00B57F17" w14:paraId="19D8BCE8" w14:textId="77777777" w:rsidTr="00B57F17">
        <w:trPr>
          <w:trHeight w:val="77"/>
          <w:tblHeader/>
        </w:trPr>
        <w:tc>
          <w:tcPr>
            <w:tcW w:w="550" w:type="dxa"/>
            <w:shd w:val="clear" w:color="auto" w:fill="000000" w:themeFill="text1"/>
            <w:hideMark/>
          </w:tcPr>
          <w:p w14:paraId="79359F08" w14:textId="77777777" w:rsidR="00B57F17" w:rsidRPr="00B57F17" w:rsidRDefault="00B57F17" w:rsidP="00B57F17">
            <w:pPr>
              <w:rPr>
                <w:b/>
                <w:bCs/>
                <w:color w:val="FFFFFF" w:themeColor="background1"/>
              </w:rPr>
            </w:pPr>
            <w:r w:rsidRPr="00B57F17">
              <w:rPr>
                <w:b/>
                <w:bCs/>
                <w:color w:val="FFFFFF" w:themeColor="background1"/>
              </w:rPr>
              <w:t>FO</w:t>
            </w:r>
          </w:p>
        </w:tc>
        <w:tc>
          <w:tcPr>
            <w:tcW w:w="2258" w:type="dxa"/>
            <w:shd w:val="clear" w:color="auto" w:fill="000000" w:themeFill="text1"/>
            <w:hideMark/>
          </w:tcPr>
          <w:p w14:paraId="6D3CE26F" w14:textId="77777777" w:rsidR="00B57F17" w:rsidRPr="00B57F17" w:rsidRDefault="00B57F17" w:rsidP="00B57F17">
            <w:pPr>
              <w:rPr>
                <w:b/>
                <w:bCs/>
                <w:color w:val="FFFFFF" w:themeColor="background1"/>
              </w:rPr>
            </w:pPr>
            <w:r w:rsidRPr="00B57F17">
              <w:rPr>
                <w:b/>
                <w:bCs/>
                <w:color w:val="FFFFFF" w:themeColor="background1"/>
              </w:rPr>
              <w:t>Concern</w:t>
            </w:r>
          </w:p>
        </w:tc>
        <w:tc>
          <w:tcPr>
            <w:tcW w:w="6570" w:type="dxa"/>
            <w:shd w:val="clear" w:color="auto" w:fill="000000" w:themeFill="text1"/>
            <w:hideMark/>
          </w:tcPr>
          <w:p w14:paraId="2E4B1361" w14:textId="38B9D937" w:rsidR="00B57F17" w:rsidRPr="00B57F17" w:rsidRDefault="0040446B" w:rsidP="00B57F17">
            <w:pPr>
              <w:jc w:val="center"/>
              <w:rPr>
                <w:b/>
                <w:bCs/>
                <w:color w:val="FFFFFF" w:themeColor="background1"/>
              </w:rPr>
            </w:pPr>
            <w:r>
              <w:rPr>
                <w:b/>
                <w:bCs/>
                <w:color w:val="FFFFFF" w:themeColor="background1"/>
              </w:rPr>
              <w:t>Resolutions/ Agreements</w:t>
            </w:r>
          </w:p>
        </w:tc>
      </w:tr>
      <w:tr w:rsidR="00B57F17" w:rsidRPr="00B12745" w14:paraId="1961653D" w14:textId="77777777" w:rsidTr="00B57F17">
        <w:trPr>
          <w:trHeight w:val="77"/>
        </w:trPr>
        <w:tc>
          <w:tcPr>
            <w:tcW w:w="9378" w:type="dxa"/>
            <w:gridSpan w:val="3"/>
            <w:tcBorders>
              <w:bottom w:val="single" w:sz="4" w:space="0" w:color="auto"/>
            </w:tcBorders>
          </w:tcPr>
          <w:p w14:paraId="5B8D2398" w14:textId="77777777" w:rsidR="002D7B97" w:rsidRDefault="002D7B97" w:rsidP="00B12745">
            <w:pPr>
              <w:tabs>
                <w:tab w:val="left" w:pos="3165"/>
              </w:tabs>
              <w:rPr>
                <w:b/>
                <w:color w:val="000000" w:themeColor="text1"/>
              </w:rPr>
            </w:pPr>
          </w:p>
          <w:p w14:paraId="74F86756" w14:textId="407370A8" w:rsidR="00B57F17" w:rsidRPr="00B12745" w:rsidRDefault="00B57F17" w:rsidP="00B12745">
            <w:pPr>
              <w:tabs>
                <w:tab w:val="left" w:pos="3165"/>
              </w:tabs>
              <w:rPr>
                <w:b/>
              </w:rPr>
            </w:pPr>
            <w:r w:rsidRPr="00B12745">
              <w:rPr>
                <w:b/>
                <w:color w:val="000000" w:themeColor="text1"/>
              </w:rPr>
              <w:t>Thrust and Priority: Program Implementation</w:t>
            </w:r>
            <w:r w:rsidRPr="00B12745">
              <w:rPr>
                <w:b/>
              </w:rPr>
              <w:tab/>
            </w:r>
          </w:p>
        </w:tc>
      </w:tr>
      <w:tr w:rsidR="00B57F17" w:rsidRPr="00B12745" w14:paraId="7158591E" w14:textId="77777777" w:rsidTr="00B57F17">
        <w:trPr>
          <w:trHeight w:val="1200"/>
        </w:trPr>
        <w:tc>
          <w:tcPr>
            <w:tcW w:w="550" w:type="dxa"/>
            <w:tcBorders>
              <w:top w:val="single" w:sz="4" w:space="0" w:color="auto"/>
            </w:tcBorders>
            <w:hideMark/>
          </w:tcPr>
          <w:p w14:paraId="2AD3C794" w14:textId="77777777" w:rsidR="00B57F17" w:rsidRPr="00B12745" w:rsidRDefault="00B57F17">
            <w:pPr>
              <w:rPr>
                <w:color w:val="000000" w:themeColor="text1"/>
              </w:rPr>
            </w:pPr>
            <w:r w:rsidRPr="00B12745">
              <w:rPr>
                <w:color w:val="000000" w:themeColor="text1"/>
              </w:rPr>
              <w:t>XI</w:t>
            </w:r>
          </w:p>
        </w:tc>
        <w:tc>
          <w:tcPr>
            <w:tcW w:w="2258" w:type="dxa"/>
            <w:tcBorders>
              <w:top w:val="single" w:sz="4" w:space="0" w:color="auto"/>
            </w:tcBorders>
            <w:hideMark/>
          </w:tcPr>
          <w:p w14:paraId="1D64929F" w14:textId="77777777" w:rsidR="00B57F17" w:rsidRPr="00B12745" w:rsidRDefault="00B57F17">
            <w:pPr>
              <w:rPr>
                <w:color w:val="000000" w:themeColor="text1"/>
              </w:rPr>
            </w:pPr>
            <w:r w:rsidRPr="00B12745">
              <w:rPr>
                <w:color w:val="000000" w:themeColor="text1"/>
              </w:rPr>
              <w:t>One PDO per legislative district, city, municipality</w:t>
            </w:r>
          </w:p>
        </w:tc>
        <w:tc>
          <w:tcPr>
            <w:tcW w:w="6570" w:type="dxa"/>
            <w:tcBorders>
              <w:top w:val="single" w:sz="4" w:space="0" w:color="auto"/>
            </w:tcBorders>
            <w:hideMark/>
          </w:tcPr>
          <w:p w14:paraId="14E3D0E0" w14:textId="53F228B4" w:rsidR="00B57F17" w:rsidRDefault="00B57F17">
            <w:pPr>
              <w:rPr>
                <w:color w:val="000000" w:themeColor="text1"/>
              </w:rPr>
            </w:pPr>
            <w:r w:rsidRPr="00B12745">
              <w:rPr>
                <w:color w:val="000000" w:themeColor="text1"/>
              </w:rPr>
              <w:t xml:space="preserve">FO XI will strictly adhere to the 51 allocated field staff. </w:t>
            </w:r>
            <w:r w:rsidRPr="00B12745">
              <w:rPr>
                <w:color w:val="000000" w:themeColor="text1"/>
              </w:rPr>
              <w:br/>
              <w:t>• Some areas will have 1 PDO for 2 municipalities due to the program’s saturation</w:t>
            </w:r>
            <w:r w:rsidR="006B45BB">
              <w:rPr>
                <w:color w:val="000000" w:themeColor="text1"/>
              </w:rPr>
              <w:t xml:space="preserve"> (but in no way will there be more than 1 PDO per municipality)</w:t>
            </w:r>
            <w:r w:rsidRPr="00B12745">
              <w:rPr>
                <w:color w:val="000000" w:themeColor="text1"/>
              </w:rPr>
              <w:t>.</w:t>
            </w:r>
            <w:r w:rsidRPr="00B12745">
              <w:rPr>
                <w:color w:val="000000" w:themeColor="text1"/>
              </w:rPr>
              <w:br/>
              <w:t>• 1 PDO will act as a Cluster Coordinator for Davao City</w:t>
            </w:r>
          </w:p>
          <w:p w14:paraId="264515E7" w14:textId="77777777" w:rsidR="00B57F17" w:rsidRPr="00B12745" w:rsidRDefault="00B57F17">
            <w:pPr>
              <w:rPr>
                <w:color w:val="000000" w:themeColor="text1"/>
              </w:rPr>
            </w:pPr>
          </w:p>
        </w:tc>
      </w:tr>
      <w:tr w:rsidR="00B57F17" w:rsidRPr="00B12745" w14:paraId="74B54AE6" w14:textId="77777777" w:rsidTr="0040446B">
        <w:trPr>
          <w:trHeight w:val="900"/>
        </w:trPr>
        <w:tc>
          <w:tcPr>
            <w:tcW w:w="550" w:type="dxa"/>
            <w:hideMark/>
          </w:tcPr>
          <w:p w14:paraId="655FD6A5" w14:textId="768CC0BE" w:rsidR="00B57F17" w:rsidRPr="00B12745" w:rsidRDefault="00B57F17">
            <w:pPr>
              <w:rPr>
                <w:color w:val="000000" w:themeColor="text1"/>
              </w:rPr>
            </w:pPr>
          </w:p>
        </w:tc>
        <w:tc>
          <w:tcPr>
            <w:tcW w:w="2258" w:type="dxa"/>
          </w:tcPr>
          <w:p w14:paraId="146C3772" w14:textId="4CCEF5BC" w:rsidR="00B57F17" w:rsidRPr="00B12745" w:rsidRDefault="00B57F17">
            <w:pPr>
              <w:rPr>
                <w:color w:val="000000" w:themeColor="text1"/>
              </w:rPr>
            </w:pPr>
          </w:p>
        </w:tc>
        <w:tc>
          <w:tcPr>
            <w:tcW w:w="6570" w:type="dxa"/>
            <w:hideMark/>
          </w:tcPr>
          <w:p w14:paraId="02D0E856" w14:textId="77777777" w:rsidR="00B57F17" w:rsidRDefault="00B57F17">
            <w:pPr>
              <w:rPr>
                <w:color w:val="000000" w:themeColor="text1"/>
              </w:rPr>
            </w:pPr>
            <w:r w:rsidRPr="00B12745">
              <w:rPr>
                <w:color w:val="000000" w:themeColor="text1"/>
              </w:rPr>
              <w:t>The FO will consider the 2 PAMANA Closure Program PDOs as mainstream implementers of SLP as well in Davao City barangays.</w:t>
            </w:r>
          </w:p>
          <w:p w14:paraId="56CFD8AC" w14:textId="77777777" w:rsidR="00B57F17" w:rsidRPr="00B12745" w:rsidRDefault="00B57F17">
            <w:pPr>
              <w:rPr>
                <w:color w:val="000000" w:themeColor="text1"/>
              </w:rPr>
            </w:pPr>
          </w:p>
        </w:tc>
      </w:tr>
      <w:tr w:rsidR="00B57F17" w:rsidRPr="00B12745" w14:paraId="73BD1021" w14:textId="77777777" w:rsidTr="0040446B">
        <w:trPr>
          <w:trHeight w:val="900"/>
        </w:trPr>
        <w:tc>
          <w:tcPr>
            <w:tcW w:w="550" w:type="dxa"/>
            <w:hideMark/>
          </w:tcPr>
          <w:p w14:paraId="6A074334" w14:textId="10CB33D6" w:rsidR="00B57F17" w:rsidRPr="00B12745" w:rsidRDefault="00B57F17">
            <w:pPr>
              <w:rPr>
                <w:color w:val="000000" w:themeColor="text1"/>
              </w:rPr>
            </w:pPr>
          </w:p>
        </w:tc>
        <w:tc>
          <w:tcPr>
            <w:tcW w:w="2258" w:type="dxa"/>
          </w:tcPr>
          <w:p w14:paraId="1BD77ED9" w14:textId="3AB61692" w:rsidR="00B57F17" w:rsidRPr="00B12745" w:rsidRDefault="00B57F17">
            <w:pPr>
              <w:rPr>
                <w:color w:val="000000" w:themeColor="text1"/>
              </w:rPr>
            </w:pPr>
          </w:p>
        </w:tc>
        <w:tc>
          <w:tcPr>
            <w:tcW w:w="6570" w:type="dxa"/>
            <w:hideMark/>
          </w:tcPr>
          <w:p w14:paraId="236DDF3F" w14:textId="5E904121" w:rsidR="00B57F17" w:rsidRDefault="00B57F17">
            <w:pPr>
              <w:rPr>
                <w:color w:val="000000" w:themeColor="text1"/>
              </w:rPr>
            </w:pPr>
            <w:r w:rsidRPr="00B12745">
              <w:rPr>
                <w:color w:val="000000" w:themeColor="text1"/>
              </w:rPr>
              <w:t>PDO financial portfolio (e.g. Regular funds, MCCT, Pablo, El Nino) is the concern of the ARDO in terms of the implementer’s absorptive capacity and execution accountability.</w:t>
            </w:r>
            <w:r w:rsidR="0040446B">
              <w:rPr>
                <w:color w:val="000000" w:themeColor="text1"/>
              </w:rPr>
              <w:t xml:space="preserve"> (</w:t>
            </w:r>
            <w:r w:rsidR="0040446B" w:rsidRPr="0040446B">
              <w:rPr>
                <w:i/>
                <w:color w:val="000000" w:themeColor="text1"/>
              </w:rPr>
              <w:t>NB: portfolio management as an area for capability building</w:t>
            </w:r>
            <w:r w:rsidR="0040446B">
              <w:rPr>
                <w:color w:val="000000" w:themeColor="text1"/>
              </w:rPr>
              <w:t>)</w:t>
            </w:r>
          </w:p>
          <w:p w14:paraId="2A2D0A6C" w14:textId="77777777" w:rsidR="00B57F17" w:rsidRPr="00B12745" w:rsidRDefault="00B57F17">
            <w:pPr>
              <w:rPr>
                <w:color w:val="000000" w:themeColor="text1"/>
              </w:rPr>
            </w:pPr>
          </w:p>
        </w:tc>
      </w:tr>
      <w:tr w:rsidR="00B57F17" w:rsidRPr="00B12745" w14:paraId="3E64210C" w14:textId="77777777" w:rsidTr="00B57F17">
        <w:trPr>
          <w:trHeight w:val="1500"/>
        </w:trPr>
        <w:tc>
          <w:tcPr>
            <w:tcW w:w="550" w:type="dxa"/>
            <w:hideMark/>
          </w:tcPr>
          <w:p w14:paraId="3720B8E6" w14:textId="77777777" w:rsidR="00B57F17" w:rsidRPr="00B12745" w:rsidRDefault="00B57F17">
            <w:pPr>
              <w:rPr>
                <w:color w:val="000000" w:themeColor="text1"/>
              </w:rPr>
            </w:pPr>
            <w:r w:rsidRPr="00B12745">
              <w:rPr>
                <w:color w:val="000000" w:themeColor="text1"/>
              </w:rPr>
              <w:t>XI</w:t>
            </w:r>
          </w:p>
        </w:tc>
        <w:tc>
          <w:tcPr>
            <w:tcW w:w="2258" w:type="dxa"/>
            <w:hideMark/>
          </w:tcPr>
          <w:p w14:paraId="3B61C7C7" w14:textId="133F894A" w:rsidR="00B57F17" w:rsidRPr="00B12745" w:rsidRDefault="00B57F17">
            <w:pPr>
              <w:rPr>
                <w:color w:val="000000" w:themeColor="text1"/>
              </w:rPr>
            </w:pPr>
            <w:r w:rsidRPr="00B12745">
              <w:rPr>
                <w:color w:val="000000" w:themeColor="text1"/>
              </w:rPr>
              <w:t>Convergence Mobilization</w:t>
            </w:r>
          </w:p>
        </w:tc>
        <w:tc>
          <w:tcPr>
            <w:tcW w:w="6570" w:type="dxa"/>
            <w:hideMark/>
          </w:tcPr>
          <w:p w14:paraId="5B3E8961" w14:textId="77777777" w:rsidR="0006366F" w:rsidRDefault="00B57F17">
            <w:pPr>
              <w:rPr>
                <w:color w:val="000000" w:themeColor="text1"/>
              </w:rPr>
            </w:pPr>
            <w:r w:rsidRPr="00B12745">
              <w:rPr>
                <w:color w:val="000000" w:themeColor="text1"/>
              </w:rPr>
              <w:t>For the monitoring of SLP participants, the C/MAT is responsible.</w:t>
            </w:r>
            <w:r w:rsidRPr="00B12745">
              <w:rPr>
                <w:color w:val="000000" w:themeColor="text1"/>
              </w:rPr>
              <w:br/>
              <w:t xml:space="preserve">• Fall-out rate of EF interventions after receiving employment </w:t>
            </w:r>
            <w:r w:rsidR="0040446B">
              <w:rPr>
                <w:color w:val="000000" w:themeColor="text1"/>
              </w:rPr>
              <w:t>is not fully attributable to the PDO’s performance (</w:t>
            </w:r>
            <w:r w:rsidR="0040446B" w:rsidRPr="0040446B">
              <w:rPr>
                <w:i/>
                <w:color w:val="000000" w:themeColor="text1"/>
              </w:rPr>
              <w:t>NB: for notation/consideration in the IPC of the field PDO</w:t>
            </w:r>
            <w:r w:rsidR="0040446B">
              <w:rPr>
                <w:color w:val="000000" w:themeColor="text1"/>
              </w:rPr>
              <w:t>)</w:t>
            </w:r>
          </w:p>
          <w:p w14:paraId="491A299D" w14:textId="735EC253" w:rsidR="00B57F17" w:rsidRDefault="0006366F">
            <w:pPr>
              <w:rPr>
                <w:color w:val="000000" w:themeColor="text1"/>
              </w:rPr>
            </w:pPr>
            <w:r w:rsidRPr="00B12745">
              <w:rPr>
                <w:color w:val="000000" w:themeColor="text1"/>
              </w:rPr>
              <w:t xml:space="preserve">• </w:t>
            </w:r>
            <w:r>
              <w:rPr>
                <w:color w:val="000000" w:themeColor="text1"/>
              </w:rPr>
              <w:t>Employment fall-out may be also attributable to the lack of behavioral competency needed by the participant, in which behavior change training may step-in.</w:t>
            </w:r>
            <w:r w:rsidR="00B57F17" w:rsidRPr="00B12745">
              <w:rPr>
                <w:color w:val="000000" w:themeColor="text1"/>
              </w:rPr>
              <w:br/>
              <w:t>• Role clarification issues should be resolved at the regional level during the regular URPMT meetings.</w:t>
            </w:r>
          </w:p>
          <w:p w14:paraId="143E4DE5" w14:textId="77777777" w:rsidR="00B57F17" w:rsidRPr="00B12745" w:rsidRDefault="00B57F17">
            <w:pPr>
              <w:rPr>
                <w:color w:val="000000" w:themeColor="text1"/>
              </w:rPr>
            </w:pPr>
          </w:p>
        </w:tc>
      </w:tr>
      <w:tr w:rsidR="00B57F17" w:rsidRPr="00B12745" w14:paraId="5AFA54F9" w14:textId="77777777" w:rsidTr="00B57F17">
        <w:trPr>
          <w:trHeight w:val="1200"/>
        </w:trPr>
        <w:tc>
          <w:tcPr>
            <w:tcW w:w="550" w:type="dxa"/>
            <w:hideMark/>
          </w:tcPr>
          <w:p w14:paraId="225499C2" w14:textId="3D8D7F8D" w:rsidR="00B57F17" w:rsidRPr="00B12745" w:rsidRDefault="00B57F17">
            <w:pPr>
              <w:rPr>
                <w:color w:val="000000" w:themeColor="text1"/>
              </w:rPr>
            </w:pPr>
          </w:p>
        </w:tc>
        <w:tc>
          <w:tcPr>
            <w:tcW w:w="2258" w:type="dxa"/>
            <w:hideMark/>
          </w:tcPr>
          <w:p w14:paraId="422A38B2" w14:textId="4A6FD3A8" w:rsidR="00B57F17" w:rsidRPr="00B12745" w:rsidRDefault="00B57F17">
            <w:pPr>
              <w:rPr>
                <w:color w:val="000000" w:themeColor="text1"/>
              </w:rPr>
            </w:pPr>
          </w:p>
        </w:tc>
        <w:tc>
          <w:tcPr>
            <w:tcW w:w="6570" w:type="dxa"/>
            <w:hideMark/>
          </w:tcPr>
          <w:p w14:paraId="0BBB3F95" w14:textId="77777777" w:rsidR="00B57F17" w:rsidRDefault="00B57F17">
            <w:pPr>
              <w:rPr>
                <w:color w:val="000000" w:themeColor="text1"/>
              </w:rPr>
            </w:pPr>
            <w:r w:rsidRPr="00B12745">
              <w:rPr>
                <w:color w:val="000000" w:themeColor="text1"/>
              </w:rPr>
              <w:t>For the implementation of the MCCT livelihood component, role and program clarification must also be discussed during URPMT.</w:t>
            </w:r>
            <w:r w:rsidRPr="00B12745">
              <w:rPr>
                <w:color w:val="000000" w:themeColor="text1"/>
              </w:rPr>
              <w:br/>
              <w:t>• SLP should capacitate MCCT Community Facilitators &amp; LGU livelihood workers in the SLP processes and feasibility studies</w:t>
            </w:r>
          </w:p>
          <w:p w14:paraId="39CD0FD7" w14:textId="77777777" w:rsidR="00B57F17" w:rsidRPr="00B12745" w:rsidRDefault="00B57F17">
            <w:pPr>
              <w:rPr>
                <w:color w:val="000000" w:themeColor="text1"/>
              </w:rPr>
            </w:pPr>
          </w:p>
        </w:tc>
      </w:tr>
      <w:tr w:rsidR="00B57F17" w:rsidRPr="00B12745" w14:paraId="0A082BD2" w14:textId="77777777" w:rsidTr="00B57F17">
        <w:trPr>
          <w:trHeight w:val="2400"/>
        </w:trPr>
        <w:tc>
          <w:tcPr>
            <w:tcW w:w="550" w:type="dxa"/>
            <w:hideMark/>
          </w:tcPr>
          <w:p w14:paraId="509AA8AD" w14:textId="2AE112B0" w:rsidR="00B57F17" w:rsidRPr="00B12745" w:rsidRDefault="00B57F17">
            <w:pPr>
              <w:rPr>
                <w:color w:val="000000" w:themeColor="text1"/>
              </w:rPr>
            </w:pPr>
          </w:p>
        </w:tc>
        <w:tc>
          <w:tcPr>
            <w:tcW w:w="2258" w:type="dxa"/>
            <w:hideMark/>
          </w:tcPr>
          <w:p w14:paraId="0A087CC0" w14:textId="78631285" w:rsidR="00B57F17" w:rsidRPr="00B12745" w:rsidRDefault="00B57F17">
            <w:pPr>
              <w:rPr>
                <w:color w:val="000000" w:themeColor="text1"/>
              </w:rPr>
            </w:pPr>
          </w:p>
        </w:tc>
        <w:tc>
          <w:tcPr>
            <w:tcW w:w="6570" w:type="dxa"/>
            <w:hideMark/>
          </w:tcPr>
          <w:p w14:paraId="2982FEE9" w14:textId="77777777" w:rsidR="00B57F17" w:rsidRDefault="00B57F17">
            <w:pPr>
              <w:rPr>
                <w:color w:val="000000" w:themeColor="text1"/>
              </w:rPr>
            </w:pPr>
            <w:r w:rsidRPr="00B12745">
              <w:rPr>
                <w:color w:val="000000" w:themeColor="text1"/>
              </w:rPr>
              <w:t>For the Community Core Groups, members are beginning to request for additional compensation for their efforts.</w:t>
            </w:r>
            <w:r w:rsidRPr="00B12745">
              <w:rPr>
                <w:color w:val="000000" w:themeColor="text1"/>
              </w:rPr>
              <w:br/>
              <w:t>• Field PDO must level-off with the CCG the following</w:t>
            </w:r>
            <w:r w:rsidRPr="00B12745">
              <w:rPr>
                <w:color w:val="000000" w:themeColor="text1"/>
              </w:rPr>
              <w:br/>
              <w:t>o CCG was formed in the principle of volunteerism, but honoraria may be availed during trainings and workshops.</w:t>
            </w:r>
            <w:r w:rsidRPr="00B12745">
              <w:rPr>
                <w:color w:val="000000" w:themeColor="text1"/>
              </w:rPr>
              <w:br/>
              <w:t>o Additional costs such as transportation and food must be covered by the PDO through TEV and CMF, respectively.</w:t>
            </w:r>
          </w:p>
          <w:p w14:paraId="491E1612" w14:textId="77777777" w:rsidR="00B57F17" w:rsidRPr="00B12745" w:rsidRDefault="00B57F17">
            <w:pPr>
              <w:rPr>
                <w:color w:val="000000" w:themeColor="text1"/>
              </w:rPr>
            </w:pPr>
          </w:p>
        </w:tc>
      </w:tr>
      <w:tr w:rsidR="00B57F17" w:rsidRPr="00B12745" w14:paraId="5408DCB6" w14:textId="77777777" w:rsidTr="00B57F17">
        <w:trPr>
          <w:trHeight w:val="1061"/>
        </w:trPr>
        <w:tc>
          <w:tcPr>
            <w:tcW w:w="550" w:type="dxa"/>
            <w:hideMark/>
          </w:tcPr>
          <w:p w14:paraId="7685D660" w14:textId="77777777" w:rsidR="00B57F17" w:rsidRPr="00B12745" w:rsidRDefault="00B57F17">
            <w:pPr>
              <w:rPr>
                <w:color w:val="000000" w:themeColor="text1"/>
              </w:rPr>
            </w:pPr>
            <w:r w:rsidRPr="00B12745">
              <w:rPr>
                <w:color w:val="000000" w:themeColor="text1"/>
              </w:rPr>
              <w:lastRenderedPageBreak/>
              <w:t>XI</w:t>
            </w:r>
          </w:p>
        </w:tc>
        <w:tc>
          <w:tcPr>
            <w:tcW w:w="2258" w:type="dxa"/>
            <w:hideMark/>
          </w:tcPr>
          <w:p w14:paraId="0C7191E5" w14:textId="77777777" w:rsidR="00B57F17" w:rsidRPr="00B12745" w:rsidRDefault="00B57F17">
            <w:pPr>
              <w:rPr>
                <w:color w:val="000000" w:themeColor="text1"/>
              </w:rPr>
            </w:pPr>
            <w:r w:rsidRPr="00B12745">
              <w:rPr>
                <w:color w:val="000000" w:themeColor="text1"/>
              </w:rPr>
              <w:t>Modes of Disbursement</w:t>
            </w:r>
          </w:p>
        </w:tc>
        <w:tc>
          <w:tcPr>
            <w:tcW w:w="6570" w:type="dxa"/>
            <w:hideMark/>
          </w:tcPr>
          <w:p w14:paraId="620247F1" w14:textId="0CF9B0B5" w:rsidR="00B57F17" w:rsidRDefault="00B57F17">
            <w:pPr>
              <w:rPr>
                <w:color w:val="000000" w:themeColor="text1"/>
              </w:rPr>
            </w:pPr>
            <w:r w:rsidRPr="00B12745">
              <w:rPr>
                <w:color w:val="000000" w:themeColor="text1"/>
              </w:rPr>
              <w:t>• Acquisition of goods and services for the program participant is pursued via procurement to avoid issues on liquidation, and expedite utilization.</w:t>
            </w:r>
            <w:r w:rsidRPr="00B12745">
              <w:rPr>
                <w:color w:val="000000" w:themeColor="text1"/>
              </w:rPr>
              <w:br/>
              <w:t>o Strategy: acquisition of such will be done by the SLPA via community procurement, governed by existing procurement laws.</w:t>
            </w:r>
            <w:r w:rsidRPr="00B12745">
              <w:rPr>
                <w:color w:val="000000" w:themeColor="text1"/>
              </w:rPr>
              <w:br/>
              <w:t>o Guidelines for FO XI refer</w:t>
            </w:r>
            <w:r w:rsidR="004F1E00">
              <w:rPr>
                <w:color w:val="000000" w:themeColor="text1"/>
              </w:rPr>
              <w:t>ence: MC 13, MC 5, JMC 2015-003</w:t>
            </w:r>
          </w:p>
          <w:p w14:paraId="444C84CC" w14:textId="77777777" w:rsidR="00B57F17" w:rsidRPr="00B12745" w:rsidRDefault="00B57F17">
            <w:pPr>
              <w:rPr>
                <w:color w:val="000000" w:themeColor="text1"/>
              </w:rPr>
            </w:pPr>
          </w:p>
        </w:tc>
      </w:tr>
      <w:tr w:rsidR="00B57F17" w:rsidRPr="00B12745" w14:paraId="481C6B85" w14:textId="77777777" w:rsidTr="00B57F17">
        <w:trPr>
          <w:trHeight w:val="77"/>
        </w:trPr>
        <w:tc>
          <w:tcPr>
            <w:tcW w:w="550" w:type="dxa"/>
            <w:hideMark/>
          </w:tcPr>
          <w:p w14:paraId="7308085B" w14:textId="6061D7F8" w:rsidR="00B57F17" w:rsidRPr="00B12745" w:rsidRDefault="00B57F17">
            <w:pPr>
              <w:rPr>
                <w:color w:val="000000" w:themeColor="text1"/>
              </w:rPr>
            </w:pPr>
          </w:p>
        </w:tc>
        <w:tc>
          <w:tcPr>
            <w:tcW w:w="2258" w:type="dxa"/>
            <w:hideMark/>
          </w:tcPr>
          <w:p w14:paraId="1F90F6A3" w14:textId="5E45C2F2" w:rsidR="00B57F17" w:rsidRPr="00B12745" w:rsidRDefault="00B57F17">
            <w:pPr>
              <w:rPr>
                <w:color w:val="000000" w:themeColor="text1"/>
              </w:rPr>
            </w:pPr>
          </w:p>
        </w:tc>
        <w:tc>
          <w:tcPr>
            <w:tcW w:w="6570" w:type="dxa"/>
            <w:hideMark/>
          </w:tcPr>
          <w:p w14:paraId="0C8ECF95" w14:textId="1551CDCF" w:rsidR="00B57F17" w:rsidRDefault="00B57F17">
            <w:pPr>
              <w:rPr>
                <w:color w:val="000000" w:themeColor="text1"/>
              </w:rPr>
            </w:pPr>
            <w:r w:rsidRPr="00B12745">
              <w:rPr>
                <w:color w:val="000000" w:themeColor="text1"/>
              </w:rPr>
              <w:t>• FO XI Management Committee will discuss fiduciary guidelines of SLP to discuss the scope and limitation of each modality vis-à-vis mode of disbursement.</w:t>
            </w:r>
          </w:p>
          <w:p w14:paraId="563A16C9" w14:textId="77777777" w:rsidR="00B57F17" w:rsidRPr="00B12745" w:rsidRDefault="00B57F17">
            <w:pPr>
              <w:rPr>
                <w:color w:val="000000" w:themeColor="text1"/>
              </w:rPr>
            </w:pPr>
          </w:p>
        </w:tc>
      </w:tr>
      <w:tr w:rsidR="00B57F17" w:rsidRPr="00B12745" w14:paraId="1C7B5958" w14:textId="77777777" w:rsidTr="00B57F17">
        <w:trPr>
          <w:trHeight w:val="1800"/>
        </w:trPr>
        <w:tc>
          <w:tcPr>
            <w:tcW w:w="550" w:type="dxa"/>
            <w:hideMark/>
          </w:tcPr>
          <w:p w14:paraId="0555A669" w14:textId="77777777" w:rsidR="00B57F17" w:rsidRPr="00B12745" w:rsidRDefault="00B57F17">
            <w:pPr>
              <w:rPr>
                <w:color w:val="000000" w:themeColor="text1"/>
              </w:rPr>
            </w:pPr>
            <w:r w:rsidRPr="00B12745">
              <w:rPr>
                <w:color w:val="000000" w:themeColor="text1"/>
              </w:rPr>
              <w:t>XI</w:t>
            </w:r>
          </w:p>
        </w:tc>
        <w:tc>
          <w:tcPr>
            <w:tcW w:w="2258" w:type="dxa"/>
            <w:hideMark/>
          </w:tcPr>
          <w:p w14:paraId="7295305F" w14:textId="77777777" w:rsidR="00B57F17" w:rsidRPr="00B12745" w:rsidRDefault="00B57F17">
            <w:pPr>
              <w:rPr>
                <w:color w:val="000000" w:themeColor="text1"/>
              </w:rPr>
            </w:pPr>
            <w:r w:rsidRPr="00B12745">
              <w:rPr>
                <w:color w:val="000000" w:themeColor="text1"/>
              </w:rPr>
              <w:t>2015 Context</w:t>
            </w:r>
          </w:p>
        </w:tc>
        <w:tc>
          <w:tcPr>
            <w:tcW w:w="6570" w:type="dxa"/>
            <w:hideMark/>
          </w:tcPr>
          <w:p w14:paraId="20D85E0F" w14:textId="77777777" w:rsidR="0006366F" w:rsidRDefault="00B57F17">
            <w:pPr>
              <w:rPr>
                <w:color w:val="000000" w:themeColor="text1"/>
              </w:rPr>
            </w:pPr>
            <w:r w:rsidRPr="00B12745">
              <w:rPr>
                <w:color w:val="000000" w:themeColor="text1"/>
              </w:rPr>
              <w:t xml:space="preserve">• Late downloading/liquidating </w:t>
            </w:r>
            <w:r w:rsidR="004F1E00">
              <w:rPr>
                <w:color w:val="000000" w:themeColor="text1"/>
              </w:rPr>
              <w:t>of Typhoon Pablo and BUB funds</w:t>
            </w:r>
            <w:r w:rsidR="004F1E00">
              <w:rPr>
                <w:color w:val="000000" w:themeColor="text1"/>
              </w:rPr>
              <w:br w:type="page"/>
              <w:t>;</w:t>
            </w:r>
            <w:r w:rsidRPr="00B12745">
              <w:rPr>
                <w:color w:val="000000" w:themeColor="text1"/>
              </w:rPr>
              <w:t xml:space="preserve"> BUB Funds were downloade</w:t>
            </w:r>
            <w:r w:rsidR="004F1E00">
              <w:rPr>
                <w:color w:val="000000" w:themeColor="text1"/>
              </w:rPr>
              <w:t>d to the FO with out proposals</w:t>
            </w:r>
            <w:r w:rsidR="004F1E00">
              <w:rPr>
                <w:color w:val="000000" w:themeColor="text1"/>
              </w:rPr>
              <w:br w:type="page"/>
              <w:t>;</w:t>
            </w:r>
            <w:r w:rsidRPr="00B12745">
              <w:rPr>
                <w:color w:val="000000" w:themeColor="text1"/>
              </w:rPr>
              <w:t xml:space="preserve"> Proposals needed to be drafted by PDOs </w:t>
            </w:r>
            <w:r w:rsidR="0006366F">
              <w:rPr>
                <w:color w:val="000000" w:themeColor="text1"/>
              </w:rPr>
              <w:t>be</w:t>
            </w:r>
            <w:r w:rsidR="004F1E00">
              <w:rPr>
                <w:color w:val="000000" w:themeColor="text1"/>
              </w:rPr>
              <w:t>came difficult</w:t>
            </w:r>
            <w:r w:rsidRPr="00B12745">
              <w:rPr>
                <w:color w:val="000000" w:themeColor="text1"/>
              </w:rPr>
              <w:t xml:space="preserve"> </w:t>
            </w:r>
            <w:r w:rsidR="004F1E00">
              <w:rPr>
                <w:color w:val="000000" w:themeColor="text1"/>
              </w:rPr>
              <w:t>due to political interference</w:t>
            </w:r>
            <w:r w:rsidR="004F1E00">
              <w:rPr>
                <w:color w:val="000000" w:themeColor="text1"/>
              </w:rPr>
              <w:br w:type="page"/>
              <w:t>;</w:t>
            </w:r>
            <w:r w:rsidR="0006366F">
              <w:rPr>
                <w:color w:val="000000" w:themeColor="text1"/>
              </w:rPr>
              <w:t xml:space="preserve"> </w:t>
            </w:r>
            <w:r w:rsidRPr="00B12745">
              <w:rPr>
                <w:color w:val="000000" w:themeColor="text1"/>
              </w:rPr>
              <w:t>Typhoon</w:t>
            </w:r>
            <w:r w:rsidR="004F1E00">
              <w:rPr>
                <w:color w:val="000000" w:themeColor="text1"/>
              </w:rPr>
              <w:t xml:space="preserve"> </w:t>
            </w:r>
            <w:r w:rsidRPr="00B12745">
              <w:rPr>
                <w:color w:val="000000" w:themeColor="text1"/>
              </w:rPr>
              <w:t>Pablo Funds amounting to approximately Php 211M were only downloaded mid-year and needed to be utilized before year-end.</w:t>
            </w:r>
            <w:r w:rsidRPr="00B12745">
              <w:rPr>
                <w:color w:val="000000" w:themeColor="text1"/>
              </w:rPr>
              <w:br w:type="page"/>
            </w:r>
          </w:p>
          <w:p w14:paraId="50C3AE6A" w14:textId="77777777" w:rsidR="0006366F" w:rsidRDefault="00B57F17">
            <w:pPr>
              <w:rPr>
                <w:color w:val="000000" w:themeColor="text1"/>
              </w:rPr>
            </w:pPr>
            <w:r w:rsidRPr="00B12745">
              <w:rPr>
                <w:color w:val="000000" w:themeColor="text1"/>
              </w:rPr>
              <w:t>• Now, however, most are already either for implementation or liquidation (2016)</w:t>
            </w:r>
            <w:r w:rsidRPr="00B12745">
              <w:rPr>
                <w:color w:val="000000" w:themeColor="text1"/>
              </w:rPr>
              <w:br w:type="page"/>
            </w:r>
          </w:p>
          <w:p w14:paraId="5DBE313D" w14:textId="7E070680" w:rsidR="00B57F17" w:rsidRDefault="00B57F17">
            <w:pPr>
              <w:rPr>
                <w:color w:val="000000" w:themeColor="text1"/>
              </w:rPr>
            </w:pPr>
            <w:r w:rsidRPr="00B12745">
              <w:rPr>
                <w:color w:val="000000" w:themeColor="text1"/>
              </w:rPr>
              <w:t>• 2015 was characterized by the term “Damage Control"</w:t>
            </w:r>
          </w:p>
          <w:p w14:paraId="683A74D0" w14:textId="77777777" w:rsidR="00B57F17" w:rsidRPr="00B12745" w:rsidRDefault="00B57F17">
            <w:pPr>
              <w:rPr>
                <w:color w:val="000000" w:themeColor="text1"/>
              </w:rPr>
            </w:pPr>
          </w:p>
        </w:tc>
      </w:tr>
      <w:tr w:rsidR="00B57F17" w:rsidRPr="00B12745" w14:paraId="44713BCF" w14:textId="77777777" w:rsidTr="00B57F17">
        <w:trPr>
          <w:trHeight w:val="900"/>
        </w:trPr>
        <w:tc>
          <w:tcPr>
            <w:tcW w:w="550" w:type="dxa"/>
            <w:hideMark/>
          </w:tcPr>
          <w:p w14:paraId="431F3C44" w14:textId="1B36671A" w:rsidR="00B57F17" w:rsidRPr="00B12745" w:rsidRDefault="00B57F17">
            <w:pPr>
              <w:rPr>
                <w:color w:val="000000" w:themeColor="text1"/>
              </w:rPr>
            </w:pPr>
          </w:p>
        </w:tc>
        <w:tc>
          <w:tcPr>
            <w:tcW w:w="2258" w:type="dxa"/>
            <w:hideMark/>
          </w:tcPr>
          <w:p w14:paraId="651920CE" w14:textId="3F399C81" w:rsidR="00B57F17" w:rsidRPr="00B12745" w:rsidRDefault="00B57F17">
            <w:pPr>
              <w:rPr>
                <w:color w:val="000000" w:themeColor="text1"/>
              </w:rPr>
            </w:pPr>
          </w:p>
        </w:tc>
        <w:tc>
          <w:tcPr>
            <w:tcW w:w="6570" w:type="dxa"/>
            <w:hideMark/>
          </w:tcPr>
          <w:p w14:paraId="6473CE25" w14:textId="1E8D5B1E" w:rsidR="00B57F17" w:rsidRDefault="00B57F17">
            <w:pPr>
              <w:rPr>
                <w:color w:val="000000" w:themeColor="text1"/>
              </w:rPr>
            </w:pPr>
            <w:r>
              <w:rPr>
                <w:color w:val="000000" w:themeColor="text1"/>
              </w:rPr>
              <w:t>1.</w:t>
            </w:r>
            <w:r w:rsidRPr="00B12745">
              <w:rPr>
                <w:color w:val="000000" w:themeColor="text1"/>
              </w:rPr>
              <w:t xml:space="preserve"> Implications of the alleged “Damage Control”</w:t>
            </w:r>
            <w:r w:rsidRPr="00B12745">
              <w:rPr>
                <w:color w:val="000000" w:themeColor="text1"/>
              </w:rPr>
              <w:br/>
              <w:t>o Procurement was used instead of CAP</w:t>
            </w:r>
            <w:r w:rsidRPr="00B12745">
              <w:rPr>
                <w:color w:val="000000" w:themeColor="text1"/>
              </w:rPr>
              <w:br/>
              <w:t>o Technical requirements for the project’s feasibility in terms of implementation was overlooked</w:t>
            </w:r>
          </w:p>
          <w:p w14:paraId="45D22996" w14:textId="77777777" w:rsidR="00B57F17" w:rsidRPr="00B12745" w:rsidRDefault="00B57F17">
            <w:pPr>
              <w:rPr>
                <w:color w:val="000000" w:themeColor="text1"/>
              </w:rPr>
            </w:pPr>
          </w:p>
        </w:tc>
      </w:tr>
      <w:tr w:rsidR="00B57F17" w:rsidRPr="00B12745" w14:paraId="25AE9970" w14:textId="77777777" w:rsidTr="00B57F17">
        <w:trPr>
          <w:trHeight w:val="87"/>
        </w:trPr>
        <w:tc>
          <w:tcPr>
            <w:tcW w:w="550" w:type="dxa"/>
            <w:hideMark/>
          </w:tcPr>
          <w:p w14:paraId="471050BC" w14:textId="77777777" w:rsidR="00B57F17" w:rsidRPr="00B12745" w:rsidRDefault="00B57F17">
            <w:pPr>
              <w:rPr>
                <w:color w:val="000000" w:themeColor="text1"/>
              </w:rPr>
            </w:pPr>
            <w:r w:rsidRPr="00B12745">
              <w:rPr>
                <w:color w:val="000000" w:themeColor="text1"/>
              </w:rPr>
              <w:t>XI</w:t>
            </w:r>
          </w:p>
        </w:tc>
        <w:tc>
          <w:tcPr>
            <w:tcW w:w="2258" w:type="dxa"/>
            <w:hideMark/>
          </w:tcPr>
          <w:p w14:paraId="189C18CB" w14:textId="77777777" w:rsidR="00B57F17" w:rsidRPr="00B12745" w:rsidRDefault="00B57F17">
            <w:pPr>
              <w:rPr>
                <w:color w:val="000000" w:themeColor="text1"/>
              </w:rPr>
            </w:pPr>
            <w:r w:rsidRPr="00B12745">
              <w:rPr>
                <w:color w:val="000000" w:themeColor="text1"/>
              </w:rPr>
              <w:t>Other Challenges</w:t>
            </w:r>
          </w:p>
        </w:tc>
        <w:tc>
          <w:tcPr>
            <w:tcW w:w="6570" w:type="dxa"/>
            <w:hideMark/>
          </w:tcPr>
          <w:p w14:paraId="49B84B3D" w14:textId="6A750B0C" w:rsidR="00B57F17" w:rsidRDefault="00B57F17">
            <w:pPr>
              <w:rPr>
                <w:color w:val="000000" w:themeColor="text1"/>
              </w:rPr>
            </w:pPr>
            <w:r w:rsidRPr="00B12745">
              <w:rPr>
                <w:color w:val="000000" w:themeColor="text1"/>
              </w:rPr>
              <w:t>Incoming Election</w:t>
            </w:r>
          </w:p>
          <w:p w14:paraId="58E85425" w14:textId="77777777" w:rsidR="00B57F17" w:rsidRPr="00B12745" w:rsidRDefault="00B57F17">
            <w:pPr>
              <w:rPr>
                <w:color w:val="000000" w:themeColor="text1"/>
              </w:rPr>
            </w:pPr>
          </w:p>
        </w:tc>
      </w:tr>
      <w:tr w:rsidR="005026FA" w:rsidRPr="00B57F17" w14:paraId="6D5BFA6A" w14:textId="77777777" w:rsidTr="005026FA">
        <w:trPr>
          <w:trHeight w:val="359"/>
        </w:trPr>
        <w:tc>
          <w:tcPr>
            <w:tcW w:w="9378" w:type="dxa"/>
            <w:gridSpan w:val="3"/>
            <w:tcBorders>
              <w:top w:val="dashed" w:sz="4" w:space="0" w:color="auto"/>
            </w:tcBorders>
          </w:tcPr>
          <w:p w14:paraId="499ED4F1" w14:textId="77777777" w:rsidR="005026FA" w:rsidRPr="00B57F17" w:rsidRDefault="005026FA">
            <w:pPr>
              <w:rPr>
                <w:b/>
                <w:color w:val="000000" w:themeColor="text1"/>
              </w:rPr>
            </w:pPr>
          </w:p>
        </w:tc>
      </w:tr>
      <w:tr w:rsidR="00B57F17" w:rsidRPr="00B57F17" w14:paraId="7924DD01" w14:textId="77777777" w:rsidTr="005026FA">
        <w:trPr>
          <w:trHeight w:val="359"/>
        </w:trPr>
        <w:tc>
          <w:tcPr>
            <w:tcW w:w="9378" w:type="dxa"/>
            <w:gridSpan w:val="3"/>
            <w:tcBorders>
              <w:bottom w:val="single" w:sz="4" w:space="0" w:color="auto"/>
            </w:tcBorders>
          </w:tcPr>
          <w:p w14:paraId="38F4471B" w14:textId="7A55A6A3" w:rsidR="00B57F17" w:rsidRPr="00B57F17" w:rsidRDefault="00B57F17">
            <w:pPr>
              <w:rPr>
                <w:b/>
                <w:color w:val="000000" w:themeColor="text1"/>
              </w:rPr>
            </w:pPr>
            <w:r w:rsidRPr="00B57F17">
              <w:rPr>
                <w:b/>
                <w:color w:val="000000" w:themeColor="text1"/>
              </w:rPr>
              <w:t>Thrust and Priority: Program Enhancement</w:t>
            </w:r>
          </w:p>
        </w:tc>
      </w:tr>
      <w:tr w:rsidR="00B57F17" w:rsidRPr="00B12745" w14:paraId="37F741E5" w14:textId="77777777" w:rsidTr="00B57F17">
        <w:trPr>
          <w:trHeight w:val="2700"/>
        </w:trPr>
        <w:tc>
          <w:tcPr>
            <w:tcW w:w="550" w:type="dxa"/>
            <w:tcBorders>
              <w:top w:val="single" w:sz="4" w:space="0" w:color="auto"/>
            </w:tcBorders>
            <w:hideMark/>
          </w:tcPr>
          <w:p w14:paraId="103F6AD4" w14:textId="77777777" w:rsidR="00B57F17" w:rsidRPr="00B12745" w:rsidRDefault="00B57F17">
            <w:pPr>
              <w:rPr>
                <w:color w:val="000000" w:themeColor="text1"/>
              </w:rPr>
            </w:pPr>
            <w:r w:rsidRPr="00B12745">
              <w:rPr>
                <w:color w:val="000000" w:themeColor="text1"/>
              </w:rPr>
              <w:t>XI</w:t>
            </w:r>
          </w:p>
        </w:tc>
        <w:tc>
          <w:tcPr>
            <w:tcW w:w="2258" w:type="dxa"/>
            <w:tcBorders>
              <w:top w:val="single" w:sz="4" w:space="0" w:color="auto"/>
            </w:tcBorders>
            <w:hideMark/>
          </w:tcPr>
          <w:p w14:paraId="3D1DC5B4" w14:textId="77777777" w:rsidR="00B57F17" w:rsidRPr="00B12745" w:rsidRDefault="00B57F17">
            <w:pPr>
              <w:rPr>
                <w:color w:val="000000" w:themeColor="text1"/>
              </w:rPr>
            </w:pPr>
            <w:r w:rsidRPr="00B12745">
              <w:rPr>
                <w:color w:val="000000" w:themeColor="text1"/>
              </w:rPr>
              <w:t>Employment Facilitation</w:t>
            </w:r>
          </w:p>
        </w:tc>
        <w:tc>
          <w:tcPr>
            <w:tcW w:w="6570" w:type="dxa"/>
            <w:tcBorders>
              <w:top w:val="single" w:sz="4" w:space="0" w:color="auto"/>
            </w:tcBorders>
            <w:hideMark/>
          </w:tcPr>
          <w:p w14:paraId="387961BC" w14:textId="77777777" w:rsidR="00B57F17" w:rsidRDefault="00B57F17">
            <w:pPr>
              <w:rPr>
                <w:color w:val="000000" w:themeColor="text1"/>
              </w:rPr>
            </w:pPr>
            <w:r w:rsidRPr="00B12745">
              <w:rPr>
                <w:color w:val="000000" w:themeColor="text1"/>
              </w:rPr>
              <w:t>• In terms of the modalities for EF, the following was clarified.</w:t>
            </w:r>
            <w:r w:rsidRPr="00B12745">
              <w:rPr>
                <w:color w:val="000000" w:themeColor="text1"/>
              </w:rPr>
              <w:br/>
              <w:t>o PEAF cannot be used to obtain starter-kits, but it may be used for purchasing items required by the employer if it cannot be covered by the employer or other sources</w:t>
            </w:r>
            <w:r w:rsidRPr="00B12745">
              <w:rPr>
                <w:color w:val="000000" w:themeColor="text1"/>
              </w:rPr>
              <w:br/>
              <w:t>o The additional Php 10,000.00 in the Enhanced Skills Training parameter is meant for the empowering of participants, whereby sustaining the initial intervention.</w:t>
            </w:r>
            <w:r w:rsidRPr="00B12745">
              <w:rPr>
                <w:color w:val="000000" w:themeColor="text1"/>
              </w:rPr>
              <w:br/>
              <w:t>• Though CBLA has been communicated as an EF accomplishment, FO XI refuses to count such due to its lack of sustainability.</w:t>
            </w:r>
            <w:r w:rsidRPr="00B12745">
              <w:rPr>
                <w:color w:val="000000" w:themeColor="text1"/>
              </w:rPr>
              <w:br/>
              <w:t>o FO XI recommends its charging and accomplishment against MD only.</w:t>
            </w:r>
            <w:r w:rsidRPr="00B12745">
              <w:rPr>
                <w:color w:val="000000" w:themeColor="text1"/>
              </w:rPr>
              <w:br/>
              <w:t>o The modality will be part of the items to be tackled in the Omnibus Guidelines Workshop.</w:t>
            </w:r>
          </w:p>
          <w:p w14:paraId="54DAEFA8" w14:textId="42E6AA09" w:rsidR="00B57F17" w:rsidRPr="00B12745" w:rsidRDefault="00B57F17">
            <w:pPr>
              <w:rPr>
                <w:color w:val="000000" w:themeColor="text1"/>
              </w:rPr>
            </w:pPr>
          </w:p>
        </w:tc>
      </w:tr>
      <w:tr w:rsidR="00B57F17" w:rsidRPr="00B12745" w14:paraId="656B4729" w14:textId="77777777" w:rsidTr="00B57F17">
        <w:trPr>
          <w:trHeight w:val="2400"/>
        </w:trPr>
        <w:tc>
          <w:tcPr>
            <w:tcW w:w="550" w:type="dxa"/>
            <w:hideMark/>
          </w:tcPr>
          <w:p w14:paraId="23A7D213" w14:textId="25F9FDF6" w:rsidR="00B57F17" w:rsidRPr="00B12745" w:rsidRDefault="00B57F17">
            <w:pPr>
              <w:rPr>
                <w:color w:val="000000" w:themeColor="text1"/>
              </w:rPr>
            </w:pPr>
          </w:p>
        </w:tc>
        <w:tc>
          <w:tcPr>
            <w:tcW w:w="2258" w:type="dxa"/>
            <w:hideMark/>
          </w:tcPr>
          <w:p w14:paraId="5211F081" w14:textId="5DE79DE3" w:rsidR="00B57F17" w:rsidRPr="00B12745" w:rsidRDefault="00B57F17">
            <w:pPr>
              <w:rPr>
                <w:color w:val="000000" w:themeColor="text1"/>
              </w:rPr>
            </w:pPr>
          </w:p>
        </w:tc>
        <w:tc>
          <w:tcPr>
            <w:tcW w:w="6570" w:type="dxa"/>
            <w:hideMark/>
          </w:tcPr>
          <w:p w14:paraId="23A7332E" w14:textId="77777777" w:rsidR="00B57F17" w:rsidRDefault="00B57F17">
            <w:pPr>
              <w:rPr>
                <w:color w:val="000000" w:themeColor="text1"/>
              </w:rPr>
            </w:pPr>
            <w:r w:rsidRPr="00B12745">
              <w:rPr>
                <w:color w:val="000000" w:themeColor="text1"/>
              </w:rPr>
              <w:t>• Employment facilitation strategies that have been outlined by the FO XI are the following.</w:t>
            </w:r>
            <w:r w:rsidRPr="00B12745">
              <w:rPr>
                <w:color w:val="000000" w:themeColor="text1"/>
              </w:rPr>
              <w:br/>
              <w:t>o It was clarified that served families may still be penetrated if not all individuals are served.</w:t>
            </w:r>
            <w:r w:rsidRPr="00B12745">
              <w:rPr>
                <w:color w:val="000000" w:themeColor="text1"/>
              </w:rPr>
              <w:br/>
              <w:t>o Partner employer requirements will serve as basis for the EF intervention, whereby grooming the participants to meet employer KSA standards.</w:t>
            </w:r>
            <w:r w:rsidRPr="00B12745">
              <w:rPr>
                <w:color w:val="000000" w:themeColor="text1"/>
              </w:rPr>
              <w:br/>
              <w:t>o Transport (c/o FO) participants to Davao City for training; board and lodging charged to Skills Training Fund (EF)</w:t>
            </w:r>
            <w:r w:rsidRPr="00B12745">
              <w:rPr>
                <w:color w:val="000000" w:themeColor="text1"/>
              </w:rPr>
              <w:br/>
              <w:t>o Barangay Job Fairs</w:t>
            </w:r>
          </w:p>
          <w:p w14:paraId="7AFD708B" w14:textId="77777777" w:rsidR="00B57F17" w:rsidRPr="00B12745" w:rsidRDefault="00B57F17">
            <w:pPr>
              <w:rPr>
                <w:color w:val="000000" w:themeColor="text1"/>
              </w:rPr>
            </w:pPr>
          </w:p>
        </w:tc>
      </w:tr>
      <w:tr w:rsidR="00B57F17" w:rsidRPr="00B12745" w14:paraId="4407E56E" w14:textId="77777777" w:rsidTr="00B57F17">
        <w:trPr>
          <w:trHeight w:val="900"/>
        </w:trPr>
        <w:tc>
          <w:tcPr>
            <w:tcW w:w="550" w:type="dxa"/>
            <w:hideMark/>
          </w:tcPr>
          <w:p w14:paraId="5F95D8A5" w14:textId="77777777" w:rsidR="00B57F17" w:rsidRPr="00B12745" w:rsidRDefault="00B57F17">
            <w:pPr>
              <w:rPr>
                <w:color w:val="000000" w:themeColor="text1"/>
              </w:rPr>
            </w:pPr>
            <w:r w:rsidRPr="00B12745">
              <w:rPr>
                <w:color w:val="000000" w:themeColor="text1"/>
              </w:rPr>
              <w:t>XI</w:t>
            </w:r>
          </w:p>
        </w:tc>
        <w:tc>
          <w:tcPr>
            <w:tcW w:w="2258" w:type="dxa"/>
            <w:hideMark/>
          </w:tcPr>
          <w:p w14:paraId="60600DB9" w14:textId="77777777" w:rsidR="00B57F17" w:rsidRPr="00B12745" w:rsidRDefault="00B57F17">
            <w:pPr>
              <w:rPr>
                <w:color w:val="000000" w:themeColor="text1"/>
              </w:rPr>
            </w:pPr>
            <w:r w:rsidRPr="00B12745">
              <w:rPr>
                <w:color w:val="000000" w:themeColor="text1"/>
              </w:rPr>
              <w:t>Other Challenges</w:t>
            </w:r>
          </w:p>
        </w:tc>
        <w:tc>
          <w:tcPr>
            <w:tcW w:w="6570" w:type="dxa"/>
            <w:hideMark/>
          </w:tcPr>
          <w:p w14:paraId="606322EE" w14:textId="2735B995" w:rsidR="00B57F17" w:rsidRDefault="00B57F17">
            <w:pPr>
              <w:rPr>
                <w:color w:val="000000" w:themeColor="text1"/>
              </w:rPr>
            </w:pPr>
            <w:r w:rsidRPr="00B12745">
              <w:rPr>
                <w:color w:val="000000" w:themeColor="text1"/>
              </w:rPr>
              <w:t xml:space="preserve">Utilizing the Php 24B El Nino Funds. </w:t>
            </w:r>
            <w:r w:rsidRPr="00B12745">
              <w:rPr>
                <w:color w:val="000000" w:themeColor="text1"/>
              </w:rPr>
              <w:br/>
              <w:t>a. The FO XI has yet to plan for the implementation of SLP activities</w:t>
            </w:r>
            <w:r w:rsidRPr="00B12745">
              <w:rPr>
                <w:color w:val="000000" w:themeColor="text1"/>
              </w:rPr>
              <w:br/>
              <w:t>b. Purchasing and inn keeping of flora and fauna must be scheduled properly; weather patterns subject purchases to perishing</w:t>
            </w:r>
          </w:p>
          <w:p w14:paraId="4A500F9D" w14:textId="77777777" w:rsidR="00B57F17" w:rsidRPr="00B12745" w:rsidRDefault="00B57F17">
            <w:pPr>
              <w:rPr>
                <w:color w:val="000000" w:themeColor="text1"/>
              </w:rPr>
            </w:pPr>
          </w:p>
        </w:tc>
      </w:tr>
      <w:tr w:rsidR="00B57F17" w:rsidRPr="00B57F17" w14:paraId="75E2C5E5" w14:textId="77777777" w:rsidTr="00B57F17">
        <w:trPr>
          <w:trHeight w:val="305"/>
        </w:trPr>
        <w:tc>
          <w:tcPr>
            <w:tcW w:w="9378" w:type="dxa"/>
            <w:gridSpan w:val="3"/>
            <w:tcBorders>
              <w:top w:val="dashed" w:sz="4" w:space="0" w:color="auto"/>
            </w:tcBorders>
          </w:tcPr>
          <w:p w14:paraId="3DE784E9" w14:textId="77777777" w:rsidR="00B57F17" w:rsidRDefault="00B57F17">
            <w:pPr>
              <w:rPr>
                <w:b/>
                <w:color w:val="000000" w:themeColor="text1"/>
              </w:rPr>
            </w:pPr>
          </w:p>
        </w:tc>
      </w:tr>
    </w:tbl>
    <w:p w14:paraId="5916EC5C" w14:textId="430977C4" w:rsidR="00A3550C" w:rsidRDefault="00A3550C" w:rsidP="00C14994">
      <w:pPr>
        <w:rPr>
          <w:color w:val="000000" w:themeColor="text1"/>
        </w:rPr>
      </w:pPr>
    </w:p>
    <w:p w14:paraId="0C209593" w14:textId="77777777" w:rsidR="00A3550C" w:rsidRDefault="00A3550C" w:rsidP="00C14994">
      <w:pPr>
        <w:rPr>
          <w:color w:val="000000" w:themeColor="text1"/>
        </w:rPr>
      </w:pPr>
    </w:p>
    <w:p w14:paraId="0D9039E8" w14:textId="77777777" w:rsidR="00B769BA" w:rsidRDefault="00B769BA" w:rsidP="00C14994">
      <w:pPr>
        <w:rPr>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2"/>
      </w:tblGrid>
      <w:tr w:rsidR="00636B73" w14:paraId="60A97A35" w14:textId="77777777" w:rsidTr="00636B73">
        <w:tc>
          <w:tcPr>
            <w:tcW w:w="4621" w:type="dxa"/>
          </w:tcPr>
          <w:p w14:paraId="710A208A" w14:textId="77777777" w:rsidR="00636B73" w:rsidRDefault="00636B73" w:rsidP="00C14994">
            <w:pPr>
              <w:jc w:val="center"/>
              <w:rPr>
                <w:color w:val="000000" w:themeColor="text1"/>
              </w:rPr>
            </w:pPr>
            <w:r>
              <w:rPr>
                <w:color w:val="000000" w:themeColor="text1"/>
              </w:rPr>
              <w:t>Prepared by</w:t>
            </w:r>
          </w:p>
          <w:p w14:paraId="2C8F553B" w14:textId="77777777" w:rsidR="00636B73" w:rsidRDefault="00636B73" w:rsidP="00C14994">
            <w:pPr>
              <w:jc w:val="center"/>
              <w:rPr>
                <w:color w:val="000000" w:themeColor="text1"/>
              </w:rPr>
            </w:pPr>
          </w:p>
        </w:tc>
        <w:tc>
          <w:tcPr>
            <w:tcW w:w="4622" w:type="dxa"/>
          </w:tcPr>
          <w:p w14:paraId="11C57F18" w14:textId="71CD56B4" w:rsidR="00636B73" w:rsidRDefault="004F1E00" w:rsidP="00C14994">
            <w:pPr>
              <w:jc w:val="center"/>
              <w:rPr>
                <w:color w:val="000000" w:themeColor="text1"/>
              </w:rPr>
            </w:pPr>
            <w:r>
              <w:rPr>
                <w:color w:val="000000" w:themeColor="text1"/>
              </w:rPr>
              <w:t xml:space="preserve">Noted </w:t>
            </w:r>
            <w:r w:rsidR="00636B73">
              <w:rPr>
                <w:color w:val="000000" w:themeColor="text1"/>
              </w:rPr>
              <w:t>by</w:t>
            </w:r>
          </w:p>
        </w:tc>
      </w:tr>
      <w:tr w:rsidR="00636B73" w:rsidRPr="00636B73" w14:paraId="7B638561" w14:textId="77777777" w:rsidTr="00636B73">
        <w:tc>
          <w:tcPr>
            <w:tcW w:w="4621" w:type="dxa"/>
          </w:tcPr>
          <w:p w14:paraId="042B3A05" w14:textId="77777777" w:rsidR="00636B73" w:rsidRDefault="00636B73" w:rsidP="00C14994">
            <w:pPr>
              <w:jc w:val="center"/>
              <w:rPr>
                <w:b/>
                <w:color w:val="000000" w:themeColor="text1"/>
              </w:rPr>
            </w:pPr>
            <w:r w:rsidRPr="00636B73">
              <w:rPr>
                <w:b/>
                <w:color w:val="000000" w:themeColor="text1"/>
              </w:rPr>
              <w:t>DAVID DANIEL P. PAGULAYAN</w:t>
            </w:r>
          </w:p>
          <w:p w14:paraId="60C22FD3" w14:textId="095D7543" w:rsidR="00E85A25" w:rsidRPr="00E85A25" w:rsidRDefault="00E85A25" w:rsidP="00C14994">
            <w:pPr>
              <w:jc w:val="center"/>
              <w:rPr>
                <w:color w:val="000000" w:themeColor="text1"/>
              </w:rPr>
            </w:pPr>
            <w:r>
              <w:rPr>
                <w:color w:val="000000" w:themeColor="text1"/>
              </w:rPr>
              <w:t>Regional Monitor</w:t>
            </w:r>
          </w:p>
        </w:tc>
        <w:tc>
          <w:tcPr>
            <w:tcW w:w="4622" w:type="dxa"/>
          </w:tcPr>
          <w:p w14:paraId="61683B98" w14:textId="77777777" w:rsidR="00636B73" w:rsidRDefault="00636B73" w:rsidP="00C14994">
            <w:pPr>
              <w:jc w:val="center"/>
              <w:rPr>
                <w:b/>
                <w:color w:val="000000" w:themeColor="text1"/>
              </w:rPr>
            </w:pPr>
            <w:r w:rsidRPr="00636B73">
              <w:rPr>
                <w:b/>
                <w:color w:val="000000" w:themeColor="text1"/>
              </w:rPr>
              <w:t>ALICIA B. BALACAOC</w:t>
            </w:r>
          </w:p>
          <w:p w14:paraId="14B19310" w14:textId="76C30F28" w:rsidR="00E85A25" w:rsidRPr="00E85A25" w:rsidRDefault="00E85A25" w:rsidP="00C14994">
            <w:pPr>
              <w:jc w:val="center"/>
              <w:rPr>
                <w:color w:val="000000" w:themeColor="text1"/>
              </w:rPr>
            </w:pPr>
            <w:r>
              <w:rPr>
                <w:color w:val="000000" w:themeColor="text1"/>
              </w:rPr>
              <w:t>Cluster Coordinator</w:t>
            </w:r>
          </w:p>
        </w:tc>
      </w:tr>
    </w:tbl>
    <w:p w14:paraId="3400DFC3" w14:textId="2D5F4626" w:rsidR="00686B58" w:rsidRDefault="00686B58" w:rsidP="00C14994">
      <w:pPr>
        <w:jc w:val="center"/>
        <w:rPr>
          <w:color w:val="000000" w:themeColor="text1"/>
        </w:rPr>
      </w:pPr>
    </w:p>
    <w:p w14:paraId="424409DE" w14:textId="49AA2ACD" w:rsidR="002D7B97" w:rsidRPr="00214DC4" w:rsidRDefault="002D7B97" w:rsidP="00241DBD">
      <w:pPr>
        <w:jc w:val="center"/>
        <w:rPr>
          <w:color w:val="000000" w:themeColor="text1"/>
        </w:rPr>
      </w:pPr>
      <w:r>
        <w:rPr>
          <w:color w:val="000000" w:themeColor="text1"/>
        </w:rPr>
        <w:br w:type="column"/>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3"/>
        <w:gridCol w:w="283"/>
        <w:gridCol w:w="7497"/>
      </w:tblGrid>
      <w:tr w:rsidR="002D7B97" w:rsidRPr="00443ADB" w14:paraId="3D9819DA" w14:textId="77777777" w:rsidTr="002D7B97">
        <w:tc>
          <w:tcPr>
            <w:tcW w:w="1458" w:type="dxa"/>
          </w:tcPr>
          <w:p w14:paraId="473B5387" w14:textId="77777777" w:rsidR="002D7B97" w:rsidRPr="00443ADB" w:rsidRDefault="002D7B97" w:rsidP="002D7B97">
            <w:pPr>
              <w:pStyle w:val="NoSpacing"/>
              <w:jc w:val="both"/>
              <w:rPr>
                <w:rFonts w:ascii="Times New Roman" w:eastAsia="Calibri" w:hAnsi="Times New Roman" w:cs="Times New Roman"/>
                <w:color w:val="000000" w:themeColor="text1"/>
              </w:rPr>
            </w:pPr>
            <w:r w:rsidRPr="00443ADB">
              <w:rPr>
                <w:rFonts w:ascii="Times New Roman" w:eastAsia="Calibri" w:hAnsi="Times New Roman" w:cs="Times New Roman"/>
                <w:color w:val="000000" w:themeColor="text1"/>
              </w:rPr>
              <w:t>FOR</w:t>
            </w:r>
          </w:p>
        </w:tc>
        <w:tc>
          <w:tcPr>
            <w:tcW w:w="283" w:type="dxa"/>
          </w:tcPr>
          <w:p w14:paraId="4A003FA1" w14:textId="77777777" w:rsidR="002D7B97" w:rsidRPr="00443ADB" w:rsidRDefault="002D7B97" w:rsidP="002D7B97">
            <w:pPr>
              <w:pStyle w:val="NoSpacing"/>
              <w:jc w:val="both"/>
              <w:rPr>
                <w:rFonts w:ascii="Times New Roman" w:eastAsia="Calibri" w:hAnsi="Times New Roman" w:cs="Times New Roman"/>
                <w:color w:val="000000" w:themeColor="text1"/>
              </w:rPr>
            </w:pPr>
            <w:r w:rsidRPr="00443ADB">
              <w:rPr>
                <w:rFonts w:ascii="Times New Roman" w:eastAsia="Calibri" w:hAnsi="Times New Roman" w:cs="Times New Roman"/>
                <w:color w:val="000000" w:themeColor="text1"/>
              </w:rPr>
              <w:t>:</w:t>
            </w:r>
          </w:p>
        </w:tc>
        <w:tc>
          <w:tcPr>
            <w:tcW w:w="7502" w:type="dxa"/>
          </w:tcPr>
          <w:p w14:paraId="0695D850" w14:textId="577D8F0A" w:rsidR="002D7B97" w:rsidRPr="00443ADB" w:rsidRDefault="002D7B97" w:rsidP="002D7B97">
            <w:pPr>
              <w:pStyle w:val="NoSpacing"/>
              <w:jc w:val="both"/>
              <w:rPr>
                <w:rFonts w:ascii="Times New Roman" w:eastAsia="Calibri" w:hAnsi="Times New Roman" w:cs="Times New Roman"/>
                <w:b/>
                <w:color w:val="000000" w:themeColor="text1"/>
              </w:rPr>
            </w:pPr>
            <w:r w:rsidRPr="002D7B97">
              <w:rPr>
                <w:rFonts w:ascii="Times New Roman" w:eastAsia="Calibri" w:hAnsi="Times New Roman" w:cs="Times New Roman"/>
                <w:b/>
                <w:color w:val="000000" w:themeColor="text1"/>
                <w:lang w:val="en-US"/>
              </w:rPr>
              <w:t>ARACELI F. SOLAMILLO</w:t>
            </w:r>
          </w:p>
        </w:tc>
      </w:tr>
      <w:tr w:rsidR="002D7B97" w:rsidRPr="00443ADB" w14:paraId="54F8090A" w14:textId="77777777" w:rsidTr="002D7B97">
        <w:tc>
          <w:tcPr>
            <w:tcW w:w="1458" w:type="dxa"/>
          </w:tcPr>
          <w:p w14:paraId="0F24A128" w14:textId="77777777" w:rsidR="002D7B97" w:rsidRPr="00443ADB" w:rsidRDefault="002D7B97" w:rsidP="002D7B97">
            <w:pPr>
              <w:pStyle w:val="NoSpacing"/>
              <w:jc w:val="both"/>
              <w:rPr>
                <w:rFonts w:ascii="Times New Roman" w:eastAsia="Calibri" w:hAnsi="Times New Roman" w:cs="Times New Roman"/>
                <w:color w:val="000000" w:themeColor="text1"/>
              </w:rPr>
            </w:pPr>
          </w:p>
        </w:tc>
        <w:tc>
          <w:tcPr>
            <w:tcW w:w="283" w:type="dxa"/>
          </w:tcPr>
          <w:p w14:paraId="0B4730A9" w14:textId="77777777" w:rsidR="002D7B97" w:rsidRPr="00443ADB" w:rsidRDefault="002D7B97" w:rsidP="002D7B97">
            <w:pPr>
              <w:pStyle w:val="NoSpacing"/>
              <w:jc w:val="both"/>
              <w:rPr>
                <w:rFonts w:ascii="Times New Roman" w:eastAsia="Calibri" w:hAnsi="Times New Roman" w:cs="Times New Roman"/>
                <w:color w:val="000000" w:themeColor="text1"/>
              </w:rPr>
            </w:pPr>
          </w:p>
        </w:tc>
        <w:tc>
          <w:tcPr>
            <w:tcW w:w="7502" w:type="dxa"/>
          </w:tcPr>
          <w:p w14:paraId="45226E8E" w14:textId="68D33D2C" w:rsidR="002D7B97" w:rsidRPr="00443ADB" w:rsidRDefault="002D7B97" w:rsidP="002D7B97">
            <w:pPr>
              <w:pStyle w:val="NoSpacing"/>
              <w:jc w:val="both"/>
              <w:rPr>
                <w:rFonts w:ascii="Times New Roman" w:eastAsia="Calibri" w:hAnsi="Times New Roman" w:cs="Times New Roman"/>
                <w:b/>
                <w:color w:val="000000" w:themeColor="text1"/>
              </w:rPr>
            </w:pPr>
            <w:r>
              <w:rPr>
                <w:rFonts w:ascii="Times New Roman" w:eastAsia="Calibri" w:hAnsi="Times New Roman" w:cs="Times New Roman"/>
                <w:color w:val="000000" w:themeColor="text1"/>
              </w:rPr>
              <w:t>Regional Director, Field Office IX</w:t>
            </w:r>
          </w:p>
        </w:tc>
      </w:tr>
      <w:tr w:rsidR="002D7B97" w:rsidRPr="00443ADB" w14:paraId="33CAC2D7" w14:textId="77777777" w:rsidTr="002D7B97">
        <w:tc>
          <w:tcPr>
            <w:tcW w:w="1458" w:type="dxa"/>
          </w:tcPr>
          <w:p w14:paraId="4A7F9B1A" w14:textId="77777777" w:rsidR="002D7B97" w:rsidRPr="00443ADB" w:rsidRDefault="002D7B97" w:rsidP="002D7B97">
            <w:pPr>
              <w:pStyle w:val="NoSpacing"/>
              <w:jc w:val="both"/>
              <w:rPr>
                <w:rFonts w:ascii="Times New Roman" w:eastAsia="Calibri" w:hAnsi="Times New Roman" w:cs="Times New Roman"/>
                <w:color w:val="000000" w:themeColor="text1"/>
              </w:rPr>
            </w:pPr>
          </w:p>
        </w:tc>
        <w:tc>
          <w:tcPr>
            <w:tcW w:w="283" w:type="dxa"/>
          </w:tcPr>
          <w:p w14:paraId="1C6DFF73" w14:textId="77777777" w:rsidR="002D7B97" w:rsidRPr="00443ADB" w:rsidRDefault="002D7B97" w:rsidP="002D7B97">
            <w:pPr>
              <w:pStyle w:val="NoSpacing"/>
              <w:jc w:val="both"/>
              <w:rPr>
                <w:rFonts w:ascii="Times New Roman" w:eastAsia="Calibri" w:hAnsi="Times New Roman" w:cs="Times New Roman"/>
                <w:color w:val="000000" w:themeColor="text1"/>
              </w:rPr>
            </w:pPr>
          </w:p>
        </w:tc>
        <w:tc>
          <w:tcPr>
            <w:tcW w:w="7502" w:type="dxa"/>
          </w:tcPr>
          <w:p w14:paraId="42EDB1CC" w14:textId="77777777" w:rsidR="002D7B97" w:rsidRPr="00443ADB" w:rsidRDefault="002D7B97" w:rsidP="002D7B97">
            <w:pPr>
              <w:pStyle w:val="NoSpacing"/>
              <w:jc w:val="both"/>
              <w:rPr>
                <w:rFonts w:ascii="Times New Roman" w:eastAsia="Calibri" w:hAnsi="Times New Roman" w:cs="Times New Roman"/>
                <w:color w:val="000000" w:themeColor="text1"/>
              </w:rPr>
            </w:pPr>
          </w:p>
        </w:tc>
      </w:tr>
      <w:tr w:rsidR="002D7B97" w:rsidRPr="00443ADB" w14:paraId="21D69C5E" w14:textId="77777777" w:rsidTr="002D7B97">
        <w:tc>
          <w:tcPr>
            <w:tcW w:w="1458" w:type="dxa"/>
          </w:tcPr>
          <w:p w14:paraId="04A182E2" w14:textId="77777777" w:rsidR="002D7B97" w:rsidRPr="00443ADB" w:rsidRDefault="002D7B97" w:rsidP="002D7B97">
            <w:pPr>
              <w:pStyle w:val="NoSpacing"/>
              <w:jc w:val="both"/>
              <w:rPr>
                <w:rFonts w:ascii="Times New Roman" w:eastAsia="Calibri" w:hAnsi="Times New Roman" w:cs="Times New Roman"/>
                <w:color w:val="000000" w:themeColor="text1"/>
              </w:rPr>
            </w:pPr>
            <w:r>
              <w:rPr>
                <w:rFonts w:ascii="Times New Roman" w:eastAsia="Calibri" w:hAnsi="Times New Roman" w:cs="Times New Roman"/>
                <w:color w:val="000000" w:themeColor="text1"/>
              </w:rPr>
              <w:t>ATTENTION</w:t>
            </w:r>
          </w:p>
        </w:tc>
        <w:tc>
          <w:tcPr>
            <w:tcW w:w="283" w:type="dxa"/>
          </w:tcPr>
          <w:p w14:paraId="4326C43C" w14:textId="77777777" w:rsidR="002D7B97" w:rsidRPr="00443ADB" w:rsidRDefault="002D7B97" w:rsidP="002D7B97">
            <w:pPr>
              <w:pStyle w:val="NoSpacing"/>
              <w:jc w:val="both"/>
              <w:rPr>
                <w:rFonts w:ascii="Times New Roman" w:eastAsia="Calibri" w:hAnsi="Times New Roman" w:cs="Times New Roman"/>
                <w:color w:val="000000" w:themeColor="text1"/>
              </w:rPr>
            </w:pPr>
            <w:r w:rsidRPr="00443ADB">
              <w:rPr>
                <w:rFonts w:ascii="Times New Roman" w:eastAsia="Calibri" w:hAnsi="Times New Roman" w:cs="Times New Roman"/>
                <w:color w:val="000000" w:themeColor="text1"/>
              </w:rPr>
              <w:t>:</w:t>
            </w:r>
          </w:p>
        </w:tc>
        <w:tc>
          <w:tcPr>
            <w:tcW w:w="7502" w:type="dxa"/>
          </w:tcPr>
          <w:p w14:paraId="440E1ECB" w14:textId="210D3677" w:rsidR="002D7B97" w:rsidRDefault="002D7B97" w:rsidP="002D7B97">
            <w:pPr>
              <w:pStyle w:val="NoSpacing"/>
              <w:jc w:val="both"/>
              <w:rPr>
                <w:rFonts w:ascii="Times New Roman" w:eastAsia="Calibri" w:hAnsi="Times New Roman" w:cs="Times New Roman"/>
                <w:b/>
                <w:color w:val="000000" w:themeColor="text1"/>
              </w:rPr>
            </w:pPr>
            <w:r>
              <w:rPr>
                <w:rFonts w:ascii="Times New Roman" w:eastAsia="Calibri" w:hAnsi="Times New Roman" w:cs="Times New Roman"/>
                <w:b/>
                <w:color w:val="000000" w:themeColor="text1"/>
              </w:rPr>
              <w:t>THE ASSISTAND REGIONAL DIRECTOR</w:t>
            </w:r>
          </w:p>
          <w:p w14:paraId="6CC0219E" w14:textId="77777777" w:rsidR="002D7B97" w:rsidRPr="002D7B97" w:rsidRDefault="002D7B97" w:rsidP="002D7B97">
            <w:pPr>
              <w:pStyle w:val="NoSpacing"/>
              <w:jc w:val="both"/>
              <w:rPr>
                <w:rFonts w:ascii="Times New Roman" w:eastAsia="Calibri" w:hAnsi="Times New Roman" w:cs="Times New Roman"/>
                <w:b/>
                <w:color w:val="000000" w:themeColor="text1"/>
              </w:rPr>
            </w:pPr>
            <w:r>
              <w:rPr>
                <w:rFonts w:ascii="Times New Roman" w:eastAsia="Calibri" w:hAnsi="Times New Roman" w:cs="Times New Roman"/>
                <w:b/>
                <w:color w:val="000000" w:themeColor="text1"/>
              </w:rPr>
              <w:t>REGIONAL PROGRAM COORDINATOR - SLP</w:t>
            </w:r>
          </w:p>
        </w:tc>
      </w:tr>
      <w:tr w:rsidR="002D7B97" w:rsidRPr="00443ADB" w14:paraId="47660485" w14:textId="77777777" w:rsidTr="002D7B97">
        <w:tc>
          <w:tcPr>
            <w:tcW w:w="1458" w:type="dxa"/>
          </w:tcPr>
          <w:p w14:paraId="41398044" w14:textId="77777777" w:rsidR="002D7B97" w:rsidRPr="00443ADB" w:rsidRDefault="002D7B97" w:rsidP="002D7B97">
            <w:pPr>
              <w:pStyle w:val="NoSpacing"/>
              <w:jc w:val="both"/>
              <w:rPr>
                <w:rFonts w:ascii="Times New Roman" w:eastAsia="Calibri" w:hAnsi="Times New Roman" w:cs="Times New Roman"/>
                <w:color w:val="000000" w:themeColor="text1"/>
              </w:rPr>
            </w:pPr>
          </w:p>
        </w:tc>
        <w:tc>
          <w:tcPr>
            <w:tcW w:w="283" w:type="dxa"/>
          </w:tcPr>
          <w:p w14:paraId="55FA7A6E" w14:textId="77777777" w:rsidR="002D7B97" w:rsidRPr="00443ADB" w:rsidRDefault="002D7B97" w:rsidP="002D7B97">
            <w:pPr>
              <w:pStyle w:val="NoSpacing"/>
              <w:jc w:val="both"/>
              <w:rPr>
                <w:rFonts w:ascii="Times New Roman" w:eastAsia="Calibri" w:hAnsi="Times New Roman" w:cs="Times New Roman"/>
                <w:color w:val="000000" w:themeColor="text1"/>
              </w:rPr>
            </w:pPr>
          </w:p>
        </w:tc>
        <w:tc>
          <w:tcPr>
            <w:tcW w:w="7502" w:type="dxa"/>
          </w:tcPr>
          <w:p w14:paraId="0537C3FA" w14:textId="77777777" w:rsidR="002D7B97" w:rsidRPr="00443ADB" w:rsidRDefault="002D7B97" w:rsidP="002D7B97">
            <w:pPr>
              <w:pStyle w:val="NoSpacing"/>
              <w:jc w:val="both"/>
              <w:rPr>
                <w:rFonts w:ascii="Times New Roman" w:eastAsia="Calibri" w:hAnsi="Times New Roman" w:cs="Times New Roman"/>
                <w:b/>
                <w:color w:val="000000" w:themeColor="text1"/>
              </w:rPr>
            </w:pPr>
          </w:p>
        </w:tc>
      </w:tr>
      <w:tr w:rsidR="002D7B97" w:rsidRPr="00443ADB" w14:paraId="01A51E9E" w14:textId="77777777" w:rsidTr="002D7B97">
        <w:tc>
          <w:tcPr>
            <w:tcW w:w="1458" w:type="dxa"/>
          </w:tcPr>
          <w:p w14:paraId="2FC82CB9" w14:textId="77777777" w:rsidR="002D7B97" w:rsidRPr="00443ADB" w:rsidRDefault="002D7B97" w:rsidP="002D7B97">
            <w:pPr>
              <w:pStyle w:val="NoSpacing"/>
              <w:jc w:val="both"/>
              <w:rPr>
                <w:rFonts w:ascii="Times New Roman" w:eastAsia="Calibri" w:hAnsi="Times New Roman" w:cs="Times New Roman"/>
                <w:color w:val="000000" w:themeColor="text1"/>
              </w:rPr>
            </w:pPr>
            <w:r w:rsidRPr="00443ADB">
              <w:rPr>
                <w:rFonts w:ascii="Times New Roman" w:eastAsia="Calibri" w:hAnsi="Times New Roman" w:cs="Times New Roman"/>
                <w:color w:val="000000" w:themeColor="text1"/>
              </w:rPr>
              <w:t>FROM</w:t>
            </w:r>
          </w:p>
        </w:tc>
        <w:tc>
          <w:tcPr>
            <w:tcW w:w="283" w:type="dxa"/>
          </w:tcPr>
          <w:p w14:paraId="2D6876D8" w14:textId="77777777" w:rsidR="002D7B97" w:rsidRPr="00443ADB" w:rsidRDefault="002D7B97" w:rsidP="002D7B97">
            <w:pPr>
              <w:pStyle w:val="NoSpacing"/>
              <w:jc w:val="both"/>
              <w:rPr>
                <w:rFonts w:ascii="Times New Roman" w:eastAsia="Calibri" w:hAnsi="Times New Roman" w:cs="Times New Roman"/>
                <w:color w:val="000000" w:themeColor="text1"/>
              </w:rPr>
            </w:pPr>
            <w:r w:rsidRPr="00443ADB">
              <w:rPr>
                <w:rFonts w:ascii="Times New Roman" w:eastAsia="Calibri" w:hAnsi="Times New Roman" w:cs="Times New Roman"/>
                <w:color w:val="000000" w:themeColor="text1"/>
              </w:rPr>
              <w:t>:</w:t>
            </w:r>
          </w:p>
        </w:tc>
        <w:tc>
          <w:tcPr>
            <w:tcW w:w="7502" w:type="dxa"/>
          </w:tcPr>
          <w:p w14:paraId="1BA41ACE" w14:textId="77777777" w:rsidR="002D7B97" w:rsidRPr="00443ADB" w:rsidRDefault="002D7B97" w:rsidP="002D7B97">
            <w:pPr>
              <w:pStyle w:val="NoSpacing"/>
              <w:jc w:val="both"/>
              <w:rPr>
                <w:rFonts w:ascii="Times New Roman" w:eastAsia="Calibri" w:hAnsi="Times New Roman" w:cs="Times New Roman"/>
                <w:b/>
                <w:color w:val="000000" w:themeColor="text1"/>
              </w:rPr>
            </w:pPr>
            <w:r>
              <w:rPr>
                <w:rFonts w:ascii="Times New Roman" w:eastAsia="Calibri" w:hAnsi="Times New Roman" w:cs="Times New Roman"/>
                <w:b/>
                <w:color w:val="000000" w:themeColor="text1"/>
              </w:rPr>
              <w:t>THE DIRECTOR</w:t>
            </w:r>
          </w:p>
        </w:tc>
      </w:tr>
      <w:tr w:rsidR="002D7B97" w:rsidRPr="00443ADB" w14:paraId="27081ABE" w14:textId="77777777" w:rsidTr="002D7B97">
        <w:tc>
          <w:tcPr>
            <w:tcW w:w="1458" w:type="dxa"/>
          </w:tcPr>
          <w:p w14:paraId="36943558" w14:textId="77777777" w:rsidR="002D7B97" w:rsidRPr="00443ADB" w:rsidRDefault="002D7B97" w:rsidP="002D7B97">
            <w:pPr>
              <w:pStyle w:val="NoSpacing"/>
              <w:jc w:val="both"/>
              <w:rPr>
                <w:rFonts w:ascii="Times New Roman" w:eastAsia="Calibri" w:hAnsi="Times New Roman" w:cs="Times New Roman"/>
                <w:color w:val="000000" w:themeColor="text1"/>
              </w:rPr>
            </w:pPr>
          </w:p>
        </w:tc>
        <w:tc>
          <w:tcPr>
            <w:tcW w:w="283" w:type="dxa"/>
          </w:tcPr>
          <w:p w14:paraId="6ECF2F4F" w14:textId="77777777" w:rsidR="002D7B97" w:rsidRPr="00443ADB" w:rsidRDefault="002D7B97" w:rsidP="002D7B97">
            <w:pPr>
              <w:pStyle w:val="NoSpacing"/>
              <w:jc w:val="both"/>
              <w:rPr>
                <w:rFonts w:ascii="Times New Roman" w:eastAsia="Calibri" w:hAnsi="Times New Roman" w:cs="Times New Roman"/>
                <w:color w:val="000000" w:themeColor="text1"/>
              </w:rPr>
            </w:pPr>
          </w:p>
        </w:tc>
        <w:tc>
          <w:tcPr>
            <w:tcW w:w="7502" w:type="dxa"/>
          </w:tcPr>
          <w:p w14:paraId="1D56D3CD" w14:textId="77777777" w:rsidR="002D7B97" w:rsidRPr="00443ADB" w:rsidRDefault="002D7B97" w:rsidP="002D7B97">
            <w:pPr>
              <w:pStyle w:val="NoSpacing"/>
              <w:jc w:val="both"/>
              <w:rPr>
                <w:rFonts w:ascii="Times New Roman" w:eastAsia="Calibri" w:hAnsi="Times New Roman" w:cs="Times New Roman"/>
                <w:color w:val="000000" w:themeColor="text1"/>
              </w:rPr>
            </w:pPr>
            <w:r>
              <w:rPr>
                <w:rFonts w:ascii="Times New Roman" w:eastAsia="Calibri" w:hAnsi="Times New Roman" w:cs="Times New Roman"/>
                <w:color w:val="000000" w:themeColor="text1"/>
              </w:rPr>
              <w:t>Sustainable Livelihood Program</w:t>
            </w:r>
          </w:p>
        </w:tc>
      </w:tr>
      <w:tr w:rsidR="002D7B97" w:rsidRPr="00443ADB" w14:paraId="0EC5EA56" w14:textId="77777777" w:rsidTr="002D7B97">
        <w:tc>
          <w:tcPr>
            <w:tcW w:w="1458" w:type="dxa"/>
          </w:tcPr>
          <w:p w14:paraId="7CF6B87F" w14:textId="77777777" w:rsidR="002D7B97" w:rsidRPr="00443ADB" w:rsidRDefault="002D7B97" w:rsidP="002D7B97">
            <w:pPr>
              <w:pStyle w:val="NoSpacing"/>
              <w:jc w:val="both"/>
              <w:rPr>
                <w:rFonts w:ascii="Times New Roman" w:eastAsia="Calibri" w:hAnsi="Times New Roman" w:cs="Times New Roman"/>
                <w:color w:val="000000" w:themeColor="text1"/>
              </w:rPr>
            </w:pPr>
          </w:p>
        </w:tc>
        <w:tc>
          <w:tcPr>
            <w:tcW w:w="283" w:type="dxa"/>
          </w:tcPr>
          <w:p w14:paraId="2010D94C" w14:textId="77777777" w:rsidR="002D7B97" w:rsidRPr="00443ADB" w:rsidRDefault="002D7B97" w:rsidP="002D7B97">
            <w:pPr>
              <w:pStyle w:val="NoSpacing"/>
              <w:jc w:val="both"/>
              <w:rPr>
                <w:rFonts w:ascii="Times New Roman" w:eastAsia="Calibri" w:hAnsi="Times New Roman" w:cs="Times New Roman"/>
                <w:color w:val="000000" w:themeColor="text1"/>
              </w:rPr>
            </w:pPr>
          </w:p>
        </w:tc>
        <w:tc>
          <w:tcPr>
            <w:tcW w:w="7502" w:type="dxa"/>
          </w:tcPr>
          <w:p w14:paraId="416D0782" w14:textId="77777777" w:rsidR="002D7B97" w:rsidRPr="00443ADB" w:rsidRDefault="002D7B97" w:rsidP="002D7B97">
            <w:pPr>
              <w:pStyle w:val="NoSpacing"/>
              <w:jc w:val="both"/>
              <w:rPr>
                <w:rFonts w:ascii="Times New Roman" w:eastAsia="Calibri" w:hAnsi="Times New Roman" w:cs="Times New Roman"/>
                <w:color w:val="000000" w:themeColor="text1"/>
              </w:rPr>
            </w:pPr>
          </w:p>
        </w:tc>
      </w:tr>
      <w:tr w:rsidR="002D7B97" w:rsidRPr="00443ADB" w14:paraId="7BBA5520" w14:textId="77777777" w:rsidTr="002D7B97">
        <w:tc>
          <w:tcPr>
            <w:tcW w:w="1458" w:type="dxa"/>
          </w:tcPr>
          <w:p w14:paraId="59BB8C21" w14:textId="77777777" w:rsidR="002D7B97" w:rsidRPr="00443ADB" w:rsidRDefault="002D7B97" w:rsidP="002D7B97">
            <w:pPr>
              <w:pStyle w:val="NoSpacing"/>
              <w:jc w:val="both"/>
              <w:rPr>
                <w:rFonts w:ascii="Times New Roman" w:eastAsia="Calibri" w:hAnsi="Times New Roman" w:cs="Times New Roman"/>
                <w:color w:val="000000" w:themeColor="text1"/>
              </w:rPr>
            </w:pPr>
            <w:r w:rsidRPr="00443ADB">
              <w:rPr>
                <w:rFonts w:ascii="Times New Roman" w:eastAsia="Calibri" w:hAnsi="Times New Roman" w:cs="Times New Roman"/>
                <w:color w:val="000000" w:themeColor="text1"/>
              </w:rPr>
              <w:t>SUBJECT</w:t>
            </w:r>
          </w:p>
        </w:tc>
        <w:tc>
          <w:tcPr>
            <w:tcW w:w="283" w:type="dxa"/>
          </w:tcPr>
          <w:p w14:paraId="0AFBB23F" w14:textId="77777777" w:rsidR="002D7B97" w:rsidRPr="00443ADB" w:rsidRDefault="002D7B97" w:rsidP="002D7B97">
            <w:pPr>
              <w:pStyle w:val="NoSpacing"/>
              <w:jc w:val="both"/>
              <w:rPr>
                <w:rFonts w:ascii="Times New Roman" w:eastAsia="Calibri" w:hAnsi="Times New Roman" w:cs="Times New Roman"/>
                <w:color w:val="000000" w:themeColor="text1"/>
              </w:rPr>
            </w:pPr>
            <w:r w:rsidRPr="00443ADB">
              <w:rPr>
                <w:rFonts w:ascii="Times New Roman" w:eastAsia="Calibri" w:hAnsi="Times New Roman" w:cs="Times New Roman"/>
                <w:color w:val="000000" w:themeColor="text1"/>
              </w:rPr>
              <w:t>:</w:t>
            </w:r>
          </w:p>
        </w:tc>
        <w:tc>
          <w:tcPr>
            <w:tcW w:w="7502" w:type="dxa"/>
          </w:tcPr>
          <w:p w14:paraId="74F1CFB5" w14:textId="77777777" w:rsidR="002D7B97" w:rsidRPr="00443ADB" w:rsidRDefault="002D7B97" w:rsidP="002D7B97">
            <w:pPr>
              <w:pStyle w:val="NoSpacing"/>
              <w:jc w:val="both"/>
              <w:rPr>
                <w:rFonts w:ascii="Times New Roman" w:eastAsia="Calibri" w:hAnsi="Times New Roman" w:cs="Times New Roman"/>
                <w:b/>
                <w:color w:val="000000" w:themeColor="text1"/>
              </w:rPr>
            </w:pPr>
            <w:r>
              <w:rPr>
                <w:rFonts w:ascii="Times New Roman" w:eastAsia="Calibri" w:hAnsi="Times New Roman" w:cs="Times New Roman"/>
                <w:b/>
                <w:color w:val="000000" w:themeColor="text1"/>
              </w:rPr>
              <w:t xml:space="preserve">FEEDBACK ON THE </w:t>
            </w:r>
            <w:r w:rsidRPr="00443ADB">
              <w:rPr>
                <w:rFonts w:ascii="Times New Roman" w:eastAsia="Calibri" w:hAnsi="Times New Roman" w:cs="Times New Roman"/>
                <w:b/>
                <w:color w:val="000000" w:themeColor="text1"/>
              </w:rPr>
              <w:t xml:space="preserve">COURTESY CALL AND </w:t>
            </w:r>
            <w:r>
              <w:rPr>
                <w:rFonts w:ascii="Times New Roman" w:eastAsia="Calibri" w:hAnsi="Times New Roman" w:cs="Times New Roman"/>
                <w:b/>
                <w:color w:val="000000" w:themeColor="text1"/>
              </w:rPr>
              <w:t xml:space="preserve">KICK-OFF/ </w:t>
            </w:r>
            <w:r w:rsidRPr="00443ADB">
              <w:rPr>
                <w:rFonts w:ascii="Times New Roman" w:eastAsia="Calibri" w:hAnsi="Times New Roman" w:cs="Times New Roman"/>
                <w:b/>
                <w:color w:val="000000" w:themeColor="text1"/>
              </w:rPr>
              <w:t xml:space="preserve">TECHNICAL ASSISTANCE MEETING </w:t>
            </w:r>
          </w:p>
        </w:tc>
      </w:tr>
      <w:tr w:rsidR="002D7B97" w:rsidRPr="00443ADB" w14:paraId="1A716B50" w14:textId="77777777" w:rsidTr="002D7B97">
        <w:tc>
          <w:tcPr>
            <w:tcW w:w="1458" w:type="dxa"/>
          </w:tcPr>
          <w:p w14:paraId="3660AEED" w14:textId="77777777" w:rsidR="002D7B97" w:rsidRPr="00443ADB" w:rsidRDefault="002D7B97" w:rsidP="002D7B97">
            <w:pPr>
              <w:pStyle w:val="NoSpacing"/>
              <w:jc w:val="both"/>
              <w:rPr>
                <w:rFonts w:ascii="Times New Roman" w:eastAsia="Calibri" w:hAnsi="Times New Roman" w:cs="Times New Roman"/>
                <w:color w:val="000000" w:themeColor="text1"/>
              </w:rPr>
            </w:pPr>
          </w:p>
        </w:tc>
        <w:tc>
          <w:tcPr>
            <w:tcW w:w="283" w:type="dxa"/>
          </w:tcPr>
          <w:p w14:paraId="36238F24" w14:textId="77777777" w:rsidR="002D7B97" w:rsidRPr="00443ADB" w:rsidRDefault="002D7B97" w:rsidP="002D7B97">
            <w:pPr>
              <w:pStyle w:val="NoSpacing"/>
              <w:jc w:val="both"/>
              <w:rPr>
                <w:rFonts w:ascii="Times New Roman" w:eastAsia="Calibri" w:hAnsi="Times New Roman" w:cs="Times New Roman"/>
                <w:color w:val="000000" w:themeColor="text1"/>
              </w:rPr>
            </w:pPr>
          </w:p>
        </w:tc>
        <w:tc>
          <w:tcPr>
            <w:tcW w:w="7502" w:type="dxa"/>
          </w:tcPr>
          <w:p w14:paraId="0D373824" w14:textId="77777777" w:rsidR="002D7B97" w:rsidRPr="00443ADB" w:rsidRDefault="002D7B97" w:rsidP="002D7B97">
            <w:pPr>
              <w:pStyle w:val="NoSpacing"/>
              <w:jc w:val="both"/>
              <w:rPr>
                <w:rFonts w:ascii="Times New Roman" w:eastAsia="Calibri" w:hAnsi="Times New Roman" w:cs="Times New Roman"/>
                <w:i/>
                <w:color w:val="000000" w:themeColor="text1"/>
              </w:rPr>
            </w:pPr>
          </w:p>
        </w:tc>
      </w:tr>
      <w:tr w:rsidR="002D7B97" w:rsidRPr="00443ADB" w14:paraId="33FF70F3" w14:textId="77777777" w:rsidTr="002D7B97">
        <w:tc>
          <w:tcPr>
            <w:tcW w:w="1458" w:type="dxa"/>
          </w:tcPr>
          <w:p w14:paraId="0C2E9250" w14:textId="77777777" w:rsidR="002D7B97" w:rsidRPr="00443ADB" w:rsidRDefault="002D7B97" w:rsidP="002D7B97">
            <w:pPr>
              <w:pStyle w:val="NoSpacing"/>
              <w:jc w:val="both"/>
              <w:rPr>
                <w:rFonts w:ascii="Times New Roman" w:eastAsia="Calibri" w:hAnsi="Times New Roman" w:cs="Times New Roman"/>
                <w:color w:val="000000" w:themeColor="text1"/>
              </w:rPr>
            </w:pPr>
            <w:r w:rsidRPr="00443ADB">
              <w:rPr>
                <w:rFonts w:ascii="Times New Roman" w:eastAsia="Calibri" w:hAnsi="Times New Roman" w:cs="Times New Roman"/>
                <w:color w:val="000000" w:themeColor="text1"/>
              </w:rPr>
              <w:t>DATE</w:t>
            </w:r>
          </w:p>
        </w:tc>
        <w:tc>
          <w:tcPr>
            <w:tcW w:w="283" w:type="dxa"/>
          </w:tcPr>
          <w:p w14:paraId="71AFCE04" w14:textId="77777777" w:rsidR="002D7B97" w:rsidRPr="00443ADB" w:rsidRDefault="002D7B97" w:rsidP="002D7B97">
            <w:pPr>
              <w:pStyle w:val="NoSpacing"/>
              <w:jc w:val="both"/>
              <w:rPr>
                <w:rFonts w:ascii="Times New Roman" w:eastAsia="Calibri" w:hAnsi="Times New Roman" w:cs="Times New Roman"/>
                <w:color w:val="000000" w:themeColor="text1"/>
              </w:rPr>
            </w:pPr>
            <w:r w:rsidRPr="00443ADB">
              <w:rPr>
                <w:rFonts w:ascii="Times New Roman" w:eastAsia="Calibri" w:hAnsi="Times New Roman" w:cs="Times New Roman"/>
                <w:color w:val="000000" w:themeColor="text1"/>
              </w:rPr>
              <w:t>:</w:t>
            </w:r>
          </w:p>
        </w:tc>
        <w:tc>
          <w:tcPr>
            <w:tcW w:w="7502" w:type="dxa"/>
          </w:tcPr>
          <w:p w14:paraId="007F702F" w14:textId="77777777" w:rsidR="002D7B97" w:rsidRPr="00443ADB" w:rsidRDefault="002D7B97" w:rsidP="002D7B97">
            <w:pPr>
              <w:pStyle w:val="NoSpacing"/>
              <w:jc w:val="both"/>
              <w:rPr>
                <w:rFonts w:ascii="Times New Roman" w:eastAsia="Calibri" w:hAnsi="Times New Roman" w:cs="Times New Roman"/>
                <w:color w:val="000000" w:themeColor="text1"/>
              </w:rPr>
            </w:pPr>
            <w:r w:rsidRPr="00443ADB">
              <w:rPr>
                <w:rFonts w:ascii="Times New Roman" w:eastAsia="Calibri" w:hAnsi="Times New Roman" w:cs="Times New Roman"/>
                <w:color w:val="000000" w:themeColor="text1"/>
              </w:rPr>
              <w:fldChar w:fldCharType="begin"/>
            </w:r>
            <w:r w:rsidRPr="00443ADB">
              <w:rPr>
                <w:rFonts w:ascii="Times New Roman" w:eastAsia="Calibri" w:hAnsi="Times New Roman" w:cs="Times New Roman"/>
                <w:color w:val="000000" w:themeColor="text1"/>
              </w:rPr>
              <w:instrText xml:space="preserve"> DATE  \@ "d MMMM yyyy"  \* MERGEFORMAT </w:instrText>
            </w:r>
            <w:r w:rsidRPr="00443ADB">
              <w:rPr>
                <w:rFonts w:ascii="Times New Roman" w:eastAsia="Calibri" w:hAnsi="Times New Roman" w:cs="Times New Roman"/>
                <w:color w:val="000000" w:themeColor="text1"/>
              </w:rPr>
              <w:fldChar w:fldCharType="separate"/>
            </w:r>
            <w:r w:rsidR="005A6D0E">
              <w:rPr>
                <w:rFonts w:ascii="Times New Roman" w:eastAsia="Calibri" w:hAnsi="Times New Roman" w:cs="Times New Roman"/>
                <w:noProof/>
                <w:color w:val="000000" w:themeColor="text1"/>
              </w:rPr>
              <w:t>10 February 2016</w:t>
            </w:r>
            <w:r w:rsidRPr="00443ADB">
              <w:rPr>
                <w:rFonts w:ascii="Times New Roman" w:eastAsia="Calibri" w:hAnsi="Times New Roman" w:cs="Times New Roman"/>
                <w:color w:val="000000" w:themeColor="text1"/>
              </w:rPr>
              <w:fldChar w:fldCharType="end"/>
            </w:r>
          </w:p>
        </w:tc>
      </w:tr>
      <w:tr w:rsidR="002D7B97" w:rsidRPr="00443ADB" w14:paraId="1CCD24C6" w14:textId="77777777" w:rsidTr="002D7B97">
        <w:tc>
          <w:tcPr>
            <w:tcW w:w="1458" w:type="dxa"/>
            <w:tcBorders>
              <w:bottom w:val="double" w:sz="4" w:space="0" w:color="auto"/>
            </w:tcBorders>
          </w:tcPr>
          <w:p w14:paraId="699CE4C1" w14:textId="77777777" w:rsidR="002D7B97" w:rsidRPr="00443ADB" w:rsidRDefault="002D7B97" w:rsidP="002D7B97">
            <w:pPr>
              <w:pStyle w:val="NoSpacing"/>
              <w:jc w:val="both"/>
              <w:rPr>
                <w:rFonts w:ascii="Times New Roman" w:eastAsia="Calibri" w:hAnsi="Times New Roman" w:cs="Times New Roman"/>
                <w:color w:val="000000" w:themeColor="text1"/>
              </w:rPr>
            </w:pPr>
          </w:p>
        </w:tc>
        <w:tc>
          <w:tcPr>
            <w:tcW w:w="283" w:type="dxa"/>
            <w:tcBorders>
              <w:bottom w:val="double" w:sz="4" w:space="0" w:color="auto"/>
            </w:tcBorders>
          </w:tcPr>
          <w:p w14:paraId="4300BA95" w14:textId="77777777" w:rsidR="002D7B97" w:rsidRPr="00443ADB" w:rsidRDefault="002D7B97" w:rsidP="002D7B97">
            <w:pPr>
              <w:pStyle w:val="NoSpacing"/>
              <w:jc w:val="both"/>
              <w:rPr>
                <w:rFonts w:ascii="Times New Roman" w:eastAsia="Calibri" w:hAnsi="Times New Roman" w:cs="Times New Roman"/>
                <w:color w:val="000000" w:themeColor="text1"/>
              </w:rPr>
            </w:pPr>
          </w:p>
        </w:tc>
        <w:tc>
          <w:tcPr>
            <w:tcW w:w="7502" w:type="dxa"/>
            <w:tcBorders>
              <w:bottom w:val="double" w:sz="4" w:space="0" w:color="auto"/>
            </w:tcBorders>
          </w:tcPr>
          <w:p w14:paraId="0E02CF08" w14:textId="77777777" w:rsidR="002D7B97" w:rsidRPr="00443ADB" w:rsidRDefault="002D7B97" w:rsidP="002D7B97">
            <w:pPr>
              <w:pStyle w:val="NoSpacing"/>
              <w:jc w:val="both"/>
              <w:rPr>
                <w:rFonts w:ascii="Times New Roman" w:eastAsia="Calibri" w:hAnsi="Times New Roman" w:cs="Times New Roman"/>
                <w:color w:val="000000" w:themeColor="text1"/>
              </w:rPr>
            </w:pPr>
          </w:p>
        </w:tc>
      </w:tr>
    </w:tbl>
    <w:p w14:paraId="3B61AE0F" w14:textId="5E64209D" w:rsidR="00C14994" w:rsidRDefault="00C14994" w:rsidP="00241DBD">
      <w:pPr>
        <w:jc w:val="center"/>
        <w:rPr>
          <w:color w:val="000000" w:themeColor="text1"/>
        </w:rPr>
      </w:pPr>
    </w:p>
    <w:p w14:paraId="762F7C14" w14:textId="710F6C1A" w:rsidR="00475260" w:rsidRDefault="00475260" w:rsidP="00475260">
      <w:pPr>
        <w:widowControl w:val="0"/>
        <w:autoSpaceDE w:val="0"/>
        <w:autoSpaceDN w:val="0"/>
        <w:adjustRightInd w:val="0"/>
        <w:rPr>
          <w:rFonts w:ascii="Times" w:eastAsiaTheme="minorHAnsi" w:hAnsi="Times" w:cs="Times"/>
          <w:sz w:val="22"/>
          <w:szCs w:val="22"/>
        </w:rPr>
      </w:pPr>
      <w:r w:rsidRPr="00443ADB">
        <w:rPr>
          <w:rFonts w:ascii="Times" w:eastAsiaTheme="minorHAnsi" w:hAnsi="Times" w:cs="Times"/>
          <w:sz w:val="22"/>
          <w:szCs w:val="22"/>
        </w:rPr>
        <w:t>This is to provide feedback on</w:t>
      </w:r>
      <w:r>
        <w:rPr>
          <w:rFonts w:ascii="Times" w:eastAsiaTheme="minorHAnsi" w:hAnsi="Times" w:cs="Times"/>
          <w:sz w:val="22"/>
          <w:szCs w:val="22"/>
        </w:rPr>
        <w:t xml:space="preserve"> the visit conducted on January 22, 2016 by the assigned Cluster Coordinator and Regional Monitor to FO XI. The team held three separate meetings at the sidelines of the “Feasibility Assessment and SLPIS Roll-out Training with the Field PDOs” being conducted during the visit, with focused discussions as follows:</w:t>
      </w:r>
    </w:p>
    <w:p w14:paraId="4E2BF8A7" w14:textId="77777777" w:rsidR="00475260" w:rsidRDefault="00475260" w:rsidP="00475260">
      <w:pPr>
        <w:widowControl w:val="0"/>
        <w:autoSpaceDE w:val="0"/>
        <w:autoSpaceDN w:val="0"/>
        <w:adjustRightInd w:val="0"/>
        <w:rPr>
          <w:rFonts w:ascii="Times" w:eastAsiaTheme="minorHAnsi" w:hAnsi="Times" w:cs="Times"/>
          <w:sz w:val="22"/>
          <w:szCs w:val="22"/>
        </w:rPr>
      </w:pPr>
    </w:p>
    <w:p w14:paraId="16B7FD76" w14:textId="60663A8C" w:rsidR="00475260" w:rsidRDefault="00475260" w:rsidP="00475260">
      <w:pPr>
        <w:pStyle w:val="ListParagraph"/>
        <w:widowControl w:val="0"/>
        <w:numPr>
          <w:ilvl w:val="0"/>
          <w:numId w:val="10"/>
        </w:numPr>
        <w:autoSpaceDE w:val="0"/>
        <w:autoSpaceDN w:val="0"/>
        <w:adjustRightInd w:val="0"/>
        <w:rPr>
          <w:rFonts w:ascii="Times" w:eastAsiaTheme="minorHAnsi" w:hAnsi="Times" w:cs="Times"/>
          <w:sz w:val="22"/>
          <w:szCs w:val="22"/>
        </w:rPr>
      </w:pPr>
      <w:r>
        <w:rPr>
          <w:rFonts w:ascii="Times" w:eastAsiaTheme="minorHAnsi" w:hAnsi="Times" w:cs="Times"/>
          <w:sz w:val="22"/>
          <w:szCs w:val="22"/>
        </w:rPr>
        <w:t>Morning: Leveling-off Meeting with the ARDO - Relay 2016 SLP Directives/ Thrusts/ Priorities and objective of the field visit;</w:t>
      </w:r>
    </w:p>
    <w:p w14:paraId="77753F23" w14:textId="77777777" w:rsidR="00475260" w:rsidRDefault="00475260" w:rsidP="00475260">
      <w:pPr>
        <w:pStyle w:val="ListParagraph"/>
        <w:widowControl w:val="0"/>
        <w:numPr>
          <w:ilvl w:val="0"/>
          <w:numId w:val="10"/>
        </w:numPr>
        <w:autoSpaceDE w:val="0"/>
        <w:autoSpaceDN w:val="0"/>
        <w:adjustRightInd w:val="0"/>
        <w:rPr>
          <w:rFonts w:ascii="Times" w:eastAsiaTheme="minorHAnsi" w:hAnsi="Times" w:cs="Times"/>
          <w:sz w:val="22"/>
          <w:szCs w:val="22"/>
        </w:rPr>
      </w:pPr>
      <w:r>
        <w:rPr>
          <w:rFonts w:ascii="Times" w:eastAsiaTheme="minorHAnsi" w:hAnsi="Times" w:cs="Times"/>
          <w:sz w:val="22"/>
          <w:szCs w:val="22"/>
        </w:rPr>
        <w:t>Afternoon: Focused group discussion with the SLP RPMO Staff</w:t>
      </w:r>
    </w:p>
    <w:p w14:paraId="7DFE2F80" w14:textId="5D2FBA7B" w:rsidR="00475260" w:rsidRDefault="00475260" w:rsidP="00475260">
      <w:pPr>
        <w:pStyle w:val="ListParagraph"/>
        <w:widowControl w:val="0"/>
        <w:numPr>
          <w:ilvl w:val="1"/>
          <w:numId w:val="10"/>
        </w:numPr>
        <w:autoSpaceDE w:val="0"/>
        <w:autoSpaceDN w:val="0"/>
        <w:adjustRightInd w:val="0"/>
        <w:rPr>
          <w:rFonts w:ascii="Times" w:eastAsiaTheme="minorHAnsi" w:hAnsi="Times" w:cs="Times"/>
          <w:sz w:val="22"/>
          <w:szCs w:val="22"/>
        </w:rPr>
      </w:pPr>
      <w:r>
        <w:rPr>
          <w:rFonts w:ascii="Times" w:eastAsiaTheme="minorHAnsi" w:hAnsi="Times" w:cs="Times"/>
          <w:sz w:val="22"/>
          <w:szCs w:val="22"/>
        </w:rPr>
        <w:t xml:space="preserve">Relay and Clarify 2016 SLP Directives/ Thrusts/ Priorities/ Milestones/ Breakthrough Goals/ Lead Measures and Major Policies, </w:t>
      </w:r>
    </w:p>
    <w:p w14:paraId="3A71557D" w14:textId="77777777" w:rsidR="00475260" w:rsidRDefault="00475260" w:rsidP="00475260">
      <w:pPr>
        <w:pStyle w:val="ListParagraph"/>
        <w:widowControl w:val="0"/>
        <w:numPr>
          <w:ilvl w:val="1"/>
          <w:numId w:val="10"/>
        </w:numPr>
        <w:autoSpaceDE w:val="0"/>
        <w:autoSpaceDN w:val="0"/>
        <w:adjustRightInd w:val="0"/>
        <w:rPr>
          <w:rFonts w:ascii="Times" w:eastAsiaTheme="minorHAnsi" w:hAnsi="Times" w:cs="Times"/>
          <w:sz w:val="22"/>
          <w:szCs w:val="22"/>
        </w:rPr>
      </w:pPr>
      <w:r>
        <w:rPr>
          <w:rFonts w:ascii="Times" w:eastAsiaTheme="minorHAnsi" w:hAnsi="Times" w:cs="Times"/>
          <w:sz w:val="22"/>
          <w:szCs w:val="22"/>
        </w:rPr>
        <w:t>NPMO/RPMO Role clarification, issues and concerns on SLP implementation;</w:t>
      </w:r>
    </w:p>
    <w:p w14:paraId="6054A658" w14:textId="74B9E443" w:rsidR="00475260" w:rsidRDefault="00475260" w:rsidP="00475260">
      <w:pPr>
        <w:pStyle w:val="ListParagraph"/>
        <w:widowControl w:val="0"/>
        <w:numPr>
          <w:ilvl w:val="1"/>
          <w:numId w:val="10"/>
        </w:numPr>
        <w:autoSpaceDE w:val="0"/>
        <w:autoSpaceDN w:val="0"/>
        <w:adjustRightInd w:val="0"/>
        <w:rPr>
          <w:rFonts w:ascii="Times" w:eastAsiaTheme="minorHAnsi" w:hAnsi="Times" w:cs="Times"/>
          <w:sz w:val="22"/>
          <w:szCs w:val="22"/>
        </w:rPr>
      </w:pPr>
      <w:r>
        <w:rPr>
          <w:rFonts w:ascii="Times" w:eastAsiaTheme="minorHAnsi" w:hAnsi="Times" w:cs="Times"/>
          <w:sz w:val="22"/>
          <w:szCs w:val="22"/>
        </w:rPr>
        <w:t>Municipal-level targeting template orientation</w:t>
      </w:r>
    </w:p>
    <w:p w14:paraId="1A76C6F1" w14:textId="59BAD4E8" w:rsidR="00475260" w:rsidRPr="00475260" w:rsidRDefault="00475260" w:rsidP="00475260">
      <w:pPr>
        <w:pStyle w:val="ListParagraph"/>
        <w:widowControl w:val="0"/>
        <w:numPr>
          <w:ilvl w:val="1"/>
          <w:numId w:val="10"/>
        </w:numPr>
        <w:autoSpaceDE w:val="0"/>
        <w:autoSpaceDN w:val="0"/>
        <w:adjustRightInd w:val="0"/>
        <w:rPr>
          <w:rFonts w:ascii="Times" w:eastAsiaTheme="minorHAnsi" w:hAnsi="Times" w:cs="Times"/>
          <w:sz w:val="22"/>
          <w:szCs w:val="22"/>
        </w:rPr>
      </w:pPr>
      <w:r>
        <w:rPr>
          <w:rFonts w:ascii="Times" w:eastAsiaTheme="minorHAnsi" w:hAnsi="Times" w:cs="Times"/>
          <w:sz w:val="22"/>
          <w:szCs w:val="22"/>
        </w:rPr>
        <w:t>Exit-conference</w:t>
      </w:r>
    </w:p>
    <w:p w14:paraId="3BE49F07" w14:textId="77777777" w:rsidR="00475260" w:rsidRDefault="00475260" w:rsidP="00475260">
      <w:pPr>
        <w:widowControl w:val="0"/>
        <w:autoSpaceDE w:val="0"/>
        <w:autoSpaceDN w:val="0"/>
        <w:adjustRightInd w:val="0"/>
        <w:rPr>
          <w:rFonts w:ascii="Times" w:eastAsiaTheme="minorHAnsi" w:hAnsi="Times" w:cs="Times"/>
          <w:sz w:val="22"/>
          <w:szCs w:val="22"/>
        </w:rPr>
      </w:pPr>
    </w:p>
    <w:p w14:paraId="4CB5A1AA" w14:textId="77777777" w:rsidR="00475260" w:rsidRPr="00443ADB" w:rsidRDefault="00475260" w:rsidP="00475260">
      <w:pPr>
        <w:widowControl w:val="0"/>
        <w:autoSpaceDE w:val="0"/>
        <w:autoSpaceDN w:val="0"/>
        <w:adjustRightInd w:val="0"/>
        <w:rPr>
          <w:rFonts w:ascii="Times" w:eastAsiaTheme="minorHAnsi" w:hAnsi="Times" w:cs="Times"/>
          <w:sz w:val="22"/>
          <w:szCs w:val="22"/>
        </w:rPr>
      </w:pPr>
      <w:r>
        <w:rPr>
          <w:rFonts w:ascii="Times" w:eastAsiaTheme="minorHAnsi" w:hAnsi="Times" w:cs="Times"/>
          <w:sz w:val="22"/>
          <w:szCs w:val="22"/>
        </w:rPr>
        <w:t xml:space="preserve"> Below are the major agreements/ recommendations for follow-through within the 1</w:t>
      </w:r>
      <w:r w:rsidRPr="007A0DA5">
        <w:rPr>
          <w:rFonts w:ascii="Times" w:eastAsiaTheme="minorHAnsi" w:hAnsi="Times" w:cs="Times"/>
          <w:sz w:val="22"/>
          <w:szCs w:val="22"/>
          <w:vertAlign w:val="superscript"/>
        </w:rPr>
        <w:t>st</w:t>
      </w:r>
      <w:r>
        <w:rPr>
          <w:rFonts w:ascii="Times" w:eastAsiaTheme="minorHAnsi" w:hAnsi="Times" w:cs="Times"/>
          <w:sz w:val="22"/>
          <w:szCs w:val="22"/>
        </w:rPr>
        <w:t xml:space="preserve"> quarter of 2016 with details contained in the attached report:</w:t>
      </w:r>
    </w:p>
    <w:p w14:paraId="5FEF46C8" w14:textId="77777777" w:rsidR="002D7B97" w:rsidRPr="00443ADB" w:rsidRDefault="002D7B97" w:rsidP="002D7B97">
      <w:pPr>
        <w:widowControl w:val="0"/>
        <w:autoSpaceDE w:val="0"/>
        <w:autoSpaceDN w:val="0"/>
        <w:adjustRightInd w:val="0"/>
        <w:rPr>
          <w:rFonts w:ascii="Times" w:eastAsiaTheme="minorHAnsi" w:hAnsi="Times" w:cs="Times"/>
          <w:b/>
          <w:sz w:val="22"/>
          <w:szCs w:val="22"/>
        </w:rPr>
      </w:pPr>
    </w:p>
    <w:tbl>
      <w:tblPr>
        <w:tblStyle w:val="TableGrid"/>
        <w:tblW w:w="0" w:type="auto"/>
        <w:tblLook w:val="04A0" w:firstRow="1" w:lastRow="0" w:firstColumn="1" w:lastColumn="0" w:noHBand="0" w:noVBand="1"/>
      </w:tblPr>
      <w:tblGrid>
        <w:gridCol w:w="1188"/>
        <w:gridCol w:w="8055"/>
      </w:tblGrid>
      <w:tr w:rsidR="002D7B97" w:rsidRPr="00443ADB" w14:paraId="3641A2F7" w14:textId="77777777" w:rsidTr="002D7B97">
        <w:tc>
          <w:tcPr>
            <w:tcW w:w="1188" w:type="dxa"/>
          </w:tcPr>
          <w:p w14:paraId="1DF9F30D" w14:textId="60446AE4" w:rsidR="0039590D" w:rsidRPr="00443ADB" w:rsidRDefault="0039590D" w:rsidP="002D7B97">
            <w:pPr>
              <w:rPr>
                <w:color w:val="000000" w:themeColor="text1"/>
                <w:sz w:val="22"/>
                <w:szCs w:val="22"/>
              </w:rPr>
            </w:pPr>
            <w:r>
              <w:rPr>
                <w:color w:val="000000" w:themeColor="text1"/>
                <w:sz w:val="22"/>
                <w:szCs w:val="22"/>
              </w:rPr>
              <w:t>SLP Regular Concerns</w:t>
            </w:r>
          </w:p>
        </w:tc>
        <w:tc>
          <w:tcPr>
            <w:tcW w:w="8055" w:type="dxa"/>
          </w:tcPr>
          <w:p w14:paraId="18EDED20" w14:textId="77777777" w:rsidR="002D7B97" w:rsidRDefault="002D7B97" w:rsidP="002D7B97">
            <w:pPr>
              <w:widowControl w:val="0"/>
              <w:autoSpaceDE w:val="0"/>
              <w:autoSpaceDN w:val="0"/>
              <w:adjustRightInd w:val="0"/>
              <w:rPr>
                <w:rFonts w:ascii="Times" w:eastAsiaTheme="minorHAnsi" w:hAnsi="Times" w:cs="Times"/>
                <w:sz w:val="22"/>
                <w:szCs w:val="22"/>
              </w:rPr>
            </w:pPr>
            <w:r>
              <w:rPr>
                <w:rFonts w:ascii="Times" w:eastAsiaTheme="minorHAnsi" w:hAnsi="Times" w:cs="Times"/>
                <w:sz w:val="22"/>
                <w:szCs w:val="22"/>
              </w:rPr>
              <w:t>a. Provision of TA in the conduct of PPDAW</w:t>
            </w:r>
          </w:p>
          <w:p w14:paraId="7AAEAF53" w14:textId="77777777" w:rsidR="002D7B97" w:rsidRDefault="002D7B97" w:rsidP="002D7B97">
            <w:pPr>
              <w:widowControl w:val="0"/>
              <w:autoSpaceDE w:val="0"/>
              <w:autoSpaceDN w:val="0"/>
              <w:adjustRightInd w:val="0"/>
              <w:rPr>
                <w:rFonts w:ascii="Times" w:eastAsiaTheme="minorHAnsi" w:hAnsi="Times" w:cs="Times"/>
                <w:sz w:val="22"/>
                <w:szCs w:val="22"/>
              </w:rPr>
            </w:pPr>
            <w:r>
              <w:rPr>
                <w:rFonts w:ascii="Times" w:eastAsiaTheme="minorHAnsi" w:hAnsi="Times" w:cs="Times"/>
                <w:sz w:val="22"/>
                <w:szCs w:val="22"/>
              </w:rPr>
              <w:t>b. Mobilization of the MAT given the 1 PDO: 1 municipality scheme</w:t>
            </w:r>
          </w:p>
          <w:p w14:paraId="1A890707" w14:textId="77777777" w:rsidR="002D7B97" w:rsidRDefault="002D7B97" w:rsidP="002D7B97">
            <w:pPr>
              <w:widowControl w:val="0"/>
              <w:autoSpaceDE w:val="0"/>
              <w:autoSpaceDN w:val="0"/>
              <w:adjustRightInd w:val="0"/>
              <w:rPr>
                <w:rFonts w:ascii="Times" w:eastAsiaTheme="minorHAnsi" w:hAnsi="Times" w:cs="Times"/>
                <w:sz w:val="22"/>
                <w:szCs w:val="22"/>
              </w:rPr>
            </w:pPr>
            <w:r>
              <w:rPr>
                <w:rFonts w:ascii="Times" w:eastAsiaTheme="minorHAnsi" w:hAnsi="Times" w:cs="Times"/>
                <w:sz w:val="22"/>
                <w:szCs w:val="22"/>
              </w:rPr>
              <w:t>c. Augmentation of staff capacity for completion of PAMANA projects</w:t>
            </w:r>
          </w:p>
          <w:p w14:paraId="15DF6565" w14:textId="77777777" w:rsidR="002D7B97" w:rsidRPr="00443ADB" w:rsidRDefault="002D7B97" w:rsidP="002D7B97">
            <w:pPr>
              <w:widowControl w:val="0"/>
              <w:autoSpaceDE w:val="0"/>
              <w:autoSpaceDN w:val="0"/>
              <w:adjustRightInd w:val="0"/>
              <w:rPr>
                <w:rFonts w:ascii="Times" w:eastAsiaTheme="minorHAnsi" w:hAnsi="Times" w:cs="Times"/>
                <w:sz w:val="22"/>
                <w:szCs w:val="22"/>
              </w:rPr>
            </w:pPr>
            <w:r>
              <w:rPr>
                <w:rFonts w:ascii="Times" w:eastAsiaTheme="minorHAnsi" w:hAnsi="Times" w:cs="Times"/>
                <w:sz w:val="22"/>
                <w:szCs w:val="22"/>
              </w:rPr>
              <w:t>d. Guidance Note for the turnover/ continued monitoring of PAMANA SLPAs (</w:t>
            </w:r>
            <w:r w:rsidRPr="00105C57">
              <w:rPr>
                <w:rFonts w:ascii="Times" w:eastAsiaTheme="minorHAnsi" w:hAnsi="Times" w:cs="Times"/>
                <w:i/>
                <w:sz w:val="22"/>
                <w:szCs w:val="22"/>
              </w:rPr>
              <w:t>NB: integration with MAT functions – for clarification</w:t>
            </w:r>
            <w:r>
              <w:rPr>
                <w:rFonts w:ascii="Times" w:eastAsiaTheme="minorHAnsi" w:hAnsi="Times" w:cs="Times"/>
                <w:sz w:val="22"/>
                <w:szCs w:val="22"/>
              </w:rPr>
              <w:t>)</w:t>
            </w:r>
          </w:p>
        </w:tc>
      </w:tr>
      <w:tr w:rsidR="002D7B97" w:rsidRPr="00443ADB" w14:paraId="4B17B2AA" w14:textId="77777777" w:rsidTr="002D7B97">
        <w:tc>
          <w:tcPr>
            <w:tcW w:w="1188" w:type="dxa"/>
            <w:vMerge w:val="restart"/>
          </w:tcPr>
          <w:p w14:paraId="0F15BE51" w14:textId="77777777" w:rsidR="002D7B97" w:rsidRDefault="002D7B97" w:rsidP="002D7B97">
            <w:pPr>
              <w:rPr>
                <w:color w:val="000000" w:themeColor="text1"/>
                <w:sz w:val="22"/>
                <w:szCs w:val="22"/>
              </w:rPr>
            </w:pPr>
            <w:r>
              <w:rPr>
                <w:color w:val="000000" w:themeColor="text1"/>
                <w:sz w:val="22"/>
                <w:szCs w:val="22"/>
              </w:rPr>
              <w:t>Other Concerns</w:t>
            </w:r>
          </w:p>
        </w:tc>
        <w:tc>
          <w:tcPr>
            <w:tcW w:w="8055" w:type="dxa"/>
          </w:tcPr>
          <w:p w14:paraId="5032E212" w14:textId="77777777" w:rsidR="002D7B97" w:rsidRPr="00443ADB" w:rsidRDefault="002D7B97" w:rsidP="002D7B97">
            <w:pPr>
              <w:widowControl w:val="0"/>
              <w:autoSpaceDE w:val="0"/>
              <w:autoSpaceDN w:val="0"/>
              <w:adjustRightInd w:val="0"/>
              <w:rPr>
                <w:rFonts w:ascii="Times" w:eastAsiaTheme="minorHAnsi" w:hAnsi="Times" w:cs="Times"/>
                <w:sz w:val="22"/>
                <w:szCs w:val="22"/>
              </w:rPr>
            </w:pPr>
            <w:r>
              <w:rPr>
                <w:rFonts w:ascii="Times" w:eastAsiaTheme="minorHAnsi" w:hAnsi="Times" w:cs="Times"/>
                <w:sz w:val="22"/>
                <w:szCs w:val="22"/>
              </w:rPr>
              <w:t>Special Action Force (SAF)</w:t>
            </w:r>
            <w:r w:rsidRPr="00443ADB">
              <w:rPr>
                <w:rFonts w:ascii="Times" w:eastAsiaTheme="minorHAnsi" w:hAnsi="Times" w:cs="Times"/>
                <w:sz w:val="22"/>
                <w:szCs w:val="22"/>
              </w:rPr>
              <w:t xml:space="preserve"> 44 livelihood assistance updates</w:t>
            </w:r>
          </w:p>
        </w:tc>
      </w:tr>
      <w:tr w:rsidR="005A6D0E" w:rsidRPr="00443ADB" w14:paraId="1275A4C0" w14:textId="77777777" w:rsidTr="005A6D0E">
        <w:trPr>
          <w:trHeight w:val="395"/>
        </w:trPr>
        <w:tc>
          <w:tcPr>
            <w:tcW w:w="1188" w:type="dxa"/>
            <w:vMerge/>
          </w:tcPr>
          <w:p w14:paraId="672E13B3" w14:textId="77777777" w:rsidR="005A6D0E" w:rsidRDefault="005A6D0E" w:rsidP="002D7B97">
            <w:pPr>
              <w:rPr>
                <w:color w:val="000000" w:themeColor="text1"/>
                <w:sz w:val="22"/>
                <w:szCs w:val="22"/>
              </w:rPr>
            </w:pPr>
          </w:p>
        </w:tc>
        <w:tc>
          <w:tcPr>
            <w:tcW w:w="8055" w:type="dxa"/>
          </w:tcPr>
          <w:p w14:paraId="6DB6A21A" w14:textId="582E8099" w:rsidR="005A6D0E" w:rsidRPr="00443ADB" w:rsidRDefault="005A6D0E" w:rsidP="002D7B97">
            <w:pPr>
              <w:widowControl w:val="0"/>
              <w:autoSpaceDE w:val="0"/>
              <w:autoSpaceDN w:val="0"/>
              <w:adjustRightInd w:val="0"/>
              <w:rPr>
                <w:rFonts w:ascii="Times" w:eastAsiaTheme="minorHAnsi" w:hAnsi="Times" w:cs="Times"/>
                <w:sz w:val="22"/>
                <w:szCs w:val="22"/>
              </w:rPr>
            </w:pPr>
            <w:r w:rsidRPr="00443ADB">
              <w:rPr>
                <w:color w:val="000000" w:themeColor="text1"/>
                <w:sz w:val="22"/>
                <w:szCs w:val="22"/>
              </w:rPr>
              <w:t>Local Governance Support Program for Local Economic Development (LGSP – LED) clarification on implementation</w:t>
            </w:r>
          </w:p>
        </w:tc>
      </w:tr>
    </w:tbl>
    <w:p w14:paraId="1EC389C1" w14:textId="77777777" w:rsidR="002D7B97" w:rsidRPr="00443ADB" w:rsidRDefault="002D7B97" w:rsidP="002D7B97">
      <w:pPr>
        <w:rPr>
          <w:sz w:val="22"/>
          <w:szCs w:val="22"/>
        </w:rPr>
      </w:pPr>
    </w:p>
    <w:p w14:paraId="339A1410" w14:textId="77777777" w:rsidR="00475260" w:rsidRPr="00443ADB" w:rsidRDefault="00475260" w:rsidP="00475260">
      <w:pPr>
        <w:rPr>
          <w:sz w:val="22"/>
          <w:szCs w:val="22"/>
        </w:rPr>
      </w:pPr>
      <w:r>
        <w:rPr>
          <w:sz w:val="22"/>
          <w:szCs w:val="22"/>
        </w:rPr>
        <w:t>The assigned NPMO Team will continue close coordination with the RPMO to carry out the aforesaid action points. This is for your information in the meantime.</w:t>
      </w:r>
    </w:p>
    <w:p w14:paraId="59C1A0A1" w14:textId="77777777" w:rsidR="002D7B97" w:rsidRDefault="002D7B97" w:rsidP="002D7B97">
      <w:pPr>
        <w:widowControl w:val="0"/>
        <w:autoSpaceDE w:val="0"/>
        <w:autoSpaceDN w:val="0"/>
        <w:adjustRightInd w:val="0"/>
        <w:rPr>
          <w:rFonts w:ascii="Times" w:eastAsiaTheme="minorHAnsi" w:hAnsi="Times" w:cs="Times"/>
          <w:sz w:val="22"/>
          <w:szCs w:val="22"/>
        </w:rPr>
      </w:pPr>
    </w:p>
    <w:p w14:paraId="4C4C9B4B" w14:textId="77777777" w:rsidR="0039590D" w:rsidRDefault="0039590D" w:rsidP="002D7B97">
      <w:pPr>
        <w:widowControl w:val="0"/>
        <w:autoSpaceDE w:val="0"/>
        <w:autoSpaceDN w:val="0"/>
        <w:adjustRightInd w:val="0"/>
        <w:rPr>
          <w:rFonts w:ascii="Times" w:eastAsiaTheme="minorHAnsi" w:hAnsi="Times" w:cs="Times"/>
          <w:sz w:val="22"/>
          <w:szCs w:val="22"/>
        </w:rPr>
      </w:pPr>
    </w:p>
    <w:p w14:paraId="0069E747" w14:textId="77777777" w:rsidR="007260CB" w:rsidRDefault="007260CB" w:rsidP="002D7B97">
      <w:pPr>
        <w:widowControl w:val="0"/>
        <w:autoSpaceDE w:val="0"/>
        <w:autoSpaceDN w:val="0"/>
        <w:adjustRightInd w:val="0"/>
        <w:rPr>
          <w:rFonts w:ascii="Times" w:eastAsiaTheme="minorHAnsi" w:hAnsi="Times" w:cs="Times"/>
          <w:sz w:val="22"/>
          <w:szCs w:val="22"/>
        </w:rPr>
      </w:pPr>
    </w:p>
    <w:p w14:paraId="79DA50A7" w14:textId="77777777" w:rsidR="007260CB" w:rsidRDefault="007260CB" w:rsidP="002D7B97">
      <w:pPr>
        <w:widowControl w:val="0"/>
        <w:autoSpaceDE w:val="0"/>
        <w:autoSpaceDN w:val="0"/>
        <w:adjustRightInd w:val="0"/>
        <w:rPr>
          <w:rFonts w:ascii="Times" w:eastAsiaTheme="minorHAnsi" w:hAnsi="Times" w:cs="Times"/>
          <w:sz w:val="22"/>
          <w:szCs w:val="22"/>
        </w:rPr>
      </w:pPr>
    </w:p>
    <w:p w14:paraId="0B084BD8" w14:textId="77777777" w:rsidR="005A6D0E" w:rsidRDefault="005A6D0E" w:rsidP="002D7B97">
      <w:pPr>
        <w:widowControl w:val="0"/>
        <w:autoSpaceDE w:val="0"/>
        <w:autoSpaceDN w:val="0"/>
        <w:adjustRightInd w:val="0"/>
        <w:rPr>
          <w:rFonts w:ascii="Times" w:eastAsiaTheme="minorHAnsi" w:hAnsi="Times" w:cs="Times"/>
          <w:sz w:val="22"/>
          <w:szCs w:val="22"/>
        </w:rPr>
      </w:pPr>
      <w:bookmarkStart w:id="0" w:name="_GoBack"/>
      <w:bookmarkEnd w:id="0"/>
    </w:p>
    <w:p w14:paraId="475509E9" w14:textId="2469FF72" w:rsidR="007260CB" w:rsidRPr="007260CB" w:rsidRDefault="007260CB" w:rsidP="002D7B97">
      <w:pPr>
        <w:widowControl w:val="0"/>
        <w:autoSpaceDE w:val="0"/>
        <w:autoSpaceDN w:val="0"/>
        <w:adjustRightInd w:val="0"/>
        <w:rPr>
          <w:rFonts w:ascii="Times" w:eastAsiaTheme="minorHAnsi" w:hAnsi="Times" w:cs="Times"/>
          <w:b/>
          <w:sz w:val="22"/>
          <w:szCs w:val="22"/>
        </w:rPr>
      </w:pPr>
      <w:r w:rsidRPr="007260CB">
        <w:rPr>
          <w:rFonts w:ascii="Times" w:eastAsiaTheme="minorHAnsi" w:hAnsi="Times" w:cs="Times"/>
          <w:b/>
          <w:sz w:val="22"/>
          <w:szCs w:val="22"/>
        </w:rPr>
        <w:t>DENNIS A. RAPOSA</w:t>
      </w:r>
    </w:p>
    <w:p w14:paraId="743C1A66" w14:textId="77777777" w:rsidR="002D7B97" w:rsidRPr="00443ADB" w:rsidRDefault="002D7B97" w:rsidP="002D7B97">
      <w:pPr>
        <w:widowControl w:val="0"/>
        <w:autoSpaceDE w:val="0"/>
        <w:autoSpaceDN w:val="0"/>
        <w:adjustRightInd w:val="0"/>
        <w:rPr>
          <w:rFonts w:ascii="Times" w:eastAsiaTheme="minorHAnsi" w:hAnsi="Times" w:cs="Times"/>
          <w:sz w:val="20"/>
          <w:szCs w:val="20"/>
        </w:rPr>
      </w:pPr>
    </w:p>
    <w:p w14:paraId="40CDBA0F" w14:textId="7A85F737" w:rsidR="002D7B97" w:rsidRPr="00443ADB" w:rsidRDefault="002D7B97" w:rsidP="002D7B97">
      <w:pPr>
        <w:rPr>
          <w:b/>
          <w:color w:val="000000" w:themeColor="text1"/>
          <w:sz w:val="20"/>
          <w:szCs w:val="20"/>
        </w:rPr>
      </w:pPr>
    </w:p>
    <w:p w14:paraId="2F67A6CB" w14:textId="2A7E666C" w:rsidR="002D7B97" w:rsidRDefault="002D7B97" w:rsidP="002D7B97">
      <w:pPr>
        <w:rPr>
          <w:rFonts w:eastAsia="Calibri"/>
          <w:b/>
          <w:color w:val="000000" w:themeColor="text1"/>
        </w:rPr>
      </w:pPr>
      <w:r>
        <w:rPr>
          <w:rFonts w:eastAsia="Calibri"/>
          <w:b/>
          <w:color w:val="000000" w:themeColor="text1"/>
        </w:rPr>
        <w:lastRenderedPageBreak/>
        <w:t>FEEDBACK REPORT</w:t>
      </w:r>
    </w:p>
    <w:p w14:paraId="36768F51" w14:textId="77777777" w:rsidR="002D7B97" w:rsidRPr="00081872" w:rsidRDefault="002D7B97" w:rsidP="002D7B97">
      <w:pPr>
        <w:rPr>
          <w:rFonts w:eastAsia="Calibri"/>
          <w:color w:val="000000" w:themeColor="text1"/>
        </w:rPr>
      </w:pPr>
      <w:r>
        <w:rPr>
          <w:rFonts w:eastAsia="Calibri"/>
          <w:color w:val="000000" w:themeColor="text1"/>
        </w:rPr>
        <w:t>2016 Courtesy Call a</w:t>
      </w:r>
      <w:r w:rsidRPr="00081872">
        <w:rPr>
          <w:rFonts w:eastAsia="Calibri"/>
          <w:color w:val="000000" w:themeColor="text1"/>
        </w:rPr>
        <w:t xml:space="preserve">nd </w:t>
      </w:r>
      <w:r>
        <w:rPr>
          <w:rFonts w:eastAsia="Calibri"/>
          <w:color w:val="000000" w:themeColor="text1"/>
        </w:rPr>
        <w:t>Kick-Off/</w:t>
      </w:r>
      <w:r w:rsidRPr="00081872">
        <w:rPr>
          <w:rFonts w:eastAsia="Calibri"/>
          <w:color w:val="000000" w:themeColor="text1"/>
        </w:rPr>
        <w:t>Technical Assistan</w:t>
      </w:r>
      <w:r>
        <w:rPr>
          <w:rFonts w:eastAsia="Calibri"/>
          <w:color w:val="000000" w:themeColor="text1"/>
        </w:rPr>
        <w:t>ce Meeting with Field Office IX and XI</w:t>
      </w:r>
    </w:p>
    <w:p w14:paraId="7D64DA88" w14:textId="77777777" w:rsidR="002D7B97" w:rsidRPr="00C14994" w:rsidRDefault="002D7B97" w:rsidP="002D7B97">
      <w:pPr>
        <w:rPr>
          <w:rFonts w:eastAsia="Calibri"/>
          <w:color w:val="000000" w:themeColor="text1"/>
        </w:rPr>
      </w:pPr>
      <w:r w:rsidRPr="00C14994">
        <w:rPr>
          <w:rFonts w:eastAsia="Calibri"/>
          <w:color w:val="000000" w:themeColor="text1"/>
        </w:rPr>
        <w:fldChar w:fldCharType="begin"/>
      </w:r>
      <w:r w:rsidRPr="00C14994">
        <w:rPr>
          <w:rFonts w:eastAsia="Calibri"/>
          <w:color w:val="000000" w:themeColor="text1"/>
        </w:rPr>
        <w:instrText xml:space="preserve"> TIME \@ "d MMMM yyyy" </w:instrText>
      </w:r>
      <w:r w:rsidRPr="00C14994">
        <w:rPr>
          <w:rFonts w:eastAsia="Calibri"/>
          <w:color w:val="000000" w:themeColor="text1"/>
        </w:rPr>
        <w:fldChar w:fldCharType="separate"/>
      </w:r>
      <w:r w:rsidR="005A6D0E">
        <w:rPr>
          <w:rFonts w:eastAsia="Calibri"/>
          <w:noProof/>
          <w:color w:val="000000" w:themeColor="text1"/>
        </w:rPr>
        <w:t>10 February 2016</w:t>
      </w:r>
      <w:r w:rsidRPr="00C14994">
        <w:rPr>
          <w:rFonts w:eastAsia="Calibri"/>
          <w:color w:val="000000" w:themeColor="text1"/>
        </w:rPr>
        <w:fldChar w:fldCharType="end"/>
      </w:r>
    </w:p>
    <w:p w14:paraId="212097E2" w14:textId="77777777" w:rsidR="002D7B97" w:rsidRDefault="002D7B97" w:rsidP="002D7B97">
      <w:pPr>
        <w:rPr>
          <w:color w:val="000000" w:themeColor="text1"/>
        </w:rPr>
      </w:pP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0"/>
        <w:gridCol w:w="2258"/>
        <w:gridCol w:w="6570"/>
      </w:tblGrid>
      <w:tr w:rsidR="002D7B97" w:rsidRPr="00B57F17" w14:paraId="22A648D5" w14:textId="77777777" w:rsidTr="002D7B97">
        <w:trPr>
          <w:trHeight w:val="77"/>
          <w:tblHeader/>
        </w:trPr>
        <w:tc>
          <w:tcPr>
            <w:tcW w:w="550" w:type="dxa"/>
            <w:shd w:val="clear" w:color="auto" w:fill="000000" w:themeFill="text1"/>
            <w:hideMark/>
          </w:tcPr>
          <w:p w14:paraId="7A6F71F8" w14:textId="77777777" w:rsidR="002D7B97" w:rsidRPr="00B57F17" w:rsidRDefault="002D7B97" w:rsidP="002D7B97">
            <w:pPr>
              <w:rPr>
                <w:b/>
                <w:bCs/>
                <w:color w:val="FFFFFF" w:themeColor="background1"/>
              </w:rPr>
            </w:pPr>
            <w:r w:rsidRPr="00B57F17">
              <w:rPr>
                <w:b/>
                <w:bCs/>
                <w:color w:val="FFFFFF" w:themeColor="background1"/>
              </w:rPr>
              <w:t>FO</w:t>
            </w:r>
          </w:p>
        </w:tc>
        <w:tc>
          <w:tcPr>
            <w:tcW w:w="2258" w:type="dxa"/>
            <w:shd w:val="clear" w:color="auto" w:fill="000000" w:themeFill="text1"/>
            <w:hideMark/>
          </w:tcPr>
          <w:p w14:paraId="20743221" w14:textId="77777777" w:rsidR="002D7B97" w:rsidRPr="00B57F17" w:rsidRDefault="002D7B97" w:rsidP="002D7B97">
            <w:pPr>
              <w:rPr>
                <w:b/>
                <w:bCs/>
                <w:color w:val="FFFFFF" w:themeColor="background1"/>
              </w:rPr>
            </w:pPr>
            <w:r w:rsidRPr="00B57F17">
              <w:rPr>
                <w:b/>
                <w:bCs/>
                <w:color w:val="FFFFFF" w:themeColor="background1"/>
              </w:rPr>
              <w:t>Concern</w:t>
            </w:r>
          </w:p>
        </w:tc>
        <w:tc>
          <w:tcPr>
            <w:tcW w:w="6570" w:type="dxa"/>
            <w:shd w:val="clear" w:color="auto" w:fill="000000" w:themeFill="text1"/>
            <w:hideMark/>
          </w:tcPr>
          <w:p w14:paraId="24B3D95B" w14:textId="77777777" w:rsidR="002D7B97" w:rsidRPr="00B57F17" w:rsidRDefault="002D7B97" w:rsidP="002D7B97">
            <w:pPr>
              <w:jc w:val="center"/>
              <w:rPr>
                <w:b/>
                <w:bCs/>
                <w:color w:val="FFFFFF" w:themeColor="background1"/>
              </w:rPr>
            </w:pPr>
            <w:r>
              <w:rPr>
                <w:b/>
                <w:bCs/>
                <w:color w:val="FFFFFF" w:themeColor="background1"/>
              </w:rPr>
              <w:t>Resolutions/ Agreements</w:t>
            </w:r>
          </w:p>
        </w:tc>
      </w:tr>
      <w:tr w:rsidR="002D7B97" w:rsidRPr="00B12745" w14:paraId="4E339BB0" w14:textId="77777777" w:rsidTr="002D7B97">
        <w:trPr>
          <w:trHeight w:val="77"/>
        </w:trPr>
        <w:tc>
          <w:tcPr>
            <w:tcW w:w="9378" w:type="dxa"/>
            <w:gridSpan w:val="3"/>
            <w:tcBorders>
              <w:bottom w:val="single" w:sz="4" w:space="0" w:color="auto"/>
            </w:tcBorders>
          </w:tcPr>
          <w:p w14:paraId="1A0635A4" w14:textId="77777777" w:rsidR="007260CB" w:rsidRDefault="007260CB" w:rsidP="002D7B97">
            <w:pPr>
              <w:tabs>
                <w:tab w:val="left" w:pos="3165"/>
              </w:tabs>
              <w:rPr>
                <w:b/>
                <w:color w:val="000000" w:themeColor="text1"/>
              </w:rPr>
            </w:pPr>
          </w:p>
          <w:p w14:paraId="6044E5E0" w14:textId="77777777" w:rsidR="002D7B97" w:rsidRPr="00B12745" w:rsidRDefault="002D7B97" w:rsidP="002D7B97">
            <w:pPr>
              <w:tabs>
                <w:tab w:val="left" w:pos="3165"/>
              </w:tabs>
              <w:rPr>
                <w:b/>
              </w:rPr>
            </w:pPr>
            <w:r w:rsidRPr="00B12745">
              <w:rPr>
                <w:b/>
                <w:color w:val="000000" w:themeColor="text1"/>
              </w:rPr>
              <w:t>Thrust and Priority: Program Implementation</w:t>
            </w:r>
            <w:r w:rsidRPr="00B12745">
              <w:rPr>
                <w:b/>
              </w:rPr>
              <w:tab/>
            </w:r>
          </w:p>
        </w:tc>
      </w:tr>
      <w:tr w:rsidR="002D7B97" w:rsidRPr="00B12745" w14:paraId="03321FB8" w14:textId="77777777" w:rsidTr="002D7B97">
        <w:trPr>
          <w:trHeight w:val="1200"/>
        </w:trPr>
        <w:tc>
          <w:tcPr>
            <w:tcW w:w="550" w:type="dxa"/>
            <w:hideMark/>
          </w:tcPr>
          <w:p w14:paraId="7564B2AD" w14:textId="77777777" w:rsidR="002D7B97" w:rsidRPr="00B12745" w:rsidRDefault="002D7B97" w:rsidP="002D7B97">
            <w:pPr>
              <w:rPr>
                <w:color w:val="000000" w:themeColor="text1"/>
              </w:rPr>
            </w:pPr>
            <w:r w:rsidRPr="00B12745">
              <w:rPr>
                <w:color w:val="000000" w:themeColor="text1"/>
              </w:rPr>
              <w:t>IX</w:t>
            </w:r>
          </w:p>
        </w:tc>
        <w:tc>
          <w:tcPr>
            <w:tcW w:w="2258" w:type="dxa"/>
            <w:hideMark/>
          </w:tcPr>
          <w:p w14:paraId="3327878A" w14:textId="77777777" w:rsidR="002D7B97" w:rsidRPr="00B12745" w:rsidRDefault="002D7B97" w:rsidP="002D7B97">
            <w:pPr>
              <w:rPr>
                <w:color w:val="000000" w:themeColor="text1"/>
              </w:rPr>
            </w:pPr>
            <w:r w:rsidRPr="00B12745">
              <w:rPr>
                <w:color w:val="000000" w:themeColor="text1"/>
              </w:rPr>
              <w:t>Field Office IX Restructuring and Staffing Concerns</w:t>
            </w:r>
          </w:p>
        </w:tc>
        <w:tc>
          <w:tcPr>
            <w:tcW w:w="6570" w:type="dxa"/>
            <w:hideMark/>
          </w:tcPr>
          <w:p w14:paraId="0E879A2B" w14:textId="1E3716E6" w:rsidR="002D7B97" w:rsidRPr="00B12745" w:rsidRDefault="002D7B97" w:rsidP="00475260">
            <w:pPr>
              <w:rPr>
                <w:color w:val="000000" w:themeColor="text1"/>
              </w:rPr>
            </w:pPr>
            <w:r w:rsidRPr="00B12745">
              <w:rPr>
                <w:color w:val="000000" w:themeColor="text1"/>
              </w:rPr>
              <w:t>• FO IX aims to capacitate the C/MAT in Convergence for 2016.</w:t>
            </w:r>
            <w:r w:rsidRPr="00B12745">
              <w:rPr>
                <w:color w:val="000000" w:themeColor="text1"/>
              </w:rPr>
              <w:br/>
              <w:t xml:space="preserve">• The FO IX </w:t>
            </w:r>
            <w:r w:rsidR="00475260">
              <w:rPr>
                <w:color w:val="000000" w:themeColor="text1"/>
              </w:rPr>
              <w:t>continues to request</w:t>
            </w:r>
            <w:r w:rsidRPr="00B12745">
              <w:rPr>
                <w:color w:val="000000" w:themeColor="text1"/>
              </w:rPr>
              <w:t xml:space="preserve"> for the Convergence Terms of References.</w:t>
            </w:r>
          </w:p>
        </w:tc>
      </w:tr>
      <w:tr w:rsidR="002D7B97" w:rsidRPr="00B12745" w14:paraId="6C10BDD2" w14:textId="77777777" w:rsidTr="002D7B97">
        <w:trPr>
          <w:trHeight w:val="1500"/>
        </w:trPr>
        <w:tc>
          <w:tcPr>
            <w:tcW w:w="550" w:type="dxa"/>
            <w:hideMark/>
          </w:tcPr>
          <w:p w14:paraId="34F77CE2" w14:textId="77777777" w:rsidR="002D7B97" w:rsidRPr="00B12745" w:rsidRDefault="002D7B97" w:rsidP="002D7B97">
            <w:pPr>
              <w:rPr>
                <w:color w:val="000000" w:themeColor="text1"/>
              </w:rPr>
            </w:pPr>
          </w:p>
        </w:tc>
        <w:tc>
          <w:tcPr>
            <w:tcW w:w="2258" w:type="dxa"/>
          </w:tcPr>
          <w:p w14:paraId="157EB5EF" w14:textId="77777777" w:rsidR="002D7B97" w:rsidRPr="00B12745" w:rsidRDefault="002D7B97" w:rsidP="002D7B97">
            <w:pPr>
              <w:rPr>
                <w:color w:val="000000" w:themeColor="text1"/>
              </w:rPr>
            </w:pPr>
          </w:p>
        </w:tc>
        <w:tc>
          <w:tcPr>
            <w:tcW w:w="6570" w:type="dxa"/>
            <w:hideMark/>
          </w:tcPr>
          <w:p w14:paraId="39165569" w14:textId="77777777" w:rsidR="002D7B97" w:rsidRDefault="002D7B97" w:rsidP="002D7B97">
            <w:pPr>
              <w:rPr>
                <w:color w:val="000000" w:themeColor="text1"/>
              </w:rPr>
            </w:pPr>
            <w:r w:rsidRPr="00B12745">
              <w:rPr>
                <w:color w:val="000000" w:themeColor="text1"/>
              </w:rPr>
              <w:t xml:space="preserve">• The RPMO finds difficulty in turnover of </w:t>
            </w:r>
            <w:r>
              <w:rPr>
                <w:color w:val="000000" w:themeColor="text1"/>
              </w:rPr>
              <w:t xml:space="preserve">PAMANA </w:t>
            </w:r>
            <w:r w:rsidRPr="00B12745">
              <w:rPr>
                <w:color w:val="000000" w:themeColor="text1"/>
              </w:rPr>
              <w:t>SLPAs due to accountability of signatories in association bank accounts.</w:t>
            </w:r>
            <w:r w:rsidRPr="00B12745">
              <w:rPr>
                <w:color w:val="000000" w:themeColor="text1"/>
              </w:rPr>
              <w:br/>
              <w:t>• A consensus was made that PCs will temporarily be the signatory for the SLPA as part of the turnover period.</w:t>
            </w:r>
            <w:r w:rsidRPr="00B12745">
              <w:rPr>
                <w:color w:val="000000" w:themeColor="text1"/>
              </w:rPr>
              <w:br/>
              <w:t>• An alternative motion was raised that MLs should be capacitated and be signatories of SLPAs.</w:t>
            </w:r>
            <w:r w:rsidRPr="00B12745">
              <w:rPr>
                <w:color w:val="000000" w:themeColor="text1"/>
              </w:rPr>
              <w:br/>
              <w:t>• Also, it is unclear as to who and how the new PDO would implement those ready for fund release</w:t>
            </w:r>
          </w:p>
          <w:p w14:paraId="28D770D7" w14:textId="77777777" w:rsidR="002D7B97" w:rsidRPr="00B12745" w:rsidRDefault="002D7B97" w:rsidP="002D7B97">
            <w:pPr>
              <w:rPr>
                <w:color w:val="000000" w:themeColor="text1"/>
              </w:rPr>
            </w:pPr>
          </w:p>
        </w:tc>
      </w:tr>
      <w:tr w:rsidR="002D7B97" w:rsidRPr="00B12745" w14:paraId="711D2A64" w14:textId="77777777" w:rsidTr="002D7B97">
        <w:trPr>
          <w:trHeight w:val="77"/>
        </w:trPr>
        <w:tc>
          <w:tcPr>
            <w:tcW w:w="550" w:type="dxa"/>
            <w:hideMark/>
          </w:tcPr>
          <w:p w14:paraId="594F19B3" w14:textId="77777777" w:rsidR="002D7B97" w:rsidRPr="00B12745" w:rsidRDefault="002D7B97" w:rsidP="002D7B97">
            <w:pPr>
              <w:rPr>
                <w:color w:val="000000" w:themeColor="text1"/>
              </w:rPr>
            </w:pPr>
            <w:r w:rsidRPr="00B12745">
              <w:rPr>
                <w:color w:val="000000" w:themeColor="text1"/>
              </w:rPr>
              <w:t>IX</w:t>
            </w:r>
          </w:p>
        </w:tc>
        <w:tc>
          <w:tcPr>
            <w:tcW w:w="2258" w:type="dxa"/>
            <w:hideMark/>
          </w:tcPr>
          <w:p w14:paraId="4A99BDF8" w14:textId="77777777" w:rsidR="002D7B97" w:rsidRPr="00B12745" w:rsidRDefault="002D7B97" w:rsidP="002D7B97">
            <w:pPr>
              <w:rPr>
                <w:color w:val="000000" w:themeColor="text1"/>
              </w:rPr>
            </w:pPr>
            <w:r w:rsidRPr="00B12745">
              <w:rPr>
                <w:color w:val="000000" w:themeColor="text1"/>
              </w:rPr>
              <w:t>Employment Facilitation</w:t>
            </w:r>
          </w:p>
        </w:tc>
        <w:tc>
          <w:tcPr>
            <w:tcW w:w="6570" w:type="dxa"/>
            <w:hideMark/>
          </w:tcPr>
          <w:p w14:paraId="0719BA0D" w14:textId="1A067C72" w:rsidR="002D7B97" w:rsidRDefault="002D7B97" w:rsidP="002D7B97">
            <w:pPr>
              <w:rPr>
                <w:color w:val="000000" w:themeColor="text1"/>
              </w:rPr>
            </w:pPr>
            <w:r w:rsidRPr="00B12745">
              <w:rPr>
                <w:color w:val="000000" w:themeColor="text1"/>
              </w:rPr>
              <w:t xml:space="preserve">• The Skills Training Modalities must undergo NC II packages through TVIs </w:t>
            </w:r>
            <w:r w:rsidR="00475260">
              <w:rPr>
                <w:color w:val="000000" w:themeColor="text1"/>
              </w:rPr>
              <w:t>accredited by TESDA, as deemed best</w:t>
            </w:r>
            <w:r w:rsidRPr="00B12745">
              <w:rPr>
                <w:color w:val="000000" w:themeColor="text1"/>
              </w:rPr>
              <w:t xml:space="preserve"> by the RD.</w:t>
            </w:r>
          </w:p>
          <w:p w14:paraId="010327DE" w14:textId="77777777" w:rsidR="002D7B97" w:rsidRPr="00B12745" w:rsidRDefault="002D7B97" w:rsidP="002D7B97">
            <w:pPr>
              <w:rPr>
                <w:color w:val="000000" w:themeColor="text1"/>
              </w:rPr>
            </w:pPr>
          </w:p>
        </w:tc>
      </w:tr>
      <w:tr w:rsidR="002D7B97" w:rsidRPr="00B12745" w14:paraId="6DD393AA" w14:textId="77777777" w:rsidTr="002D7B97">
        <w:trPr>
          <w:trHeight w:val="900"/>
        </w:trPr>
        <w:tc>
          <w:tcPr>
            <w:tcW w:w="550" w:type="dxa"/>
            <w:hideMark/>
          </w:tcPr>
          <w:p w14:paraId="06F027C2" w14:textId="77777777" w:rsidR="002D7B97" w:rsidRPr="00B12745" w:rsidRDefault="002D7B97" w:rsidP="002D7B97">
            <w:pPr>
              <w:rPr>
                <w:color w:val="000000" w:themeColor="text1"/>
              </w:rPr>
            </w:pPr>
            <w:r w:rsidRPr="00B12745">
              <w:rPr>
                <w:color w:val="000000" w:themeColor="text1"/>
              </w:rPr>
              <w:t>IX</w:t>
            </w:r>
          </w:p>
        </w:tc>
        <w:tc>
          <w:tcPr>
            <w:tcW w:w="2258" w:type="dxa"/>
            <w:hideMark/>
          </w:tcPr>
          <w:p w14:paraId="4631EC02" w14:textId="77777777" w:rsidR="002D7B97" w:rsidRPr="00B12745" w:rsidRDefault="002D7B97" w:rsidP="002D7B97">
            <w:pPr>
              <w:rPr>
                <w:color w:val="000000" w:themeColor="text1"/>
              </w:rPr>
            </w:pPr>
            <w:r w:rsidRPr="00B12745">
              <w:rPr>
                <w:color w:val="000000" w:themeColor="text1"/>
              </w:rPr>
              <w:t>ARMM – IX Seaweed and Cacao Projects</w:t>
            </w:r>
          </w:p>
        </w:tc>
        <w:tc>
          <w:tcPr>
            <w:tcW w:w="6570" w:type="dxa"/>
            <w:hideMark/>
          </w:tcPr>
          <w:p w14:paraId="185E440E" w14:textId="77777777" w:rsidR="002D7B97" w:rsidRDefault="002D7B97" w:rsidP="002D7B97">
            <w:pPr>
              <w:rPr>
                <w:color w:val="000000" w:themeColor="text1"/>
              </w:rPr>
            </w:pPr>
            <w:r w:rsidRPr="00B12745">
              <w:rPr>
                <w:color w:val="000000" w:themeColor="text1"/>
              </w:rPr>
              <w:t>• The Seaweed and Cacao Projects with ARMM is behind schedule, but is ongoing and properly disbursing.</w:t>
            </w:r>
            <w:r w:rsidRPr="00B12745">
              <w:rPr>
                <w:color w:val="000000" w:themeColor="text1"/>
              </w:rPr>
              <w:br/>
              <w:t>• With the 47 SKAs and 1st tranche download at Php 19M for total project cost, only 28 SKAs have received procured materials last 28-29 December 2015.</w:t>
            </w:r>
            <w:r w:rsidRPr="00B12745">
              <w:rPr>
                <w:color w:val="000000" w:themeColor="text1"/>
              </w:rPr>
              <w:br/>
              <w:t>• 2nd Shipment of materials came last 18 January 2016.</w:t>
            </w:r>
          </w:p>
          <w:p w14:paraId="73659637" w14:textId="77777777" w:rsidR="00EF7DA5" w:rsidRDefault="00EF7DA5" w:rsidP="002D7B97">
            <w:pPr>
              <w:rPr>
                <w:color w:val="000000" w:themeColor="text1"/>
              </w:rPr>
            </w:pPr>
          </w:p>
          <w:p w14:paraId="0437DADA" w14:textId="77777777" w:rsidR="00EF7DA5" w:rsidRPr="00B12745" w:rsidRDefault="00EF7DA5" w:rsidP="002D7B97">
            <w:pPr>
              <w:rPr>
                <w:color w:val="000000" w:themeColor="text1"/>
              </w:rPr>
            </w:pPr>
          </w:p>
        </w:tc>
      </w:tr>
      <w:tr w:rsidR="002D7B97" w:rsidRPr="00B12745" w14:paraId="5A7119A9" w14:textId="77777777" w:rsidTr="002D7B97">
        <w:trPr>
          <w:trHeight w:val="1422"/>
        </w:trPr>
        <w:tc>
          <w:tcPr>
            <w:tcW w:w="550" w:type="dxa"/>
            <w:tcBorders>
              <w:bottom w:val="dashed" w:sz="4" w:space="0" w:color="auto"/>
            </w:tcBorders>
            <w:hideMark/>
          </w:tcPr>
          <w:p w14:paraId="68D4E2FB" w14:textId="77777777" w:rsidR="002D7B97" w:rsidRPr="00B12745" w:rsidRDefault="002D7B97" w:rsidP="002D7B97">
            <w:pPr>
              <w:rPr>
                <w:color w:val="000000" w:themeColor="text1"/>
              </w:rPr>
            </w:pPr>
            <w:r w:rsidRPr="00B12745">
              <w:rPr>
                <w:color w:val="000000" w:themeColor="text1"/>
              </w:rPr>
              <w:t>IX</w:t>
            </w:r>
          </w:p>
        </w:tc>
        <w:tc>
          <w:tcPr>
            <w:tcW w:w="2258" w:type="dxa"/>
            <w:tcBorders>
              <w:bottom w:val="dashed" w:sz="4" w:space="0" w:color="auto"/>
            </w:tcBorders>
            <w:hideMark/>
          </w:tcPr>
          <w:p w14:paraId="4A14ABB2" w14:textId="77777777" w:rsidR="002D7B97" w:rsidRPr="00B12745" w:rsidRDefault="002D7B97" w:rsidP="002D7B97">
            <w:pPr>
              <w:rPr>
                <w:color w:val="000000" w:themeColor="text1"/>
              </w:rPr>
            </w:pPr>
            <w:r w:rsidRPr="00B12745">
              <w:rPr>
                <w:color w:val="000000" w:themeColor="text1"/>
              </w:rPr>
              <w:t>ARMM – IX Seaweed and Cacao Projects</w:t>
            </w:r>
          </w:p>
        </w:tc>
        <w:tc>
          <w:tcPr>
            <w:tcW w:w="6570" w:type="dxa"/>
            <w:tcBorders>
              <w:bottom w:val="dashed" w:sz="4" w:space="0" w:color="auto"/>
            </w:tcBorders>
            <w:hideMark/>
          </w:tcPr>
          <w:p w14:paraId="160BB6D0" w14:textId="77777777" w:rsidR="002D7B97" w:rsidRPr="00B12745" w:rsidRDefault="002D7B97" w:rsidP="002D7B97">
            <w:pPr>
              <w:rPr>
                <w:color w:val="000000" w:themeColor="text1"/>
              </w:rPr>
            </w:pPr>
            <w:r w:rsidRPr="00B12745">
              <w:rPr>
                <w:color w:val="000000" w:themeColor="text1"/>
              </w:rPr>
              <w:t>• ARMM is in the process of liquidating and disbursing all materials; however, the NPMO and RPMO will follow-up on the 2nd week of February 2016 to identify ARMM’s readiness for the 2nd tranche worth Php 50M.</w:t>
            </w:r>
          </w:p>
        </w:tc>
      </w:tr>
      <w:tr w:rsidR="002D7B97" w:rsidRPr="00B57F17" w14:paraId="4CE39DF5" w14:textId="77777777" w:rsidTr="002D7B97">
        <w:trPr>
          <w:trHeight w:val="288"/>
        </w:trPr>
        <w:tc>
          <w:tcPr>
            <w:tcW w:w="9378" w:type="dxa"/>
            <w:gridSpan w:val="3"/>
            <w:tcBorders>
              <w:top w:val="dashed" w:sz="4" w:space="0" w:color="auto"/>
              <w:bottom w:val="single" w:sz="4" w:space="0" w:color="auto"/>
            </w:tcBorders>
          </w:tcPr>
          <w:p w14:paraId="3FF248E7" w14:textId="77777777" w:rsidR="002D7B97" w:rsidRPr="00B57F17" w:rsidRDefault="002D7B97" w:rsidP="002D7B97">
            <w:pPr>
              <w:rPr>
                <w:b/>
                <w:color w:val="000000" w:themeColor="text1"/>
              </w:rPr>
            </w:pPr>
            <w:r w:rsidRPr="00B57F17">
              <w:rPr>
                <w:b/>
                <w:color w:val="000000" w:themeColor="text1"/>
              </w:rPr>
              <w:t>Thrust and Priority: Program Enhancement</w:t>
            </w:r>
          </w:p>
        </w:tc>
      </w:tr>
      <w:tr w:rsidR="002D7B97" w:rsidRPr="00B12745" w14:paraId="1135F2D5" w14:textId="77777777" w:rsidTr="002D7B97">
        <w:trPr>
          <w:trHeight w:val="77"/>
        </w:trPr>
        <w:tc>
          <w:tcPr>
            <w:tcW w:w="550" w:type="dxa"/>
            <w:hideMark/>
          </w:tcPr>
          <w:p w14:paraId="71E2ADC4" w14:textId="77777777" w:rsidR="002D7B97" w:rsidRPr="00B12745" w:rsidRDefault="002D7B97" w:rsidP="002D7B97">
            <w:pPr>
              <w:rPr>
                <w:color w:val="000000" w:themeColor="text1"/>
              </w:rPr>
            </w:pPr>
            <w:r w:rsidRPr="00B12745">
              <w:rPr>
                <w:color w:val="000000" w:themeColor="text1"/>
              </w:rPr>
              <w:t>IX</w:t>
            </w:r>
          </w:p>
        </w:tc>
        <w:tc>
          <w:tcPr>
            <w:tcW w:w="2258" w:type="dxa"/>
            <w:hideMark/>
          </w:tcPr>
          <w:p w14:paraId="203124ED" w14:textId="77777777" w:rsidR="002D7B97" w:rsidRPr="00B12745" w:rsidRDefault="002D7B97" w:rsidP="002D7B97">
            <w:pPr>
              <w:rPr>
                <w:color w:val="000000" w:themeColor="text1"/>
              </w:rPr>
            </w:pPr>
            <w:r w:rsidRPr="00B12745">
              <w:rPr>
                <w:color w:val="000000" w:themeColor="text1"/>
              </w:rPr>
              <w:t>Employment Facilitation</w:t>
            </w:r>
          </w:p>
        </w:tc>
        <w:tc>
          <w:tcPr>
            <w:tcW w:w="6570" w:type="dxa"/>
            <w:hideMark/>
          </w:tcPr>
          <w:p w14:paraId="11797D0D" w14:textId="77777777" w:rsidR="002D7B97" w:rsidRDefault="002D7B97" w:rsidP="002D7B97">
            <w:pPr>
              <w:rPr>
                <w:color w:val="000000" w:themeColor="text1"/>
              </w:rPr>
            </w:pPr>
            <w:r w:rsidRPr="00B12745">
              <w:rPr>
                <w:color w:val="000000" w:themeColor="text1"/>
              </w:rPr>
              <w:t>• The RPMO does not agree with CBLA as an EF accomplishment, in dissonance to the memorandum allowing it.</w:t>
            </w:r>
          </w:p>
          <w:p w14:paraId="18626128" w14:textId="77777777" w:rsidR="007260CB" w:rsidRPr="00B12745" w:rsidRDefault="007260CB" w:rsidP="002D7B97">
            <w:pPr>
              <w:rPr>
                <w:color w:val="000000" w:themeColor="text1"/>
              </w:rPr>
            </w:pPr>
          </w:p>
        </w:tc>
      </w:tr>
      <w:tr w:rsidR="002D7B97" w:rsidRPr="00B12745" w14:paraId="43D12539" w14:textId="77777777" w:rsidTr="002D7B97">
        <w:trPr>
          <w:trHeight w:val="1656"/>
        </w:trPr>
        <w:tc>
          <w:tcPr>
            <w:tcW w:w="550" w:type="dxa"/>
            <w:tcBorders>
              <w:bottom w:val="dashed" w:sz="4" w:space="0" w:color="auto"/>
            </w:tcBorders>
            <w:hideMark/>
          </w:tcPr>
          <w:p w14:paraId="5DB18ACD" w14:textId="4AEA4FDA" w:rsidR="002D7B97" w:rsidRPr="00B12745" w:rsidRDefault="002D7B97" w:rsidP="002D7B97">
            <w:pPr>
              <w:rPr>
                <w:color w:val="000000" w:themeColor="text1"/>
              </w:rPr>
            </w:pPr>
          </w:p>
        </w:tc>
        <w:tc>
          <w:tcPr>
            <w:tcW w:w="2258" w:type="dxa"/>
            <w:tcBorders>
              <w:bottom w:val="dashed" w:sz="4" w:space="0" w:color="auto"/>
            </w:tcBorders>
            <w:hideMark/>
          </w:tcPr>
          <w:p w14:paraId="7F26C7DD" w14:textId="7CBF1DE2" w:rsidR="002D7B97" w:rsidRPr="00B12745" w:rsidRDefault="002D7B97" w:rsidP="002D7B97">
            <w:pPr>
              <w:rPr>
                <w:color w:val="000000" w:themeColor="text1"/>
              </w:rPr>
            </w:pPr>
          </w:p>
        </w:tc>
        <w:tc>
          <w:tcPr>
            <w:tcW w:w="6570" w:type="dxa"/>
            <w:tcBorders>
              <w:bottom w:val="dashed" w:sz="4" w:space="0" w:color="auto"/>
            </w:tcBorders>
            <w:hideMark/>
          </w:tcPr>
          <w:p w14:paraId="0DCE70FC" w14:textId="77777777" w:rsidR="002D7B97" w:rsidRPr="00B12745" w:rsidRDefault="002D7B97" w:rsidP="002D7B97">
            <w:pPr>
              <w:rPr>
                <w:color w:val="000000" w:themeColor="text1"/>
              </w:rPr>
            </w:pPr>
            <w:r w:rsidRPr="00B12745">
              <w:rPr>
                <w:color w:val="000000" w:themeColor="text1"/>
              </w:rPr>
              <w:t>• The RPMO lobbies for the consideration of self-employed as an EF accomplishment individuals providing freelance and home-based services while not owning enterprises themselves.</w:t>
            </w:r>
            <w:r w:rsidRPr="00B12745">
              <w:rPr>
                <w:color w:val="000000" w:themeColor="text1"/>
              </w:rPr>
              <w:br/>
              <w:t>• The RPMO requires the said beneficiaries to maintain a customer logbook inclusive of the date, time, place and price of the service rendered.</w:t>
            </w:r>
          </w:p>
        </w:tc>
      </w:tr>
      <w:tr w:rsidR="002D7B97" w:rsidRPr="00B57F17" w14:paraId="63BBB135" w14:textId="77777777" w:rsidTr="002D7B97">
        <w:trPr>
          <w:trHeight w:val="305"/>
        </w:trPr>
        <w:tc>
          <w:tcPr>
            <w:tcW w:w="9378" w:type="dxa"/>
            <w:gridSpan w:val="3"/>
            <w:tcBorders>
              <w:top w:val="dashed" w:sz="4" w:space="0" w:color="auto"/>
            </w:tcBorders>
          </w:tcPr>
          <w:p w14:paraId="498DE5F5" w14:textId="77777777" w:rsidR="002D7B97" w:rsidRDefault="002D7B97" w:rsidP="002D7B97">
            <w:pPr>
              <w:rPr>
                <w:b/>
                <w:color w:val="000000" w:themeColor="text1"/>
              </w:rPr>
            </w:pPr>
          </w:p>
        </w:tc>
      </w:tr>
      <w:tr w:rsidR="002D7B97" w:rsidRPr="00B57F17" w14:paraId="797463BD" w14:textId="77777777" w:rsidTr="002D7B97">
        <w:trPr>
          <w:trHeight w:val="87"/>
        </w:trPr>
        <w:tc>
          <w:tcPr>
            <w:tcW w:w="9378" w:type="dxa"/>
            <w:gridSpan w:val="3"/>
            <w:tcBorders>
              <w:bottom w:val="single" w:sz="4" w:space="0" w:color="auto"/>
            </w:tcBorders>
          </w:tcPr>
          <w:p w14:paraId="328A29DA" w14:textId="77777777" w:rsidR="002D7B97" w:rsidRPr="00B57F17" w:rsidRDefault="002D7B97" w:rsidP="002D7B97">
            <w:pPr>
              <w:rPr>
                <w:b/>
                <w:color w:val="000000" w:themeColor="text1"/>
              </w:rPr>
            </w:pPr>
            <w:r w:rsidRPr="00B57F17">
              <w:rPr>
                <w:b/>
                <w:color w:val="000000" w:themeColor="text1"/>
              </w:rPr>
              <w:lastRenderedPageBreak/>
              <w:t>Thrust and Priority: Plans and Policy Development</w:t>
            </w:r>
          </w:p>
        </w:tc>
      </w:tr>
      <w:tr w:rsidR="002D7B97" w:rsidRPr="00B12745" w14:paraId="6DE133D0" w14:textId="77777777" w:rsidTr="002D7B97">
        <w:trPr>
          <w:trHeight w:val="602"/>
        </w:trPr>
        <w:tc>
          <w:tcPr>
            <w:tcW w:w="550" w:type="dxa"/>
            <w:tcBorders>
              <w:top w:val="single" w:sz="4" w:space="0" w:color="auto"/>
            </w:tcBorders>
            <w:hideMark/>
          </w:tcPr>
          <w:p w14:paraId="012337CF" w14:textId="77777777" w:rsidR="002D7B97" w:rsidRPr="00B12745" w:rsidRDefault="002D7B97" w:rsidP="002D7B97">
            <w:pPr>
              <w:rPr>
                <w:color w:val="000000" w:themeColor="text1"/>
              </w:rPr>
            </w:pPr>
            <w:r w:rsidRPr="00B12745">
              <w:rPr>
                <w:color w:val="000000" w:themeColor="text1"/>
              </w:rPr>
              <w:t>IX</w:t>
            </w:r>
          </w:p>
        </w:tc>
        <w:tc>
          <w:tcPr>
            <w:tcW w:w="2258" w:type="dxa"/>
            <w:tcBorders>
              <w:top w:val="single" w:sz="4" w:space="0" w:color="auto"/>
            </w:tcBorders>
            <w:hideMark/>
          </w:tcPr>
          <w:p w14:paraId="3F20B446" w14:textId="77777777" w:rsidR="002D7B97" w:rsidRPr="00B12745" w:rsidRDefault="002D7B97" w:rsidP="002D7B97">
            <w:pPr>
              <w:rPr>
                <w:color w:val="000000" w:themeColor="text1"/>
              </w:rPr>
            </w:pPr>
            <w:r w:rsidRPr="00B12745">
              <w:rPr>
                <w:color w:val="000000" w:themeColor="text1"/>
              </w:rPr>
              <w:t>Empowering the SLPA</w:t>
            </w:r>
          </w:p>
        </w:tc>
        <w:tc>
          <w:tcPr>
            <w:tcW w:w="6570" w:type="dxa"/>
            <w:tcBorders>
              <w:top w:val="single" w:sz="4" w:space="0" w:color="auto"/>
            </w:tcBorders>
            <w:hideMark/>
          </w:tcPr>
          <w:p w14:paraId="64B0C47C" w14:textId="77777777" w:rsidR="002D7B97" w:rsidRDefault="002D7B97" w:rsidP="002D7B97">
            <w:pPr>
              <w:rPr>
                <w:color w:val="000000" w:themeColor="text1"/>
              </w:rPr>
            </w:pPr>
            <w:r w:rsidRPr="00B12745">
              <w:rPr>
                <w:color w:val="000000" w:themeColor="text1"/>
              </w:rPr>
              <w:t xml:space="preserve">• The RPMO aims to capacitate the SLPA as a fully-fledged People’s Organization. </w:t>
            </w:r>
            <w:r w:rsidRPr="00B12745">
              <w:rPr>
                <w:color w:val="000000" w:themeColor="text1"/>
              </w:rPr>
              <w:br/>
              <w:t>• This implies that PDOs need not be a signatory of the SLPA to open a bank account. It would also hasten the process of release and withdrawal, as well as future turnover.</w:t>
            </w:r>
            <w:r w:rsidRPr="00B12745">
              <w:rPr>
                <w:color w:val="000000" w:themeColor="text1"/>
              </w:rPr>
              <w:br/>
              <w:t>• However, there are currently no fiduciary safeguards to protect connivance among signatories.</w:t>
            </w:r>
          </w:p>
          <w:p w14:paraId="6C6EB34B" w14:textId="77777777" w:rsidR="002D7B97" w:rsidRPr="00B12745" w:rsidRDefault="002D7B97" w:rsidP="002D7B97">
            <w:pPr>
              <w:rPr>
                <w:color w:val="000000" w:themeColor="text1"/>
              </w:rPr>
            </w:pPr>
          </w:p>
        </w:tc>
      </w:tr>
      <w:tr w:rsidR="002D7B97" w:rsidRPr="00B12745" w14:paraId="39C24BA2" w14:textId="77777777" w:rsidTr="002D7B97">
        <w:trPr>
          <w:trHeight w:val="341"/>
        </w:trPr>
        <w:tc>
          <w:tcPr>
            <w:tcW w:w="550" w:type="dxa"/>
            <w:tcBorders>
              <w:bottom w:val="dashed" w:sz="4" w:space="0" w:color="auto"/>
            </w:tcBorders>
            <w:hideMark/>
          </w:tcPr>
          <w:p w14:paraId="738D9E3B" w14:textId="77777777" w:rsidR="002D7B97" w:rsidRPr="00B12745" w:rsidRDefault="002D7B97" w:rsidP="002D7B97">
            <w:pPr>
              <w:rPr>
                <w:color w:val="000000" w:themeColor="text1"/>
              </w:rPr>
            </w:pPr>
            <w:r w:rsidRPr="00B12745">
              <w:rPr>
                <w:color w:val="000000" w:themeColor="text1"/>
              </w:rPr>
              <w:t>IX</w:t>
            </w:r>
          </w:p>
        </w:tc>
        <w:tc>
          <w:tcPr>
            <w:tcW w:w="2258" w:type="dxa"/>
            <w:tcBorders>
              <w:bottom w:val="dashed" w:sz="4" w:space="0" w:color="auto"/>
            </w:tcBorders>
            <w:hideMark/>
          </w:tcPr>
          <w:p w14:paraId="1AFC3E63" w14:textId="77777777" w:rsidR="002D7B97" w:rsidRPr="00B12745" w:rsidRDefault="002D7B97" w:rsidP="002D7B97">
            <w:pPr>
              <w:rPr>
                <w:color w:val="000000" w:themeColor="text1"/>
              </w:rPr>
            </w:pPr>
            <w:r w:rsidRPr="00B12745">
              <w:rPr>
                <w:color w:val="000000" w:themeColor="text1"/>
              </w:rPr>
              <w:t>PAMANA 2016 Implementation</w:t>
            </w:r>
          </w:p>
        </w:tc>
        <w:tc>
          <w:tcPr>
            <w:tcW w:w="6570" w:type="dxa"/>
            <w:tcBorders>
              <w:bottom w:val="dashed" w:sz="4" w:space="0" w:color="auto"/>
            </w:tcBorders>
            <w:hideMark/>
          </w:tcPr>
          <w:p w14:paraId="59F226AB" w14:textId="77777777" w:rsidR="002D7B97" w:rsidRPr="00B12745" w:rsidRDefault="002D7B97" w:rsidP="002D7B97">
            <w:pPr>
              <w:rPr>
                <w:color w:val="000000" w:themeColor="text1"/>
              </w:rPr>
            </w:pPr>
            <w:r w:rsidRPr="00B12745">
              <w:rPr>
                <w:color w:val="000000" w:themeColor="text1"/>
              </w:rPr>
              <w:t>• PAMANA has funds only for Capacity Building.</w:t>
            </w:r>
            <w:r w:rsidRPr="00B12745">
              <w:rPr>
                <w:color w:val="000000" w:themeColor="text1"/>
              </w:rPr>
              <w:br/>
              <w:t xml:space="preserve">• With ongoing PAMANA areas in FO IX, the NPMO and RPMO are studying possibilities of charging manpower under Training Funds. </w:t>
            </w:r>
          </w:p>
        </w:tc>
      </w:tr>
      <w:tr w:rsidR="002D7B97" w:rsidRPr="00B57F17" w14:paraId="3883EFAA" w14:textId="77777777" w:rsidTr="002D7B97">
        <w:trPr>
          <w:trHeight w:val="170"/>
        </w:trPr>
        <w:tc>
          <w:tcPr>
            <w:tcW w:w="9378" w:type="dxa"/>
            <w:gridSpan w:val="3"/>
            <w:tcBorders>
              <w:top w:val="dashed" w:sz="4" w:space="0" w:color="auto"/>
            </w:tcBorders>
          </w:tcPr>
          <w:p w14:paraId="6DDC53B3" w14:textId="77777777" w:rsidR="002D7B97" w:rsidRPr="00B57F17" w:rsidRDefault="002D7B97" w:rsidP="002D7B97">
            <w:pPr>
              <w:rPr>
                <w:b/>
                <w:color w:val="000000" w:themeColor="text1"/>
              </w:rPr>
            </w:pPr>
          </w:p>
        </w:tc>
      </w:tr>
      <w:tr w:rsidR="002D7B97" w:rsidRPr="00B57F17" w14:paraId="4174015B" w14:textId="77777777" w:rsidTr="002D7B97">
        <w:trPr>
          <w:trHeight w:val="77"/>
        </w:trPr>
        <w:tc>
          <w:tcPr>
            <w:tcW w:w="9378" w:type="dxa"/>
            <w:gridSpan w:val="3"/>
            <w:tcBorders>
              <w:bottom w:val="single" w:sz="4" w:space="0" w:color="auto"/>
            </w:tcBorders>
          </w:tcPr>
          <w:p w14:paraId="388E2D7E" w14:textId="77777777" w:rsidR="002D7B97" w:rsidRPr="00B57F17" w:rsidRDefault="002D7B97" w:rsidP="002D7B97">
            <w:pPr>
              <w:rPr>
                <w:b/>
                <w:color w:val="000000" w:themeColor="text1"/>
              </w:rPr>
            </w:pPr>
            <w:r w:rsidRPr="00B57F17">
              <w:rPr>
                <w:b/>
                <w:color w:val="000000" w:themeColor="text1"/>
              </w:rPr>
              <w:t>Thrust and Priority: Capability Development</w:t>
            </w:r>
          </w:p>
        </w:tc>
      </w:tr>
      <w:tr w:rsidR="002D7B97" w:rsidRPr="00B12745" w14:paraId="370C180B" w14:textId="77777777" w:rsidTr="002D7B97">
        <w:trPr>
          <w:trHeight w:val="1200"/>
        </w:trPr>
        <w:tc>
          <w:tcPr>
            <w:tcW w:w="550" w:type="dxa"/>
            <w:tcBorders>
              <w:top w:val="single" w:sz="4" w:space="0" w:color="auto"/>
              <w:bottom w:val="dashed" w:sz="4" w:space="0" w:color="auto"/>
            </w:tcBorders>
            <w:hideMark/>
          </w:tcPr>
          <w:p w14:paraId="1A64DDF2" w14:textId="77777777" w:rsidR="002D7B97" w:rsidRPr="00B12745" w:rsidRDefault="002D7B97" w:rsidP="002D7B97">
            <w:pPr>
              <w:rPr>
                <w:color w:val="000000" w:themeColor="text1"/>
              </w:rPr>
            </w:pPr>
            <w:r w:rsidRPr="00B12745">
              <w:rPr>
                <w:color w:val="000000" w:themeColor="text1"/>
              </w:rPr>
              <w:t>IX</w:t>
            </w:r>
          </w:p>
        </w:tc>
        <w:tc>
          <w:tcPr>
            <w:tcW w:w="2258" w:type="dxa"/>
            <w:tcBorders>
              <w:top w:val="single" w:sz="4" w:space="0" w:color="auto"/>
              <w:bottom w:val="dashed" w:sz="4" w:space="0" w:color="auto"/>
            </w:tcBorders>
            <w:hideMark/>
          </w:tcPr>
          <w:p w14:paraId="2AA3573F" w14:textId="77777777" w:rsidR="002D7B97" w:rsidRPr="00B12745" w:rsidRDefault="002D7B97" w:rsidP="002D7B97">
            <w:pPr>
              <w:rPr>
                <w:color w:val="000000" w:themeColor="text1"/>
              </w:rPr>
            </w:pPr>
            <w:r w:rsidRPr="00B12745">
              <w:rPr>
                <w:color w:val="000000" w:themeColor="text1"/>
              </w:rPr>
              <w:t>Field Office IX Restructuring and Staffing Concerns</w:t>
            </w:r>
          </w:p>
        </w:tc>
        <w:tc>
          <w:tcPr>
            <w:tcW w:w="6570" w:type="dxa"/>
            <w:tcBorders>
              <w:top w:val="single" w:sz="4" w:space="0" w:color="auto"/>
              <w:bottom w:val="dashed" w:sz="4" w:space="0" w:color="auto"/>
            </w:tcBorders>
            <w:hideMark/>
          </w:tcPr>
          <w:p w14:paraId="53BADC70" w14:textId="77777777" w:rsidR="002D7B97" w:rsidRDefault="002D7B97" w:rsidP="00EF7DA5">
            <w:pPr>
              <w:rPr>
                <w:color w:val="000000" w:themeColor="text1"/>
              </w:rPr>
            </w:pPr>
            <w:r w:rsidRPr="00B12745">
              <w:rPr>
                <w:color w:val="000000" w:themeColor="text1"/>
              </w:rPr>
              <w:t>• All field PDOs must have commerce bac</w:t>
            </w:r>
            <w:r w:rsidR="00EF7DA5">
              <w:rPr>
                <w:color w:val="000000" w:themeColor="text1"/>
              </w:rPr>
              <w:t>kgrounds, as deemed by the RD.</w:t>
            </w:r>
          </w:p>
          <w:p w14:paraId="5756C68E" w14:textId="3E45D738" w:rsidR="00EF7DA5" w:rsidRPr="00B12745" w:rsidRDefault="00EF7DA5" w:rsidP="00EF7DA5">
            <w:pPr>
              <w:rPr>
                <w:color w:val="000000" w:themeColor="text1"/>
              </w:rPr>
            </w:pPr>
            <w:r w:rsidRPr="00B12745">
              <w:rPr>
                <w:color w:val="000000" w:themeColor="text1"/>
              </w:rPr>
              <w:t xml:space="preserve">• </w:t>
            </w:r>
            <w:r>
              <w:rPr>
                <w:color w:val="000000" w:themeColor="text1"/>
              </w:rPr>
              <w:t>The 14 MOA PDOs have been removed and will be replaced to accommodate the directive.</w:t>
            </w:r>
          </w:p>
        </w:tc>
      </w:tr>
    </w:tbl>
    <w:p w14:paraId="66032B65" w14:textId="77777777" w:rsidR="002D7B97" w:rsidRDefault="002D7B97" w:rsidP="002D7B97">
      <w:pPr>
        <w:rPr>
          <w:color w:val="000000" w:themeColor="text1"/>
        </w:rPr>
      </w:pPr>
    </w:p>
    <w:p w14:paraId="22A4B3E2" w14:textId="77777777" w:rsidR="002D7B97" w:rsidRDefault="002D7B97" w:rsidP="002D7B97">
      <w:pPr>
        <w:rPr>
          <w:color w:val="000000" w:themeColor="text1"/>
        </w:rPr>
      </w:pPr>
    </w:p>
    <w:p w14:paraId="2395B80D" w14:textId="77777777" w:rsidR="002D7B97" w:rsidRDefault="002D7B97" w:rsidP="002D7B97">
      <w:pPr>
        <w:rPr>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2"/>
      </w:tblGrid>
      <w:tr w:rsidR="002D7B97" w14:paraId="7A3AC280" w14:textId="77777777" w:rsidTr="002D7B97">
        <w:tc>
          <w:tcPr>
            <w:tcW w:w="4621" w:type="dxa"/>
          </w:tcPr>
          <w:p w14:paraId="41C2811F" w14:textId="77777777" w:rsidR="002D7B97" w:rsidRDefault="002D7B97" w:rsidP="002D7B97">
            <w:pPr>
              <w:jc w:val="center"/>
              <w:rPr>
                <w:color w:val="000000" w:themeColor="text1"/>
              </w:rPr>
            </w:pPr>
            <w:r>
              <w:rPr>
                <w:color w:val="000000" w:themeColor="text1"/>
              </w:rPr>
              <w:t>Prepared by</w:t>
            </w:r>
          </w:p>
          <w:p w14:paraId="5DE05727" w14:textId="77777777" w:rsidR="002D7B97" w:rsidRDefault="002D7B97" w:rsidP="002D7B97">
            <w:pPr>
              <w:jc w:val="center"/>
              <w:rPr>
                <w:color w:val="000000" w:themeColor="text1"/>
              </w:rPr>
            </w:pPr>
          </w:p>
        </w:tc>
        <w:tc>
          <w:tcPr>
            <w:tcW w:w="4622" w:type="dxa"/>
          </w:tcPr>
          <w:p w14:paraId="027C6BA8" w14:textId="77777777" w:rsidR="002D7B97" w:rsidRDefault="002D7B97" w:rsidP="002D7B97">
            <w:pPr>
              <w:jc w:val="center"/>
              <w:rPr>
                <w:color w:val="000000" w:themeColor="text1"/>
              </w:rPr>
            </w:pPr>
            <w:r>
              <w:rPr>
                <w:color w:val="000000" w:themeColor="text1"/>
              </w:rPr>
              <w:t>Noted by</w:t>
            </w:r>
          </w:p>
        </w:tc>
      </w:tr>
      <w:tr w:rsidR="002D7B97" w:rsidRPr="00636B73" w14:paraId="1678696C" w14:textId="77777777" w:rsidTr="002D7B97">
        <w:tc>
          <w:tcPr>
            <w:tcW w:w="4621" w:type="dxa"/>
          </w:tcPr>
          <w:p w14:paraId="7B448714" w14:textId="77777777" w:rsidR="002D7B97" w:rsidRDefault="002D7B97" w:rsidP="002D7B97">
            <w:pPr>
              <w:jc w:val="center"/>
              <w:rPr>
                <w:b/>
                <w:color w:val="000000" w:themeColor="text1"/>
              </w:rPr>
            </w:pPr>
            <w:r w:rsidRPr="00636B73">
              <w:rPr>
                <w:b/>
                <w:color w:val="000000" w:themeColor="text1"/>
              </w:rPr>
              <w:t>DAVID DANIEL P. PAGULAYAN</w:t>
            </w:r>
          </w:p>
          <w:p w14:paraId="3B44AABA" w14:textId="0EFEF471" w:rsidR="007260CB" w:rsidRPr="007260CB" w:rsidRDefault="007260CB" w:rsidP="002D7B97">
            <w:pPr>
              <w:jc w:val="center"/>
              <w:rPr>
                <w:color w:val="000000" w:themeColor="text1"/>
              </w:rPr>
            </w:pPr>
            <w:r>
              <w:rPr>
                <w:color w:val="000000" w:themeColor="text1"/>
              </w:rPr>
              <w:t>Regional Monitor</w:t>
            </w:r>
          </w:p>
        </w:tc>
        <w:tc>
          <w:tcPr>
            <w:tcW w:w="4622" w:type="dxa"/>
          </w:tcPr>
          <w:p w14:paraId="65F4555C" w14:textId="77777777" w:rsidR="002D7B97" w:rsidRDefault="002D7B97" w:rsidP="002D7B97">
            <w:pPr>
              <w:jc w:val="center"/>
              <w:rPr>
                <w:b/>
                <w:color w:val="000000" w:themeColor="text1"/>
              </w:rPr>
            </w:pPr>
            <w:r w:rsidRPr="00636B73">
              <w:rPr>
                <w:b/>
                <w:color w:val="000000" w:themeColor="text1"/>
              </w:rPr>
              <w:t>ALICIA B. BALACAOC</w:t>
            </w:r>
          </w:p>
          <w:p w14:paraId="545686A6" w14:textId="697BA11B" w:rsidR="007260CB" w:rsidRPr="007260CB" w:rsidRDefault="007260CB" w:rsidP="002D7B97">
            <w:pPr>
              <w:jc w:val="center"/>
              <w:rPr>
                <w:color w:val="000000" w:themeColor="text1"/>
              </w:rPr>
            </w:pPr>
            <w:r>
              <w:rPr>
                <w:color w:val="000000" w:themeColor="text1"/>
              </w:rPr>
              <w:t>Cluster Coordinator</w:t>
            </w:r>
          </w:p>
        </w:tc>
      </w:tr>
    </w:tbl>
    <w:p w14:paraId="247102EB" w14:textId="77777777" w:rsidR="002D7B97" w:rsidRDefault="002D7B97" w:rsidP="002D7B97">
      <w:pPr>
        <w:jc w:val="center"/>
        <w:rPr>
          <w:color w:val="000000" w:themeColor="text1"/>
        </w:rPr>
      </w:pPr>
    </w:p>
    <w:p w14:paraId="1E89AB11" w14:textId="77777777" w:rsidR="002D7B97" w:rsidRPr="00214DC4" w:rsidRDefault="002D7B97" w:rsidP="002D7B97">
      <w:pPr>
        <w:jc w:val="center"/>
        <w:rPr>
          <w:color w:val="000000" w:themeColor="text1"/>
        </w:rPr>
      </w:pPr>
    </w:p>
    <w:p w14:paraId="0508829F" w14:textId="77777777" w:rsidR="002D7B97" w:rsidRPr="00214DC4" w:rsidRDefault="002D7B97" w:rsidP="00241DBD">
      <w:pPr>
        <w:jc w:val="center"/>
        <w:rPr>
          <w:color w:val="000000" w:themeColor="text1"/>
        </w:rPr>
      </w:pPr>
    </w:p>
    <w:sectPr w:rsidR="002D7B97" w:rsidRPr="00214DC4" w:rsidSect="002D7B97">
      <w:headerReference w:type="default" r:id="rId8"/>
      <w:footerReference w:type="default" r:id="rId9"/>
      <w:pgSz w:w="11907" w:h="16839" w:code="9"/>
      <w:pgMar w:top="1989" w:right="1440" w:bottom="1440" w:left="1440" w:header="63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A57B6C" w14:textId="77777777" w:rsidR="00105C57" w:rsidRDefault="00105C57" w:rsidP="00275E8B">
      <w:r>
        <w:separator/>
      </w:r>
    </w:p>
  </w:endnote>
  <w:endnote w:type="continuationSeparator" w:id="0">
    <w:p w14:paraId="0A16D779" w14:textId="77777777" w:rsidR="00105C57" w:rsidRDefault="00105C57" w:rsidP="00275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643AE3" w14:textId="77777777" w:rsidR="00105C57" w:rsidRPr="004E74C9" w:rsidRDefault="00105C57" w:rsidP="00385D1F">
    <w:pPr>
      <w:pStyle w:val="Footer"/>
      <w:rPr>
        <w:rFonts w:ascii="Times New Roman" w:hAnsi="Times New Roman" w:cs="Times New Roman"/>
        <w:sz w:val="16"/>
      </w:rPr>
    </w:pPr>
    <w:r>
      <w:rPr>
        <w:rFonts w:ascii="Times New Roman" w:hAnsi="Times New Roman" w:cs="Times New Roman"/>
        <w:sz w:val="16"/>
      </w:rPr>
      <w:t>DDPP/ABB/CDR/GDAR</w:t>
    </w:r>
  </w:p>
  <w:p w14:paraId="683412B2" w14:textId="77777777" w:rsidR="00105C57" w:rsidRPr="004E74C9" w:rsidRDefault="00105C57" w:rsidP="00385D1F">
    <w:pPr>
      <w:pStyle w:val="Footer"/>
      <w:rPr>
        <w:rFonts w:ascii="Times New Roman" w:hAnsi="Times New Roman" w:cs="Times New Roman"/>
        <w:sz w:val="16"/>
      </w:rPr>
    </w:pPr>
    <w:r w:rsidRPr="004E74C9">
      <w:rPr>
        <w:rFonts w:ascii="Times New Roman" w:hAnsi="Times New Roman" w:cs="Times New Roman"/>
        <w:sz w:val="16"/>
      </w:rPr>
      <w:t xml:space="preserve">REFERENCE NO.: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69A4E4" w14:textId="77777777" w:rsidR="00105C57" w:rsidRDefault="00105C57" w:rsidP="00275E8B">
      <w:r>
        <w:separator/>
      </w:r>
    </w:p>
  </w:footnote>
  <w:footnote w:type="continuationSeparator" w:id="0">
    <w:p w14:paraId="0C1B74DD" w14:textId="77777777" w:rsidR="00105C57" w:rsidRDefault="00105C57" w:rsidP="00275E8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136B21" w14:textId="47F33A25" w:rsidR="00105C57" w:rsidRDefault="00105C57" w:rsidP="00275E8B">
    <w:pPr>
      <w:pStyle w:val="Header"/>
      <w:ind w:left="-72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F24B4"/>
    <w:multiLevelType w:val="hybridMultilevel"/>
    <w:tmpl w:val="B04008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B136346"/>
    <w:multiLevelType w:val="hybridMultilevel"/>
    <w:tmpl w:val="80E66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E31F98"/>
    <w:multiLevelType w:val="hybridMultilevel"/>
    <w:tmpl w:val="961640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F68394D"/>
    <w:multiLevelType w:val="hybridMultilevel"/>
    <w:tmpl w:val="0E982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CA5CE3"/>
    <w:multiLevelType w:val="hybridMultilevel"/>
    <w:tmpl w:val="59CEC2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29056F8"/>
    <w:multiLevelType w:val="hybridMultilevel"/>
    <w:tmpl w:val="616E10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FD75B0"/>
    <w:multiLevelType w:val="hybridMultilevel"/>
    <w:tmpl w:val="4C8CF9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2C81018"/>
    <w:multiLevelType w:val="hybridMultilevel"/>
    <w:tmpl w:val="3FEA88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3E0FDA"/>
    <w:multiLevelType w:val="hybridMultilevel"/>
    <w:tmpl w:val="B9905FC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7EE45279"/>
    <w:multiLevelType w:val="hybridMultilevel"/>
    <w:tmpl w:val="6212BE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5"/>
  </w:num>
  <w:num w:numId="3">
    <w:abstractNumId w:val="7"/>
  </w:num>
  <w:num w:numId="4">
    <w:abstractNumId w:val="6"/>
  </w:num>
  <w:num w:numId="5">
    <w:abstractNumId w:val="3"/>
  </w:num>
  <w:num w:numId="6">
    <w:abstractNumId w:val="4"/>
  </w:num>
  <w:num w:numId="7">
    <w:abstractNumId w:val="0"/>
  </w:num>
  <w:num w:numId="8">
    <w:abstractNumId w:val="2"/>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A8D"/>
    <w:rsid w:val="00021943"/>
    <w:rsid w:val="00050C88"/>
    <w:rsid w:val="000611B3"/>
    <w:rsid w:val="0006366F"/>
    <w:rsid w:val="000715B8"/>
    <w:rsid w:val="00081872"/>
    <w:rsid w:val="000939B5"/>
    <w:rsid w:val="000A61DD"/>
    <w:rsid w:val="000B40A4"/>
    <w:rsid w:val="000B59C0"/>
    <w:rsid w:val="000B67D2"/>
    <w:rsid w:val="00105C57"/>
    <w:rsid w:val="001060B8"/>
    <w:rsid w:val="00117A8D"/>
    <w:rsid w:val="001540B9"/>
    <w:rsid w:val="00167A30"/>
    <w:rsid w:val="00171224"/>
    <w:rsid w:val="0018338B"/>
    <w:rsid w:val="001A15C2"/>
    <w:rsid w:val="001A62D3"/>
    <w:rsid w:val="001A689F"/>
    <w:rsid w:val="001D6E47"/>
    <w:rsid w:val="00214DC4"/>
    <w:rsid w:val="00241DBD"/>
    <w:rsid w:val="00251149"/>
    <w:rsid w:val="00252B69"/>
    <w:rsid w:val="0025374F"/>
    <w:rsid w:val="00275E8B"/>
    <w:rsid w:val="00281B5D"/>
    <w:rsid w:val="002B0454"/>
    <w:rsid w:val="002C2EE0"/>
    <w:rsid w:val="002D7B97"/>
    <w:rsid w:val="002E08E3"/>
    <w:rsid w:val="002E6D8F"/>
    <w:rsid w:val="002F3C6D"/>
    <w:rsid w:val="003032D2"/>
    <w:rsid w:val="0031499D"/>
    <w:rsid w:val="00323F6F"/>
    <w:rsid w:val="00325726"/>
    <w:rsid w:val="00330FF2"/>
    <w:rsid w:val="00337211"/>
    <w:rsid w:val="0034091C"/>
    <w:rsid w:val="003463DF"/>
    <w:rsid w:val="00385D1F"/>
    <w:rsid w:val="0039496C"/>
    <w:rsid w:val="0039590D"/>
    <w:rsid w:val="003D36DE"/>
    <w:rsid w:val="0040446B"/>
    <w:rsid w:val="004324AE"/>
    <w:rsid w:val="00443ADB"/>
    <w:rsid w:val="00475260"/>
    <w:rsid w:val="0047791E"/>
    <w:rsid w:val="004B0B91"/>
    <w:rsid w:val="004B22C6"/>
    <w:rsid w:val="004F1E00"/>
    <w:rsid w:val="005026FA"/>
    <w:rsid w:val="005079C5"/>
    <w:rsid w:val="00525F36"/>
    <w:rsid w:val="005307B4"/>
    <w:rsid w:val="00543A42"/>
    <w:rsid w:val="005A6D0E"/>
    <w:rsid w:val="005B3CB9"/>
    <w:rsid w:val="005C2425"/>
    <w:rsid w:val="005E41AA"/>
    <w:rsid w:val="00636B73"/>
    <w:rsid w:val="00644169"/>
    <w:rsid w:val="006704CA"/>
    <w:rsid w:val="00686B58"/>
    <w:rsid w:val="006A6451"/>
    <w:rsid w:val="006B45BB"/>
    <w:rsid w:val="006B47AB"/>
    <w:rsid w:val="006B75D8"/>
    <w:rsid w:val="006C667C"/>
    <w:rsid w:val="006D02CB"/>
    <w:rsid w:val="006D5C6A"/>
    <w:rsid w:val="006E2F3A"/>
    <w:rsid w:val="00706303"/>
    <w:rsid w:val="007260CB"/>
    <w:rsid w:val="007270C4"/>
    <w:rsid w:val="0077489A"/>
    <w:rsid w:val="0078522E"/>
    <w:rsid w:val="007A0DA5"/>
    <w:rsid w:val="007F61BE"/>
    <w:rsid w:val="00810850"/>
    <w:rsid w:val="00816677"/>
    <w:rsid w:val="00884171"/>
    <w:rsid w:val="008919E6"/>
    <w:rsid w:val="00893345"/>
    <w:rsid w:val="0089578B"/>
    <w:rsid w:val="008B3CA5"/>
    <w:rsid w:val="008E7572"/>
    <w:rsid w:val="0090211C"/>
    <w:rsid w:val="00905798"/>
    <w:rsid w:val="00945BEF"/>
    <w:rsid w:val="00954CC3"/>
    <w:rsid w:val="00960668"/>
    <w:rsid w:val="00983FB1"/>
    <w:rsid w:val="00985BE7"/>
    <w:rsid w:val="00994BDC"/>
    <w:rsid w:val="009C6B97"/>
    <w:rsid w:val="009D34F7"/>
    <w:rsid w:val="009F7041"/>
    <w:rsid w:val="00A01CF0"/>
    <w:rsid w:val="00A3550C"/>
    <w:rsid w:val="00A6181C"/>
    <w:rsid w:val="00A9262A"/>
    <w:rsid w:val="00B11A02"/>
    <w:rsid w:val="00B12745"/>
    <w:rsid w:val="00B472B3"/>
    <w:rsid w:val="00B57F17"/>
    <w:rsid w:val="00B769BA"/>
    <w:rsid w:val="00BB29B0"/>
    <w:rsid w:val="00BE7D26"/>
    <w:rsid w:val="00BF3541"/>
    <w:rsid w:val="00BF6781"/>
    <w:rsid w:val="00C00EF2"/>
    <w:rsid w:val="00C1306B"/>
    <w:rsid w:val="00C14994"/>
    <w:rsid w:val="00C2385B"/>
    <w:rsid w:val="00C35487"/>
    <w:rsid w:val="00C61ADF"/>
    <w:rsid w:val="00C830A1"/>
    <w:rsid w:val="00C838B2"/>
    <w:rsid w:val="00C979C7"/>
    <w:rsid w:val="00CA14D3"/>
    <w:rsid w:val="00CB4ED2"/>
    <w:rsid w:val="00CB598B"/>
    <w:rsid w:val="00D150EB"/>
    <w:rsid w:val="00D40EB1"/>
    <w:rsid w:val="00D462D7"/>
    <w:rsid w:val="00D67372"/>
    <w:rsid w:val="00DC25CF"/>
    <w:rsid w:val="00DC562B"/>
    <w:rsid w:val="00DE0526"/>
    <w:rsid w:val="00DF38CA"/>
    <w:rsid w:val="00E300B8"/>
    <w:rsid w:val="00E37589"/>
    <w:rsid w:val="00E42CC2"/>
    <w:rsid w:val="00E8028F"/>
    <w:rsid w:val="00E85A25"/>
    <w:rsid w:val="00EA5D72"/>
    <w:rsid w:val="00EC5EB8"/>
    <w:rsid w:val="00EF7DA5"/>
    <w:rsid w:val="00F4202F"/>
    <w:rsid w:val="00F457C0"/>
    <w:rsid w:val="00F9676F"/>
    <w:rsid w:val="00FE429F"/>
    <w:rsid w:val="00FF4656"/>
    <w:rsid w:val="00FF7B07"/>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ADF6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D1F"/>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E8B"/>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275E8B"/>
    <w:rPr>
      <w:lang w:val="en-US"/>
    </w:rPr>
  </w:style>
  <w:style w:type="paragraph" w:styleId="Footer">
    <w:name w:val="footer"/>
    <w:basedOn w:val="Normal"/>
    <w:link w:val="FooterChar"/>
    <w:uiPriority w:val="99"/>
    <w:unhideWhenUsed/>
    <w:rsid w:val="00275E8B"/>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275E8B"/>
    <w:rPr>
      <w:lang w:val="en-US"/>
    </w:rPr>
  </w:style>
  <w:style w:type="paragraph" w:styleId="BalloonText">
    <w:name w:val="Balloon Text"/>
    <w:basedOn w:val="Normal"/>
    <w:link w:val="BalloonTextChar"/>
    <w:uiPriority w:val="99"/>
    <w:semiHidden/>
    <w:unhideWhenUsed/>
    <w:rsid w:val="00275E8B"/>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275E8B"/>
    <w:rPr>
      <w:rFonts w:ascii="Tahoma" w:hAnsi="Tahoma" w:cs="Tahoma"/>
      <w:sz w:val="16"/>
      <w:szCs w:val="16"/>
      <w:lang w:val="en-US"/>
    </w:rPr>
  </w:style>
  <w:style w:type="paragraph" w:styleId="NoSpacing">
    <w:name w:val="No Spacing"/>
    <w:uiPriority w:val="1"/>
    <w:qFormat/>
    <w:rsid w:val="00385D1F"/>
  </w:style>
  <w:style w:type="table" w:styleId="TableGrid">
    <w:name w:val="Table Grid"/>
    <w:basedOn w:val="TableNormal"/>
    <w:uiPriority w:val="59"/>
    <w:rsid w:val="00385D1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3721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D1F"/>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E8B"/>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275E8B"/>
    <w:rPr>
      <w:lang w:val="en-US"/>
    </w:rPr>
  </w:style>
  <w:style w:type="paragraph" w:styleId="Footer">
    <w:name w:val="footer"/>
    <w:basedOn w:val="Normal"/>
    <w:link w:val="FooterChar"/>
    <w:uiPriority w:val="99"/>
    <w:unhideWhenUsed/>
    <w:rsid w:val="00275E8B"/>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275E8B"/>
    <w:rPr>
      <w:lang w:val="en-US"/>
    </w:rPr>
  </w:style>
  <w:style w:type="paragraph" w:styleId="BalloonText">
    <w:name w:val="Balloon Text"/>
    <w:basedOn w:val="Normal"/>
    <w:link w:val="BalloonTextChar"/>
    <w:uiPriority w:val="99"/>
    <w:semiHidden/>
    <w:unhideWhenUsed/>
    <w:rsid w:val="00275E8B"/>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275E8B"/>
    <w:rPr>
      <w:rFonts w:ascii="Tahoma" w:hAnsi="Tahoma" w:cs="Tahoma"/>
      <w:sz w:val="16"/>
      <w:szCs w:val="16"/>
      <w:lang w:val="en-US"/>
    </w:rPr>
  </w:style>
  <w:style w:type="paragraph" w:styleId="NoSpacing">
    <w:name w:val="No Spacing"/>
    <w:uiPriority w:val="1"/>
    <w:qFormat/>
    <w:rsid w:val="00385D1F"/>
  </w:style>
  <w:style w:type="table" w:styleId="TableGrid">
    <w:name w:val="Table Grid"/>
    <w:basedOn w:val="TableNormal"/>
    <w:uiPriority w:val="59"/>
    <w:rsid w:val="00385D1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372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62049">
      <w:bodyDiv w:val="1"/>
      <w:marLeft w:val="0"/>
      <w:marRight w:val="0"/>
      <w:marTop w:val="0"/>
      <w:marBottom w:val="0"/>
      <w:divBdr>
        <w:top w:val="none" w:sz="0" w:space="0" w:color="auto"/>
        <w:left w:val="none" w:sz="0" w:space="0" w:color="auto"/>
        <w:bottom w:val="none" w:sz="0" w:space="0" w:color="auto"/>
        <w:right w:val="none" w:sz="0" w:space="0" w:color="auto"/>
      </w:divBdr>
    </w:div>
    <w:div w:id="407310000">
      <w:bodyDiv w:val="1"/>
      <w:marLeft w:val="0"/>
      <w:marRight w:val="0"/>
      <w:marTop w:val="0"/>
      <w:marBottom w:val="0"/>
      <w:divBdr>
        <w:top w:val="none" w:sz="0" w:space="0" w:color="auto"/>
        <w:left w:val="none" w:sz="0" w:space="0" w:color="auto"/>
        <w:bottom w:val="none" w:sz="0" w:space="0" w:color="auto"/>
        <w:right w:val="none" w:sz="0" w:space="0" w:color="auto"/>
      </w:divBdr>
    </w:div>
    <w:div w:id="523835259">
      <w:bodyDiv w:val="1"/>
      <w:marLeft w:val="0"/>
      <w:marRight w:val="0"/>
      <w:marTop w:val="0"/>
      <w:marBottom w:val="0"/>
      <w:divBdr>
        <w:top w:val="none" w:sz="0" w:space="0" w:color="auto"/>
        <w:left w:val="none" w:sz="0" w:space="0" w:color="auto"/>
        <w:bottom w:val="none" w:sz="0" w:space="0" w:color="auto"/>
        <w:right w:val="none" w:sz="0" w:space="0" w:color="auto"/>
      </w:divBdr>
    </w:div>
    <w:div w:id="724983626">
      <w:bodyDiv w:val="1"/>
      <w:marLeft w:val="0"/>
      <w:marRight w:val="0"/>
      <w:marTop w:val="0"/>
      <w:marBottom w:val="0"/>
      <w:divBdr>
        <w:top w:val="none" w:sz="0" w:space="0" w:color="auto"/>
        <w:left w:val="none" w:sz="0" w:space="0" w:color="auto"/>
        <w:bottom w:val="none" w:sz="0" w:space="0" w:color="auto"/>
        <w:right w:val="none" w:sz="0" w:space="0" w:color="auto"/>
      </w:divBdr>
    </w:div>
    <w:div w:id="104290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7</Pages>
  <Words>1901</Words>
  <Characters>10841</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D</cp:lastModifiedBy>
  <cp:revision>6</cp:revision>
  <cp:lastPrinted>2016-02-10T08:42:00Z</cp:lastPrinted>
  <dcterms:created xsi:type="dcterms:W3CDTF">2016-02-09T09:17:00Z</dcterms:created>
  <dcterms:modified xsi:type="dcterms:W3CDTF">2016-02-10T08:45:00Z</dcterms:modified>
</cp:coreProperties>
</file>