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F0" w:rsidRPr="00417202" w:rsidRDefault="009F13F0" w:rsidP="009F13F0">
      <w:pPr>
        <w:spacing w:after="0"/>
        <w:jc w:val="center"/>
        <w:rPr>
          <w:b/>
          <w:sz w:val="24"/>
          <w:szCs w:val="24"/>
        </w:rPr>
      </w:pPr>
      <w:r w:rsidRPr="00417202">
        <w:rPr>
          <w:b/>
          <w:sz w:val="24"/>
          <w:szCs w:val="24"/>
        </w:rPr>
        <w:t>DEPARTMENT OF SOCIAL WELFARE AND DEVELOPMENT</w:t>
      </w:r>
    </w:p>
    <w:p w:rsidR="009F13F0" w:rsidRDefault="009F13F0" w:rsidP="009F13F0">
      <w:pPr>
        <w:spacing w:after="0"/>
        <w:jc w:val="center"/>
      </w:pPr>
      <w:r>
        <w:t>Field Office XII</w:t>
      </w:r>
    </w:p>
    <w:p w:rsidR="009F13F0" w:rsidRDefault="009F13F0" w:rsidP="009F13F0">
      <w:pPr>
        <w:spacing w:after="0"/>
        <w:jc w:val="center"/>
      </w:pPr>
    </w:p>
    <w:p w:rsidR="009F13F0" w:rsidRDefault="009F13F0" w:rsidP="009F13F0">
      <w:pPr>
        <w:spacing w:after="0"/>
        <w:jc w:val="center"/>
        <w:rPr>
          <w:b/>
          <w:sz w:val="24"/>
          <w:szCs w:val="24"/>
        </w:rPr>
      </w:pPr>
      <w:r w:rsidRPr="00417202">
        <w:rPr>
          <w:b/>
          <w:sz w:val="24"/>
          <w:szCs w:val="24"/>
        </w:rPr>
        <w:t>SELF EMPLOYMENT ASSISTANCE KAUNLARAN (SEA-K) PROGRAM</w:t>
      </w:r>
    </w:p>
    <w:p w:rsidR="009F13F0" w:rsidRPr="00417202" w:rsidRDefault="009F13F0" w:rsidP="009F13F0">
      <w:pPr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17275" w:type="dxa"/>
        <w:tblLook w:val="04A0" w:firstRow="1" w:lastRow="0" w:firstColumn="1" w:lastColumn="0" w:noHBand="0" w:noVBand="1"/>
      </w:tblPr>
      <w:tblGrid>
        <w:gridCol w:w="2959"/>
        <w:gridCol w:w="1297"/>
        <w:gridCol w:w="1168"/>
        <w:gridCol w:w="1258"/>
        <w:gridCol w:w="1617"/>
        <w:gridCol w:w="1797"/>
        <w:gridCol w:w="1267"/>
        <w:gridCol w:w="5912"/>
      </w:tblGrid>
      <w:tr w:rsidR="009F13F0" w:rsidTr="009B488C">
        <w:trPr>
          <w:trHeight w:val="386"/>
        </w:trPr>
        <w:tc>
          <w:tcPr>
            <w:tcW w:w="2965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NAME OF SEA-K ASSOCIATION</w:t>
            </w:r>
          </w:p>
        </w:tc>
        <w:tc>
          <w:tcPr>
            <w:tcW w:w="1260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BARANGAY</w:t>
            </w:r>
          </w:p>
        </w:tc>
        <w:tc>
          <w:tcPr>
            <w:tcW w:w="1170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YEAR FUNDED</w:t>
            </w:r>
          </w:p>
        </w:tc>
        <w:tc>
          <w:tcPr>
            <w:tcW w:w="1260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SOURCE OF FUND</w:t>
            </w:r>
          </w:p>
        </w:tc>
        <w:tc>
          <w:tcPr>
            <w:tcW w:w="1620" w:type="dxa"/>
          </w:tcPr>
          <w:p w:rsidR="009F13F0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 xml:space="preserve">AMOUNT OF </w:t>
            </w:r>
          </w:p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4"/>
                <w:szCs w:val="14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4"/>
                <w:szCs w:val="14"/>
                <w:lang w:val="en-US"/>
              </w:rPr>
              <w:t>CAPITAL ASSISTANCE</w:t>
            </w:r>
          </w:p>
        </w:tc>
        <w:tc>
          <w:tcPr>
            <w:tcW w:w="1800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 xml:space="preserve">REPAYMENT </w:t>
            </w:r>
            <w:r w:rsidRPr="00417202">
              <w:rPr>
                <w:rFonts w:ascii="Arial Narrow" w:eastAsia="Arial Unicode MS" w:hAnsi="Arial Narrow" w:cs="Arial Unicode MS"/>
                <w:b/>
                <w:sz w:val="14"/>
                <w:szCs w:val="14"/>
                <w:lang w:val="en-US"/>
              </w:rPr>
              <w:t>CUMMULATIVE TOTAL</w:t>
            </w:r>
          </w:p>
        </w:tc>
        <w:tc>
          <w:tcPr>
            <w:tcW w:w="1268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BALANCE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center"/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</w:pPr>
            <w:r w:rsidRPr="00417202">
              <w:rPr>
                <w:rFonts w:ascii="Arial Narrow" w:eastAsia="Arial Unicode MS" w:hAnsi="Arial Narrow" w:cs="Arial Unicode MS"/>
                <w:b/>
                <w:sz w:val="18"/>
                <w:szCs w:val="18"/>
                <w:lang w:val="en-US"/>
              </w:rPr>
              <w:t>REASON/S FOR DELISTING/ACTION TAKEN</w:t>
            </w:r>
          </w:p>
        </w:tc>
      </w:tr>
      <w:tr w:rsidR="009F13F0" w:rsidTr="009B488C">
        <w:trPr>
          <w:trHeight w:val="406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DANLAG 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DANLAG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1995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1250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TAMPAKAN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TAMPAKAN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1995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75,000.00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25,000.00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152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STA.CRUZ 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STA.CRUZ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1996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449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STA.CRUZ II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STA.CRUZ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1997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242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SAN ISIDRO 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SAN ISIDRO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1997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341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SAN ISIDRO II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SAN ISIDRO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1997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85,507.00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12,493.00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  <w:tr w:rsidR="009F13F0" w:rsidTr="009B488C">
        <w:trPr>
          <w:trHeight w:val="363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t>DANLAG II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DANLAG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1997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70,839.00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21,161.00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  <w:tr w:rsidR="009F13F0" w:rsidTr="009B488C">
        <w:trPr>
          <w:trHeight w:val="320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b/>
                <w:color w:val="000000" w:themeColor="text1"/>
              </w:rPr>
            </w:pPr>
            <w:r w:rsidRPr="006A1D7D">
              <w:rPr>
                <w:b/>
                <w:color w:val="000000" w:themeColor="text1"/>
              </w:rPr>
              <w:t>KALIPI- LIBERTY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A1D7D">
              <w:rPr>
                <w:rFonts w:cs="Arial"/>
                <w:color w:val="000000" w:themeColor="text1"/>
                <w:sz w:val="20"/>
                <w:szCs w:val="20"/>
              </w:rPr>
              <w:t>LIBERTY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RSF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141,700.00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70,944.00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 70,756.00</w:t>
            </w:r>
          </w:p>
        </w:tc>
        <w:tc>
          <w:tcPr>
            <w:tcW w:w="5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  <w:tr w:rsidR="009F13F0" w:rsidTr="009B488C">
        <w:trPr>
          <w:trHeight w:val="255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Times New Roman" w:cs="Arial"/>
                <w:b/>
                <w:color w:val="000000" w:themeColor="text1"/>
                <w:lang w:eastAsia="en-PH"/>
              </w:rPr>
              <w:t>LAMBAYONG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A1D7D">
              <w:rPr>
                <w:rFonts w:cs="Arial"/>
                <w:color w:val="000000" w:themeColor="text1"/>
                <w:sz w:val="20"/>
                <w:szCs w:val="20"/>
              </w:rPr>
              <w:t>LAMBAYONG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RSF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100,000.00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100,000.00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lastRenderedPageBreak/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XI.</w:t>
            </w:r>
          </w:p>
        </w:tc>
      </w:tr>
      <w:tr w:rsidR="009F13F0" w:rsidTr="009B488C">
        <w:trPr>
          <w:trHeight w:val="255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lang w:val="en-US"/>
              </w:rPr>
              <w:lastRenderedPageBreak/>
              <w:t>LAMPITAK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sz w:val="20"/>
                <w:szCs w:val="20"/>
                <w:lang w:val="en-US"/>
              </w:rPr>
              <w:t>LAMPITAK</w:t>
            </w:r>
          </w:p>
        </w:tc>
        <w:tc>
          <w:tcPr>
            <w:tcW w:w="117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2003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color w:val="000000" w:themeColor="text1"/>
                <w:lang w:val="en-US"/>
              </w:rPr>
            </w:pPr>
            <w:r w:rsidRPr="006A1D7D">
              <w:rPr>
                <w:rFonts w:eastAsia="Arial Unicode MS" w:cs="Arial Unicode MS"/>
                <w:color w:val="000000" w:themeColor="text1"/>
                <w:lang w:val="en-US"/>
              </w:rPr>
              <w:t>CIDSS</w:t>
            </w:r>
          </w:p>
        </w:tc>
        <w:tc>
          <w:tcPr>
            <w:tcW w:w="162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100,000.00</w:t>
            </w:r>
          </w:p>
        </w:tc>
        <w:tc>
          <w:tcPr>
            <w:tcW w:w="180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54,171.00</w:t>
            </w:r>
          </w:p>
        </w:tc>
        <w:tc>
          <w:tcPr>
            <w:tcW w:w="1268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</w:pPr>
            <w:r w:rsidRPr="006A1D7D">
              <w:rPr>
                <w:rFonts w:eastAsia="Arial Unicode MS" w:cs="Arial Unicode MS"/>
                <w:b/>
                <w:color w:val="000000" w:themeColor="text1"/>
                <w:sz w:val="18"/>
                <w:szCs w:val="18"/>
                <w:lang w:val="en-US"/>
              </w:rPr>
              <w:t>P   45,829.00</w:t>
            </w:r>
          </w:p>
        </w:tc>
        <w:tc>
          <w:tcPr>
            <w:tcW w:w="5932" w:type="dxa"/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eastAsia="Arial Unicode MS" w:cs="Arial Unicode MS"/>
                <w:color w:val="000000" w:themeColor="text1"/>
                <w:sz w:val="14"/>
                <w:szCs w:val="14"/>
                <w:lang w:val="en-US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  <w:tr w:rsidR="009F13F0" w:rsidTr="009B488C">
        <w:trPr>
          <w:trHeight w:val="427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Times New Roman" w:cs="Arial"/>
                <w:b/>
                <w:color w:val="000000" w:themeColor="text1"/>
                <w:lang w:eastAsia="en-PH"/>
              </w:rPr>
              <w:t>MASIKAP SEA-K ASSOC.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A1D7D">
              <w:rPr>
                <w:rFonts w:cs="Arial"/>
                <w:color w:val="000000" w:themeColor="text1"/>
                <w:sz w:val="20"/>
                <w:szCs w:val="20"/>
              </w:rPr>
              <w:t>TAMPAKAN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2008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RD-SRSF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125,000.00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115,000.00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  10,000.00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  <w:tr w:rsidR="009F13F0" w:rsidTr="009B488C">
        <w:trPr>
          <w:trHeight w:val="152"/>
        </w:trPr>
        <w:tc>
          <w:tcPr>
            <w:tcW w:w="2965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eastAsia="Arial Unicode MS" w:cs="Arial Unicode MS"/>
                <w:b/>
                <w:color w:val="000000" w:themeColor="text1"/>
                <w:lang w:val="en-US"/>
              </w:rPr>
            </w:pPr>
            <w:r w:rsidRPr="006A1D7D">
              <w:rPr>
                <w:rFonts w:eastAsia="Times New Roman" w:cs="Arial"/>
                <w:b/>
                <w:color w:val="000000" w:themeColor="text1"/>
                <w:lang w:eastAsia="en-PH"/>
              </w:rPr>
              <w:t>KIPALBIG UNITED WOMENS SKA</w:t>
            </w:r>
          </w:p>
        </w:tc>
        <w:tc>
          <w:tcPr>
            <w:tcW w:w="1260" w:type="dxa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A1D7D">
              <w:rPr>
                <w:rFonts w:cs="Arial"/>
                <w:color w:val="000000" w:themeColor="text1"/>
                <w:sz w:val="20"/>
                <w:szCs w:val="20"/>
              </w:rPr>
              <w:t>KIPALBIG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2009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color w:val="000000" w:themeColor="text1"/>
              </w:rPr>
            </w:pPr>
            <w:r w:rsidRPr="006A1D7D">
              <w:rPr>
                <w:rFonts w:cs="Arial"/>
                <w:color w:val="000000" w:themeColor="text1"/>
              </w:rPr>
              <w:t>RD-SRSF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150,000.00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50,000.00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3F0" w:rsidRPr="006A1D7D" w:rsidRDefault="009F13F0" w:rsidP="009B488C">
            <w:pPr>
              <w:spacing w:line="48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6A1D7D">
              <w:rPr>
                <w:rFonts w:cs="Arial"/>
                <w:b/>
                <w:color w:val="000000" w:themeColor="text1"/>
                <w:sz w:val="18"/>
                <w:szCs w:val="18"/>
              </w:rPr>
              <w:t>P 100,000.00</w:t>
            </w:r>
          </w:p>
        </w:tc>
        <w:tc>
          <w:tcPr>
            <w:tcW w:w="5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Poor monitoring and delayed project evaluation and incapacitated participants perceives as dole-out,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Death and transfer/change of residency of officers and members.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>bankruptcy, diminishing and deteriorating, delinquency of payments of the members wherein savings are used to cover up other members payments;</w:t>
            </w:r>
          </w:p>
          <w:p w:rsidR="009F13F0" w:rsidRPr="00417202" w:rsidRDefault="009F13F0" w:rsidP="009B488C">
            <w:pPr>
              <w:jc w:val="both"/>
              <w:rPr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 Natural calamities happened in the aforementioned years, thus their Livelihood projects are affected,</w:t>
            </w:r>
          </w:p>
          <w:p w:rsidR="009F13F0" w:rsidRPr="00417202" w:rsidRDefault="009F13F0" w:rsidP="009B488C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417202">
              <w:rPr>
                <w:sz w:val="14"/>
                <w:szCs w:val="14"/>
              </w:rPr>
              <w:t xml:space="preserve">No documents were further turned over to the Local Government Unit, considering that South </w:t>
            </w:r>
            <w:proofErr w:type="spellStart"/>
            <w:r w:rsidRPr="00417202">
              <w:rPr>
                <w:sz w:val="14"/>
                <w:szCs w:val="14"/>
              </w:rPr>
              <w:t>Cotabato</w:t>
            </w:r>
            <w:proofErr w:type="spellEnd"/>
            <w:r w:rsidRPr="00417202">
              <w:rPr>
                <w:sz w:val="14"/>
                <w:szCs w:val="14"/>
              </w:rPr>
              <w:t xml:space="preserve"> was then geographically part of Region XI</w:t>
            </w:r>
          </w:p>
        </w:tc>
      </w:tr>
    </w:tbl>
    <w:p w:rsidR="009F13F0" w:rsidRDefault="009F13F0" w:rsidP="009F13F0">
      <w:pPr>
        <w:spacing w:after="0"/>
        <w:jc w:val="both"/>
      </w:pPr>
    </w:p>
    <w:p w:rsidR="009F13F0" w:rsidRDefault="009F13F0" w:rsidP="009F13F0">
      <w:pPr>
        <w:spacing w:after="0"/>
        <w:jc w:val="both"/>
      </w:pPr>
    </w:p>
    <w:p w:rsidR="009F13F0" w:rsidRDefault="009F13F0" w:rsidP="009F13F0">
      <w:pPr>
        <w:spacing w:after="0"/>
        <w:ind w:firstLine="720"/>
        <w:jc w:val="both"/>
      </w:pPr>
      <w:r>
        <w:t>Prepared by:</w:t>
      </w:r>
      <w:r>
        <w:tab/>
      </w:r>
      <w:r>
        <w:tab/>
      </w:r>
      <w:r>
        <w:tab/>
      </w:r>
      <w:r>
        <w:tab/>
        <w:t xml:space="preserve">   Noted by: </w:t>
      </w:r>
      <w:r>
        <w:tab/>
      </w:r>
      <w:r>
        <w:tab/>
      </w:r>
      <w:r>
        <w:tab/>
      </w:r>
      <w:r>
        <w:tab/>
      </w:r>
      <w:r>
        <w:tab/>
        <w:t xml:space="preserve">      Certified Correct by:</w:t>
      </w:r>
      <w:r>
        <w:tab/>
      </w:r>
      <w:r>
        <w:tab/>
      </w:r>
      <w:r>
        <w:tab/>
      </w:r>
      <w:r>
        <w:tab/>
      </w:r>
      <w:r>
        <w:tab/>
        <w:t>Submitted by:</w:t>
      </w:r>
    </w:p>
    <w:p w:rsidR="009F13F0" w:rsidRDefault="009F13F0" w:rsidP="009F13F0">
      <w:pPr>
        <w:spacing w:after="0"/>
        <w:jc w:val="both"/>
      </w:pPr>
    </w:p>
    <w:p w:rsidR="009F13F0" w:rsidRDefault="009F13F0" w:rsidP="009F13F0">
      <w:pPr>
        <w:spacing w:after="0"/>
        <w:jc w:val="both"/>
      </w:pPr>
    </w:p>
    <w:p w:rsidR="009F13F0" w:rsidRDefault="009F13F0" w:rsidP="009F13F0">
      <w:pPr>
        <w:spacing w:after="0"/>
        <w:ind w:firstLine="720"/>
        <w:rPr>
          <w:b/>
        </w:rPr>
      </w:pPr>
      <w:r>
        <w:rPr>
          <w:b/>
        </w:rPr>
        <w:t>RONALD S. DARIA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NORAIDAH T. BUSRAN</w:t>
      </w:r>
      <w:r>
        <w:rPr>
          <w:b/>
        </w:rPr>
        <w:tab/>
      </w:r>
      <w:r>
        <w:rPr>
          <w:b/>
        </w:rPr>
        <w:tab/>
        <w:t xml:space="preserve">                     </w:t>
      </w:r>
      <w:r w:rsidRPr="00417202">
        <w:rPr>
          <w:b/>
        </w:rPr>
        <w:t>EVELYN B. PINONGCOS, CP</w:t>
      </w:r>
      <w:r>
        <w:rPr>
          <w:b/>
        </w:rPr>
        <w:t>A</w:t>
      </w:r>
      <w:r>
        <w:rPr>
          <w:b/>
        </w:rPr>
        <w:tab/>
      </w:r>
      <w:r>
        <w:rPr>
          <w:b/>
        </w:rPr>
        <w:tab/>
        <w:t xml:space="preserve">               BAI ZORAHAYDA T. TAHA</w:t>
      </w:r>
      <w:r>
        <w:rPr>
          <w:b/>
        </w:rPr>
        <w:tab/>
      </w:r>
      <w:r>
        <w:rPr>
          <w:b/>
        </w:rPr>
        <w:tab/>
      </w:r>
    </w:p>
    <w:p w:rsidR="00DB38DE" w:rsidRDefault="009F13F0" w:rsidP="009F13F0">
      <w:r>
        <w:t>Project Development Officer</w:t>
      </w:r>
      <w:r>
        <w:tab/>
      </w:r>
      <w:r>
        <w:tab/>
        <w:t xml:space="preserve">   PDO III – Regional Project Coordinator                     </w:t>
      </w:r>
      <w:r>
        <w:tab/>
        <w:t xml:space="preserve">            </w:t>
      </w:r>
      <w:r w:rsidRPr="00417202">
        <w:t xml:space="preserve"> </w:t>
      </w:r>
      <w:r>
        <w:t>Regional Accountant</w:t>
      </w:r>
      <w:r>
        <w:tab/>
      </w:r>
      <w:r>
        <w:tab/>
      </w:r>
      <w:r>
        <w:tab/>
      </w:r>
      <w:r>
        <w:tab/>
      </w:r>
      <w:r>
        <w:t xml:space="preserve">      </w:t>
      </w:r>
      <w:bookmarkStart w:id="0" w:name="_GoBack"/>
      <w:bookmarkEnd w:id="0"/>
      <w:r>
        <w:t>Regional Director</w:t>
      </w:r>
    </w:p>
    <w:sectPr w:rsidR="00DB38DE" w:rsidSect="009F13F0">
      <w:pgSz w:w="1872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F0"/>
    <w:rsid w:val="009F13F0"/>
    <w:rsid w:val="00D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45A0E-3615-4A83-897A-5924ECC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2016-05-27T04:44:00Z</dcterms:created>
  <dcterms:modified xsi:type="dcterms:W3CDTF">2016-05-27T04:46:00Z</dcterms:modified>
</cp:coreProperties>
</file>