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8DE" w:rsidRDefault="00272DE7" w:rsidP="00272DE7">
      <w:pPr>
        <w:spacing w:after="0"/>
        <w:jc w:val="center"/>
      </w:pPr>
      <w:r>
        <w:rPr>
          <w:noProof/>
          <w:lang w:eastAsia="en-PH"/>
        </w:rPr>
        <w:drawing>
          <wp:anchor distT="0" distB="0" distL="114300" distR="114300" simplePos="0" relativeHeight="251658240" behindDoc="1" locked="0" layoutInCell="1" allowOverlap="1" wp14:anchorId="0773D6F6" wp14:editId="020A60AF">
            <wp:simplePos x="0" y="0"/>
            <wp:positionH relativeFrom="margin">
              <wp:align>left</wp:align>
            </wp:positionH>
            <wp:positionV relativeFrom="paragraph">
              <wp:posOffset>-138586</wp:posOffset>
            </wp:positionV>
            <wp:extent cx="937703" cy="9230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icipal_logo.jpg"/>
                    <pic:cNvPicPr/>
                  </pic:nvPicPr>
                  <pic:blipFill>
                    <a:blip r:embed="rId5" cstate="print">
                      <a:biLevel thresh="50000"/>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37703" cy="923026"/>
                    </a:xfrm>
                    <a:prstGeom prst="rect">
                      <a:avLst/>
                    </a:prstGeom>
                    <a:solidFill>
                      <a:schemeClr val="bg1">
                        <a:lumMod val="95000"/>
                      </a:schemeClr>
                    </a:solidFill>
                    <a:effectLst/>
                  </pic:spPr>
                </pic:pic>
              </a:graphicData>
            </a:graphic>
            <wp14:sizeRelH relativeFrom="margin">
              <wp14:pctWidth>0</wp14:pctWidth>
            </wp14:sizeRelH>
            <wp14:sizeRelV relativeFrom="margin">
              <wp14:pctHeight>0</wp14:pctHeight>
            </wp14:sizeRelV>
          </wp:anchor>
        </w:drawing>
      </w:r>
      <w:r w:rsidR="006754B9">
        <w:t>Republic of the Philippines</w:t>
      </w:r>
    </w:p>
    <w:p w:rsidR="006754B9" w:rsidRDefault="006754B9" w:rsidP="00272DE7">
      <w:pPr>
        <w:spacing w:after="0"/>
        <w:jc w:val="center"/>
      </w:pPr>
      <w:r>
        <w:t xml:space="preserve">Province of South </w:t>
      </w:r>
      <w:proofErr w:type="spellStart"/>
      <w:r>
        <w:t>Cotabato</w:t>
      </w:r>
      <w:proofErr w:type="spellEnd"/>
    </w:p>
    <w:p w:rsidR="006754B9" w:rsidRPr="00866E70" w:rsidRDefault="006754B9" w:rsidP="00272DE7">
      <w:pPr>
        <w:spacing w:after="0"/>
        <w:jc w:val="center"/>
        <w:rPr>
          <w:rFonts w:ascii="Times New Roman" w:hAnsi="Times New Roman" w:cs="Times New Roman"/>
          <w:b/>
        </w:rPr>
      </w:pPr>
      <w:r w:rsidRPr="00866E70">
        <w:rPr>
          <w:rFonts w:ascii="Times New Roman" w:hAnsi="Times New Roman" w:cs="Times New Roman"/>
          <w:b/>
        </w:rPr>
        <w:t>MUNICIPALITY OF TAMPAKAN</w:t>
      </w:r>
    </w:p>
    <w:p w:rsidR="00272DE7" w:rsidRPr="00866E70" w:rsidRDefault="00272DE7" w:rsidP="00272DE7">
      <w:pPr>
        <w:spacing w:after="0"/>
        <w:jc w:val="center"/>
      </w:pPr>
    </w:p>
    <w:p w:rsidR="006754B9" w:rsidRPr="00866E70" w:rsidRDefault="006754B9" w:rsidP="00272DE7">
      <w:pPr>
        <w:pBdr>
          <w:bottom w:val="single" w:sz="12" w:space="1" w:color="auto"/>
        </w:pBd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E7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OF THE MUNICIPAL SOCIAL WELFARE AND DEVELOPMENT</w:t>
      </w:r>
    </w:p>
    <w:p w:rsidR="006754B9" w:rsidRDefault="006754B9">
      <w:r>
        <w:t>May 24, 2016</w:t>
      </w:r>
    </w:p>
    <w:p w:rsidR="006754B9" w:rsidRPr="00D65B7D" w:rsidRDefault="006754B9" w:rsidP="00022576">
      <w:pPr>
        <w:spacing w:after="0"/>
        <w:rPr>
          <w:b/>
        </w:rPr>
      </w:pPr>
      <w:r w:rsidRPr="00D65B7D">
        <w:rPr>
          <w:b/>
        </w:rPr>
        <w:t>BAI ZORAHAYDA T. TAHA</w:t>
      </w:r>
    </w:p>
    <w:p w:rsidR="006754B9" w:rsidRDefault="006754B9" w:rsidP="00022576">
      <w:pPr>
        <w:spacing w:after="0"/>
      </w:pPr>
      <w:r>
        <w:t>Regional Director</w:t>
      </w:r>
    </w:p>
    <w:p w:rsidR="006754B9" w:rsidRDefault="00D65B7D" w:rsidP="00022576">
      <w:pPr>
        <w:spacing w:after="0"/>
      </w:pPr>
      <w:r>
        <w:t>DSWD Field Office</w:t>
      </w:r>
      <w:r w:rsidR="006754B9">
        <w:t xml:space="preserve"> XII</w:t>
      </w:r>
    </w:p>
    <w:p w:rsidR="006754B9" w:rsidRDefault="006754B9" w:rsidP="00022576">
      <w:pPr>
        <w:spacing w:after="0"/>
      </w:pPr>
      <w:proofErr w:type="spellStart"/>
      <w:r>
        <w:t>Koronadal</w:t>
      </w:r>
      <w:proofErr w:type="spellEnd"/>
      <w:r>
        <w:t xml:space="preserve"> City</w:t>
      </w:r>
    </w:p>
    <w:p w:rsidR="00022576" w:rsidRDefault="00022576"/>
    <w:p w:rsidR="006754B9" w:rsidRDefault="006754B9">
      <w:r>
        <w:t>Dear Ma’am:</w:t>
      </w:r>
    </w:p>
    <w:p w:rsidR="00372EFA" w:rsidRDefault="006754B9" w:rsidP="00022576">
      <w:pPr>
        <w:jc w:val="both"/>
      </w:pPr>
      <w:r>
        <w:t xml:space="preserve">In response to the </w:t>
      </w:r>
      <w:r w:rsidRPr="00372EFA">
        <w:rPr>
          <w:b/>
        </w:rPr>
        <w:t>DE-LISTING OF SEA-K ASSOCIATION</w:t>
      </w:r>
      <w:r>
        <w:t xml:space="preserve"> (SKA’s) from the case load of the Project Development</w:t>
      </w:r>
      <w:r w:rsidR="00D65B7D">
        <w:t xml:space="preserve"> Officer of </w:t>
      </w:r>
      <w:r>
        <w:t xml:space="preserve">DSWD F.O. XII assigned in the Municipality of </w:t>
      </w:r>
      <w:proofErr w:type="spellStart"/>
      <w:r>
        <w:t>Tampakan</w:t>
      </w:r>
      <w:proofErr w:type="spellEnd"/>
      <w:r>
        <w:t xml:space="preserve">, whereby after a series of validation and attempt to revive the SEA-K Associations in the year 1995 up to 2009 in the Municipality, thus we had conducted </w:t>
      </w:r>
      <w:r w:rsidR="00D65B7D">
        <w:t xml:space="preserve">several </w:t>
      </w:r>
      <w:r>
        <w:t xml:space="preserve">referrals and </w:t>
      </w:r>
      <w:r w:rsidR="00C75D3A">
        <w:t>attempts for case conference and further reque</w:t>
      </w:r>
      <w:r w:rsidR="00372EFA">
        <w:t>sted</w:t>
      </w:r>
      <w:r w:rsidR="00372EFA" w:rsidRPr="00372EFA">
        <w:t xml:space="preserve"> </w:t>
      </w:r>
      <w:r w:rsidR="007C7C2C">
        <w:t>y</w:t>
      </w:r>
      <w:r w:rsidR="00372EFA">
        <w:t xml:space="preserve">our office for a summary of total remaining collectibles </w:t>
      </w:r>
      <w:r w:rsidR="007C7C2C">
        <w:t xml:space="preserve">are </w:t>
      </w:r>
      <w:r w:rsidR="00372EFA">
        <w:t>as follows:</w:t>
      </w:r>
    </w:p>
    <w:tbl>
      <w:tblPr>
        <w:tblStyle w:val="TableGrid"/>
        <w:tblW w:w="9175" w:type="dxa"/>
        <w:tblLook w:val="04A0" w:firstRow="1" w:lastRow="0" w:firstColumn="1" w:lastColumn="0" w:noHBand="0" w:noVBand="1"/>
      </w:tblPr>
      <w:tblGrid>
        <w:gridCol w:w="2155"/>
        <w:gridCol w:w="900"/>
        <w:gridCol w:w="1440"/>
        <w:gridCol w:w="1800"/>
        <w:gridCol w:w="1530"/>
        <w:gridCol w:w="1350"/>
      </w:tblGrid>
      <w:tr w:rsidR="00C81F3D" w:rsidTr="00022576">
        <w:trPr>
          <w:trHeight w:val="413"/>
        </w:trPr>
        <w:tc>
          <w:tcPr>
            <w:tcW w:w="2155"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NAME OF SEA-K ASSOCIATION</w:t>
            </w:r>
          </w:p>
        </w:tc>
        <w:tc>
          <w:tcPr>
            <w:tcW w:w="900"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YEAR FUNDED</w:t>
            </w:r>
          </w:p>
        </w:tc>
        <w:tc>
          <w:tcPr>
            <w:tcW w:w="1440"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SOURCE OF FUND</w:t>
            </w:r>
          </w:p>
        </w:tc>
        <w:tc>
          <w:tcPr>
            <w:tcW w:w="1800"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AMOUNT OF CAPITAL ASSISTANCE</w:t>
            </w:r>
          </w:p>
        </w:tc>
        <w:tc>
          <w:tcPr>
            <w:tcW w:w="1530"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REPAYMENT CUMMULATIVE TOTAL</w:t>
            </w:r>
          </w:p>
        </w:tc>
        <w:tc>
          <w:tcPr>
            <w:tcW w:w="1350" w:type="dxa"/>
          </w:tcPr>
          <w:p w:rsidR="00372EFA" w:rsidRPr="00022576" w:rsidRDefault="00372EFA" w:rsidP="00372EFA">
            <w:pPr>
              <w:jc w:val="center"/>
              <w:rPr>
                <w:rFonts w:ascii="Arial Narrow" w:eastAsia="Arial Unicode MS" w:hAnsi="Arial Narrow" w:cs="Arial Unicode MS"/>
                <w:b/>
                <w:sz w:val="14"/>
                <w:szCs w:val="14"/>
                <w:lang w:val="en-US"/>
              </w:rPr>
            </w:pPr>
            <w:r w:rsidRPr="00022576">
              <w:rPr>
                <w:rFonts w:ascii="Arial Narrow" w:eastAsia="Arial Unicode MS" w:hAnsi="Arial Narrow" w:cs="Arial Unicode MS"/>
                <w:b/>
                <w:sz w:val="14"/>
                <w:szCs w:val="14"/>
                <w:lang w:val="en-US"/>
              </w:rPr>
              <w:t>BALANCE</w:t>
            </w:r>
          </w:p>
        </w:tc>
      </w:tr>
      <w:tr w:rsidR="00C81F3D" w:rsidTr="00D65B7D">
        <w:trPr>
          <w:trHeight w:val="170"/>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DANLAG 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1995</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w:t>
            </w:r>
          </w:p>
        </w:tc>
      </w:tr>
      <w:tr w:rsidR="00C81F3D" w:rsidTr="00D65B7D">
        <w:trPr>
          <w:trHeight w:val="152"/>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TAMPAKAN</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1995</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75,000.00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25,000.00</w:t>
            </w:r>
          </w:p>
        </w:tc>
      </w:tr>
      <w:tr w:rsidR="00C81F3D" w:rsidTr="00D65B7D">
        <w:trPr>
          <w:trHeight w:val="64"/>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STA.CRUZ 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1996</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w:t>
            </w:r>
          </w:p>
        </w:tc>
      </w:tr>
      <w:tr w:rsidR="00C81F3D" w:rsidTr="00022576">
        <w:trPr>
          <w:trHeight w:val="188"/>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STA.CRUZ II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1997</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w:t>
            </w:r>
          </w:p>
        </w:tc>
      </w:tr>
      <w:tr w:rsidR="00C81F3D" w:rsidTr="00022576">
        <w:trPr>
          <w:trHeight w:val="242"/>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SAN ISIDRO 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1997</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w:t>
            </w:r>
          </w:p>
        </w:tc>
      </w:tr>
      <w:tr w:rsidR="00C81F3D" w:rsidTr="00022576">
        <w:trPr>
          <w:trHeight w:val="170"/>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SAN ISIDRO II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1997</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85,507.00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12,493.00</w:t>
            </w:r>
          </w:p>
        </w:tc>
      </w:tr>
      <w:tr w:rsidR="00C81F3D" w:rsidTr="00022576">
        <w:trPr>
          <w:trHeight w:val="152"/>
        </w:trPr>
        <w:tc>
          <w:tcPr>
            <w:tcW w:w="2155"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DANLAG II</w:t>
            </w:r>
          </w:p>
        </w:tc>
        <w:tc>
          <w:tcPr>
            <w:tcW w:w="90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1997</w:t>
            </w:r>
          </w:p>
        </w:tc>
        <w:tc>
          <w:tcPr>
            <w:tcW w:w="1440" w:type="dxa"/>
          </w:tcPr>
          <w:p w:rsidR="00372EFA" w:rsidRPr="000047A7" w:rsidRDefault="00372EFA"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70,839.00</w:t>
            </w:r>
          </w:p>
        </w:tc>
        <w:tc>
          <w:tcPr>
            <w:tcW w:w="1350" w:type="dxa"/>
          </w:tcPr>
          <w:p w:rsidR="00372EFA" w:rsidRPr="000047A7" w:rsidRDefault="00372EFA"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21,161.00</w:t>
            </w:r>
          </w:p>
        </w:tc>
      </w:tr>
      <w:tr w:rsidR="00C81F3D" w:rsidTr="00D65B7D">
        <w:trPr>
          <w:trHeight w:val="134"/>
        </w:trPr>
        <w:tc>
          <w:tcPr>
            <w:tcW w:w="2155" w:type="dxa"/>
          </w:tcPr>
          <w:p w:rsidR="00022576" w:rsidRPr="000047A7" w:rsidRDefault="00022576" w:rsidP="00022576">
            <w:pPr>
              <w:jc w:val="center"/>
              <w:rPr>
                <w:color w:val="000000" w:themeColor="text1"/>
                <w:sz w:val="16"/>
                <w:szCs w:val="16"/>
              </w:rPr>
            </w:pPr>
            <w:r w:rsidRPr="000047A7">
              <w:rPr>
                <w:color w:val="000000" w:themeColor="text1"/>
                <w:sz w:val="16"/>
                <w:szCs w:val="16"/>
              </w:rPr>
              <w:t>KALIPI- LIBERTY</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2000</w:t>
            </w:r>
          </w:p>
        </w:tc>
        <w:tc>
          <w:tcPr>
            <w:tcW w:w="1440" w:type="dxa"/>
            <w:tcBorders>
              <w:top w:val="single" w:sz="4" w:space="0" w:color="auto"/>
              <w:left w:val="nil"/>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RSF</w:t>
            </w:r>
          </w:p>
        </w:tc>
        <w:tc>
          <w:tcPr>
            <w:tcW w:w="1800" w:type="dxa"/>
            <w:tcBorders>
              <w:top w:val="single" w:sz="4" w:space="0" w:color="auto"/>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141,700.00</w:t>
            </w:r>
          </w:p>
        </w:tc>
        <w:tc>
          <w:tcPr>
            <w:tcW w:w="1530" w:type="dxa"/>
            <w:tcBorders>
              <w:top w:val="single" w:sz="4" w:space="0" w:color="auto"/>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70,944.00</w:t>
            </w:r>
          </w:p>
        </w:tc>
        <w:tc>
          <w:tcPr>
            <w:tcW w:w="1350" w:type="dxa"/>
            <w:tcBorders>
              <w:top w:val="single" w:sz="4" w:space="0" w:color="auto"/>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70,756.00</w:t>
            </w:r>
          </w:p>
        </w:tc>
      </w:tr>
      <w:tr w:rsidR="00C81F3D" w:rsidTr="00D65B7D">
        <w:trPr>
          <w:trHeight w:val="107"/>
        </w:trPr>
        <w:tc>
          <w:tcPr>
            <w:tcW w:w="2155" w:type="dxa"/>
          </w:tcPr>
          <w:p w:rsidR="00022576" w:rsidRPr="000047A7" w:rsidRDefault="00022576" w:rsidP="00372EFA">
            <w:pPr>
              <w:jc w:val="center"/>
              <w:rPr>
                <w:rFonts w:eastAsia="Arial Unicode MS" w:cs="Arial Unicode MS"/>
                <w:color w:val="000000" w:themeColor="text1"/>
                <w:sz w:val="16"/>
                <w:szCs w:val="16"/>
                <w:lang w:val="en-US"/>
              </w:rPr>
            </w:pPr>
            <w:r w:rsidRPr="000047A7">
              <w:rPr>
                <w:rFonts w:eastAsia="Times New Roman" w:cs="Arial"/>
                <w:color w:val="000000" w:themeColor="text1"/>
                <w:sz w:val="16"/>
                <w:szCs w:val="16"/>
                <w:lang w:eastAsia="en-PH"/>
              </w:rPr>
              <w:t>LAMBAYONG</w:t>
            </w:r>
          </w:p>
        </w:tc>
        <w:tc>
          <w:tcPr>
            <w:tcW w:w="900" w:type="dxa"/>
            <w:tcBorders>
              <w:top w:val="nil"/>
              <w:left w:val="single" w:sz="4" w:space="0" w:color="auto"/>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2000</w:t>
            </w:r>
          </w:p>
        </w:tc>
        <w:tc>
          <w:tcPr>
            <w:tcW w:w="1440" w:type="dxa"/>
            <w:tcBorders>
              <w:top w:val="nil"/>
              <w:left w:val="nil"/>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RSF</w:t>
            </w:r>
          </w:p>
        </w:tc>
        <w:tc>
          <w:tcPr>
            <w:tcW w:w="180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100,000.00</w:t>
            </w:r>
          </w:p>
        </w:tc>
        <w:tc>
          <w:tcPr>
            <w:tcW w:w="153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100,000.00</w:t>
            </w:r>
          </w:p>
        </w:tc>
        <w:tc>
          <w:tcPr>
            <w:tcW w:w="1350" w:type="dxa"/>
          </w:tcPr>
          <w:p w:rsidR="00022576" w:rsidRPr="000047A7" w:rsidRDefault="00022576" w:rsidP="00022576">
            <w:pPr>
              <w:jc w:val="center"/>
              <w:rPr>
                <w:color w:val="000000" w:themeColor="text1"/>
                <w:sz w:val="16"/>
                <w:szCs w:val="16"/>
              </w:rPr>
            </w:pPr>
            <w:r w:rsidRPr="000047A7">
              <w:rPr>
                <w:rFonts w:eastAsia="Arial Unicode MS" w:cs="Arial Unicode MS"/>
                <w:color w:val="000000" w:themeColor="text1"/>
                <w:sz w:val="16"/>
                <w:szCs w:val="16"/>
                <w:lang w:val="en-US"/>
              </w:rPr>
              <w:t>-</w:t>
            </w:r>
          </w:p>
        </w:tc>
      </w:tr>
      <w:tr w:rsidR="00C81F3D" w:rsidTr="00022576">
        <w:trPr>
          <w:trHeight w:val="107"/>
        </w:trPr>
        <w:tc>
          <w:tcPr>
            <w:tcW w:w="2155" w:type="dxa"/>
          </w:tcPr>
          <w:p w:rsidR="00022576" w:rsidRPr="000047A7" w:rsidRDefault="00022576"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LAMPITAK</w:t>
            </w:r>
          </w:p>
        </w:tc>
        <w:tc>
          <w:tcPr>
            <w:tcW w:w="900" w:type="dxa"/>
          </w:tcPr>
          <w:p w:rsidR="00022576" w:rsidRPr="000047A7" w:rsidRDefault="00022576"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2003</w:t>
            </w:r>
          </w:p>
        </w:tc>
        <w:tc>
          <w:tcPr>
            <w:tcW w:w="1440" w:type="dxa"/>
          </w:tcPr>
          <w:p w:rsidR="00022576" w:rsidRPr="000047A7" w:rsidRDefault="00022576" w:rsidP="00372EFA">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CIDSS</w:t>
            </w:r>
          </w:p>
        </w:tc>
        <w:tc>
          <w:tcPr>
            <w:tcW w:w="1800" w:type="dxa"/>
          </w:tcPr>
          <w:p w:rsidR="00022576" w:rsidRPr="000047A7" w:rsidRDefault="00022576"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100,000.00</w:t>
            </w:r>
          </w:p>
        </w:tc>
        <w:tc>
          <w:tcPr>
            <w:tcW w:w="1530" w:type="dxa"/>
          </w:tcPr>
          <w:p w:rsidR="00022576" w:rsidRPr="000047A7" w:rsidRDefault="00022576"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54,171.00</w:t>
            </w:r>
          </w:p>
        </w:tc>
        <w:tc>
          <w:tcPr>
            <w:tcW w:w="1350" w:type="dxa"/>
          </w:tcPr>
          <w:p w:rsidR="00022576" w:rsidRPr="000047A7" w:rsidRDefault="00022576" w:rsidP="00022576">
            <w:pPr>
              <w:jc w:val="center"/>
              <w:rPr>
                <w:rFonts w:eastAsia="Arial Unicode MS" w:cs="Arial Unicode MS"/>
                <w:color w:val="000000" w:themeColor="text1"/>
                <w:sz w:val="16"/>
                <w:szCs w:val="16"/>
                <w:lang w:val="en-US"/>
              </w:rPr>
            </w:pPr>
            <w:r w:rsidRPr="000047A7">
              <w:rPr>
                <w:rFonts w:eastAsia="Arial Unicode MS" w:cs="Arial Unicode MS"/>
                <w:color w:val="000000" w:themeColor="text1"/>
                <w:sz w:val="16"/>
                <w:szCs w:val="16"/>
                <w:lang w:val="en-US"/>
              </w:rPr>
              <w:t>P   45,829.00</w:t>
            </w:r>
          </w:p>
        </w:tc>
      </w:tr>
      <w:tr w:rsidR="00C81F3D" w:rsidTr="00022576">
        <w:trPr>
          <w:trHeight w:val="179"/>
        </w:trPr>
        <w:tc>
          <w:tcPr>
            <w:tcW w:w="2155" w:type="dxa"/>
          </w:tcPr>
          <w:p w:rsidR="00022576" w:rsidRPr="000047A7" w:rsidRDefault="00022576" w:rsidP="00372EFA">
            <w:pPr>
              <w:jc w:val="center"/>
              <w:rPr>
                <w:rFonts w:eastAsia="Arial Unicode MS" w:cs="Arial Unicode MS"/>
                <w:color w:val="000000" w:themeColor="text1"/>
                <w:sz w:val="14"/>
                <w:szCs w:val="14"/>
                <w:lang w:val="en-US"/>
              </w:rPr>
            </w:pPr>
            <w:r w:rsidRPr="000047A7">
              <w:rPr>
                <w:rFonts w:eastAsia="Times New Roman" w:cs="Arial"/>
                <w:color w:val="000000" w:themeColor="text1"/>
                <w:sz w:val="14"/>
                <w:szCs w:val="14"/>
                <w:lang w:eastAsia="en-PH"/>
              </w:rPr>
              <w:t>MASIKAP SEA-K ASSOC.</w:t>
            </w:r>
          </w:p>
        </w:tc>
        <w:tc>
          <w:tcPr>
            <w:tcW w:w="900" w:type="dxa"/>
            <w:tcBorders>
              <w:top w:val="nil"/>
              <w:left w:val="single" w:sz="4" w:space="0" w:color="auto"/>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2008</w:t>
            </w:r>
          </w:p>
        </w:tc>
        <w:tc>
          <w:tcPr>
            <w:tcW w:w="1440" w:type="dxa"/>
            <w:tcBorders>
              <w:top w:val="nil"/>
              <w:left w:val="nil"/>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RD-SRSF</w:t>
            </w:r>
          </w:p>
        </w:tc>
        <w:tc>
          <w:tcPr>
            <w:tcW w:w="180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125,000.00</w:t>
            </w:r>
          </w:p>
        </w:tc>
        <w:tc>
          <w:tcPr>
            <w:tcW w:w="153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115,000.00</w:t>
            </w:r>
          </w:p>
        </w:tc>
        <w:tc>
          <w:tcPr>
            <w:tcW w:w="135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10,000.00</w:t>
            </w:r>
          </w:p>
        </w:tc>
      </w:tr>
      <w:tr w:rsidR="00C81F3D" w:rsidTr="00022576">
        <w:trPr>
          <w:trHeight w:val="64"/>
        </w:trPr>
        <w:tc>
          <w:tcPr>
            <w:tcW w:w="2155" w:type="dxa"/>
          </w:tcPr>
          <w:p w:rsidR="00022576" w:rsidRPr="000047A7" w:rsidRDefault="00022576" w:rsidP="00372EFA">
            <w:pPr>
              <w:jc w:val="center"/>
              <w:rPr>
                <w:rFonts w:eastAsia="Arial Unicode MS" w:cs="Arial Unicode MS"/>
                <w:color w:val="000000" w:themeColor="text1"/>
                <w:sz w:val="14"/>
                <w:szCs w:val="14"/>
                <w:lang w:val="en-US"/>
              </w:rPr>
            </w:pPr>
            <w:r w:rsidRPr="000047A7">
              <w:rPr>
                <w:rFonts w:eastAsia="Times New Roman" w:cs="Arial"/>
                <w:color w:val="000000" w:themeColor="text1"/>
                <w:sz w:val="14"/>
                <w:szCs w:val="14"/>
                <w:lang w:eastAsia="en-PH"/>
              </w:rPr>
              <w:t>KIPALBIG UNITED WOMENS SKA</w:t>
            </w:r>
          </w:p>
        </w:tc>
        <w:tc>
          <w:tcPr>
            <w:tcW w:w="900" w:type="dxa"/>
            <w:tcBorders>
              <w:top w:val="nil"/>
              <w:left w:val="single" w:sz="4" w:space="0" w:color="auto"/>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2009</w:t>
            </w:r>
          </w:p>
        </w:tc>
        <w:tc>
          <w:tcPr>
            <w:tcW w:w="1440" w:type="dxa"/>
            <w:tcBorders>
              <w:top w:val="nil"/>
              <w:left w:val="nil"/>
              <w:bottom w:val="single" w:sz="4" w:space="0" w:color="auto"/>
              <w:right w:val="single" w:sz="4" w:space="0" w:color="auto"/>
            </w:tcBorders>
            <w:shd w:val="clear" w:color="auto" w:fill="auto"/>
            <w:vAlign w:val="center"/>
          </w:tcPr>
          <w:p w:rsidR="00022576" w:rsidRPr="000047A7" w:rsidRDefault="00022576" w:rsidP="00372EFA">
            <w:pPr>
              <w:jc w:val="center"/>
              <w:rPr>
                <w:rFonts w:cs="Arial"/>
                <w:color w:val="000000" w:themeColor="text1"/>
                <w:sz w:val="16"/>
                <w:szCs w:val="16"/>
              </w:rPr>
            </w:pPr>
            <w:r w:rsidRPr="000047A7">
              <w:rPr>
                <w:rFonts w:cs="Arial"/>
                <w:color w:val="000000" w:themeColor="text1"/>
                <w:sz w:val="16"/>
                <w:szCs w:val="16"/>
              </w:rPr>
              <w:t>RD-SRSF</w:t>
            </w:r>
          </w:p>
        </w:tc>
        <w:tc>
          <w:tcPr>
            <w:tcW w:w="180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150,000.00</w:t>
            </w:r>
          </w:p>
        </w:tc>
        <w:tc>
          <w:tcPr>
            <w:tcW w:w="153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50,000.00</w:t>
            </w:r>
          </w:p>
        </w:tc>
        <w:tc>
          <w:tcPr>
            <w:tcW w:w="1350" w:type="dxa"/>
            <w:tcBorders>
              <w:top w:val="nil"/>
              <w:left w:val="nil"/>
              <w:bottom w:val="single" w:sz="4" w:space="0" w:color="auto"/>
              <w:right w:val="single" w:sz="4" w:space="0" w:color="auto"/>
            </w:tcBorders>
            <w:shd w:val="clear" w:color="auto" w:fill="auto"/>
            <w:vAlign w:val="center"/>
          </w:tcPr>
          <w:p w:rsidR="00022576" w:rsidRPr="000047A7" w:rsidRDefault="00022576" w:rsidP="00022576">
            <w:pPr>
              <w:jc w:val="center"/>
              <w:rPr>
                <w:rFonts w:cs="Arial"/>
                <w:color w:val="000000" w:themeColor="text1"/>
                <w:sz w:val="16"/>
                <w:szCs w:val="16"/>
              </w:rPr>
            </w:pPr>
            <w:r w:rsidRPr="000047A7">
              <w:rPr>
                <w:rFonts w:cs="Arial"/>
                <w:color w:val="000000" w:themeColor="text1"/>
                <w:sz w:val="16"/>
                <w:szCs w:val="16"/>
              </w:rPr>
              <w:t>P 100,000.00</w:t>
            </w:r>
          </w:p>
        </w:tc>
      </w:tr>
    </w:tbl>
    <w:p w:rsidR="00D65B7D" w:rsidRDefault="00D65B7D" w:rsidP="00022576">
      <w:pPr>
        <w:jc w:val="both"/>
      </w:pPr>
    </w:p>
    <w:p w:rsidR="00C75D3A" w:rsidRDefault="00C75D3A" w:rsidP="00AF40E7">
      <w:pPr>
        <w:spacing w:after="0" w:line="276" w:lineRule="auto"/>
        <w:jc w:val="both"/>
      </w:pPr>
      <w:r>
        <w:t>Thus;</w:t>
      </w:r>
      <w:r w:rsidR="00866E70">
        <w:t xml:space="preserve"> on our assessment</w:t>
      </w:r>
      <w:r>
        <w:t>, the less capability of the associations to pay the roll back to the DSWD were due to change of residency, bankruptcy, diminishing</w:t>
      </w:r>
      <w:r w:rsidR="00C82A62">
        <w:t xml:space="preserve"> and</w:t>
      </w:r>
      <w:r w:rsidR="00100C7D">
        <w:t xml:space="preserve"> deteriorating, delinquency of payments of the members wherein savings are used to cover up other members payment</w:t>
      </w:r>
      <w:r w:rsidR="00C91886">
        <w:t>s</w:t>
      </w:r>
      <w:r w:rsidR="00100C7D">
        <w:t>; as well as natural cal</w:t>
      </w:r>
      <w:r w:rsidR="00C82A62">
        <w:t>amities happened in the aforementioned</w:t>
      </w:r>
      <w:r w:rsidR="00100C7D">
        <w:t xml:space="preserve"> year</w:t>
      </w:r>
      <w:r w:rsidR="00C82A62">
        <w:t>s thus their livelihood projects are affected.</w:t>
      </w:r>
      <w:r w:rsidR="00AF40E7" w:rsidRPr="00AF40E7">
        <w:t xml:space="preserve"> </w:t>
      </w:r>
      <w:r w:rsidR="00AF40E7">
        <w:t xml:space="preserve">In addition to wit; no documents were further turned over to the Local Government Unit, considering that South </w:t>
      </w:r>
      <w:proofErr w:type="spellStart"/>
      <w:r w:rsidR="00AF40E7">
        <w:t>Cotabato</w:t>
      </w:r>
      <w:proofErr w:type="spellEnd"/>
      <w:r w:rsidR="00AF40E7">
        <w:t xml:space="preserve"> was then geographically part of Region XI. </w:t>
      </w:r>
    </w:p>
    <w:p w:rsidR="00AF40E7" w:rsidRDefault="00AF40E7" w:rsidP="00AF40E7">
      <w:pPr>
        <w:spacing w:after="0" w:line="276" w:lineRule="auto"/>
        <w:jc w:val="both"/>
      </w:pPr>
    </w:p>
    <w:p w:rsidR="00100C7D" w:rsidRDefault="00100C7D" w:rsidP="00022576">
      <w:pPr>
        <w:jc w:val="both"/>
      </w:pPr>
      <w:r>
        <w:t>In lieu, we are recommending these associations to be de-listed</w:t>
      </w:r>
      <w:r w:rsidR="00272DE7">
        <w:t xml:space="preserve"> in consideration</w:t>
      </w:r>
      <w:r>
        <w:t xml:space="preserve"> for their </w:t>
      </w:r>
      <w:r w:rsidR="00272DE7">
        <w:t xml:space="preserve">availability and presence, Livelihood </w:t>
      </w:r>
      <w:r>
        <w:t xml:space="preserve">and </w:t>
      </w:r>
      <w:r w:rsidR="00272DE7">
        <w:t>their current status and capability to pay.</w:t>
      </w:r>
    </w:p>
    <w:p w:rsidR="00272DE7" w:rsidRDefault="00272DE7" w:rsidP="00022576">
      <w:pPr>
        <w:jc w:val="both"/>
      </w:pPr>
      <w:r>
        <w:t>We are looking forward for a positive result of these matter soon.</w:t>
      </w:r>
    </w:p>
    <w:p w:rsidR="00272DE7" w:rsidRDefault="00D65B7D">
      <w:r>
        <w:t xml:space="preserve">Thank </w:t>
      </w:r>
      <w:r w:rsidR="00272DE7">
        <w:t>you.</w:t>
      </w:r>
    </w:p>
    <w:p w:rsidR="00D65B7D" w:rsidRDefault="00D65B7D"/>
    <w:p w:rsidR="00272DE7" w:rsidRPr="00372EFA" w:rsidRDefault="00272DE7" w:rsidP="00372EFA">
      <w:pPr>
        <w:spacing w:after="0"/>
        <w:rPr>
          <w:b/>
        </w:rPr>
      </w:pPr>
      <w:r w:rsidRPr="00372EFA">
        <w:rPr>
          <w:b/>
        </w:rPr>
        <w:t>ELSIE C. FRUGALIDAD</w:t>
      </w:r>
      <w:r w:rsidR="00D65B7D">
        <w:rPr>
          <w:b/>
        </w:rPr>
        <w:t>,</w:t>
      </w:r>
      <w:r w:rsidR="00866E70">
        <w:rPr>
          <w:b/>
        </w:rPr>
        <w:t xml:space="preserve"> </w:t>
      </w:r>
      <w:r w:rsidR="00D65B7D">
        <w:rPr>
          <w:b/>
        </w:rPr>
        <w:t>RSW</w:t>
      </w:r>
    </w:p>
    <w:p w:rsidR="00272DE7" w:rsidRDefault="00272DE7" w:rsidP="00372EFA">
      <w:pPr>
        <w:spacing w:after="0"/>
      </w:pPr>
      <w:r>
        <w:t>OIC-MSWDO</w:t>
      </w:r>
    </w:p>
    <w:p w:rsidR="007C7C2C" w:rsidRDefault="007C7C2C" w:rsidP="00372EFA">
      <w:pPr>
        <w:spacing w:after="0"/>
      </w:pPr>
    </w:p>
    <w:p w:rsidR="000047A7" w:rsidRDefault="000047A7" w:rsidP="00372EFA">
      <w:pPr>
        <w:spacing w:after="0"/>
      </w:pPr>
    </w:p>
    <w:p w:rsidR="000047A7" w:rsidRDefault="007C7C2C" w:rsidP="00C91886">
      <w:pPr>
        <w:spacing w:after="0"/>
        <w:jc w:val="center"/>
      </w:pPr>
      <w:r>
        <w:rPr>
          <w:noProof/>
          <w:lang w:eastAsia="en-PH"/>
        </w:rPr>
        <w:drawing>
          <wp:anchor distT="0" distB="0" distL="114300" distR="114300" simplePos="0" relativeHeight="251659264" behindDoc="1" locked="0" layoutInCell="1" allowOverlap="1" wp14:anchorId="14DAB0F3" wp14:editId="24C307C3">
            <wp:simplePos x="0" y="0"/>
            <wp:positionH relativeFrom="column">
              <wp:posOffset>42521</wp:posOffset>
            </wp:positionH>
            <wp:positionV relativeFrom="paragraph">
              <wp:posOffset>6806</wp:posOffset>
            </wp:positionV>
            <wp:extent cx="939165" cy="920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165" cy="920750"/>
                    </a:xfrm>
                    <a:prstGeom prst="rect">
                      <a:avLst/>
                    </a:prstGeom>
                    <a:noFill/>
                  </pic:spPr>
                </pic:pic>
              </a:graphicData>
            </a:graphic>
          </wp:anchor>
        </w:drawing>
      </w:r>
      <w:r w:rsidR="000047A7">
        <w:t>Republic of the Philippines</w:t>
      </w:r>
    </w:p>
    <w:p w:rsidR="000047A7" w:rsidRDefault="000047A7" w:rsidP="00C91886">
      <w:pPr>
        <w:spacing w:after="0"/>
        <w:jc w:val="center"/>
      </w:pPr>
      <w:r>
        <w:t xml:space="preserve">Province of South </w:t>
      </w:r>
      <w:proofErr w:type="spellStart"/>
      <w:r>
        <w:t>Cotabato</w:t>
      </w:r>
      <w:proofErr w:type="spellEnd"/>
    </w:p>
    <w:p w:rsidR="000047A7" w:rsidRPr="00866E70" w:rsidRDefault="000047A7" w:rsidP="00C91886">
      <w:pPr>
        <w:spacing w:after="0"/>
        <w:jc w:val="center"/>
        <w:rPr>
          <w:rFonts w:ascii="Footlight MT Light" w:hAnsi="Footlight MT Light" w:cs="Times New Roman"/>
          <w:sz w:val="24"/>
          <w:szCs w:val="24"/>
        </w:rPr>
      </w:pPr>
      <w:r w:rsidRPr="00866E70">
        <w:rPr>
          <w:rFonts w:ascii="Footlight MT Light" w:hAnsi="Footlight MT Light" w:cs="Times New Roman"/>
          <w:sz w:val="24"/>
          <w:szCs w:val="24"/>
        </w:rPr>
        <w:t>MUNICIPALITY OF TAMPAKAN</w:t>
      </w:r>
    </w:p>
    <w:p w:rsidR="000047A7" w:rsidRPr="00866E70" w:rsidRDefault="000047A7" w:rsidP="00C91886">
      <w:pPr>
        <w:spacing w:after="0"/>
        <w:jc w:val="center"/>
        <w:rPr>
          <w:rFonts w:ascii="Footlight MT Light" w:hAnsi="Footlight MT Light"/>
        </w:rPr>
      </w:pPr>
    </w:p>
    <w:p w:rsidR="000047A7" w:rsidRPr="00866E70" w:rsidRDefault="000047A7" w:rsidP="00C91886">
      <w:pPr>
        <w:pBdr>
          <w:bottom w:val="single" w:sz="12" w:space="1" w:color="auto"/>
        </w:pBd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 OF THE MUNICIPAL MAYOR</w:t>
      </w:r>
    </w:p>
    <w:p w:rsidR="000047A7" w:rsidRDefault="000047A7" w:rsidP="00372EFA">
      <w:pPr>
        <w:spacing w:after="0"/>
      </w:pPr>
    </w:p>
    <w:p w:rsidR="00C91886" w:rsidRDefault="00C91886" w:rsidP="00372EFA">
      <w:pPr>
        <w:spacing w:after="0"/>
      </w:pPr>
    </w:p>
    <w:p w:rsidR="00C91886" w:rsidRDefault="00C91886" w:rsidP="00372EFA">
      <w:pPr>
        <w:spacing w:after="0"/>
      </w:pPr>
    </w:p>
    <w:p w:rsidR="000047A7" w:rsidRPr="00C91886" w:rsidRDefault="000047A7" w:rsidP="00C91886">
      <w:pPr>
        <w:spacing w:after="0"/>
        <w:jc w:val="center"/>
        <w:rPr>
          <w:b/>
          <w:sz w:val="24"/>
          <w:szCs w:val="24"/>
        </w:rPr>
      </w:pPr>
      <w:r w:rsidRPr="00C91886">
        <w:rPr>
          <w:b/>
          <w:sz w:val="24"/>
          <w:szCs w:val="24"/>
        </w:rPr>
        <w:t>INDORSEMENT</w:t>
      </w:r>
    </w:p>
    <w:p w:rsidR="000047A7" w:rsidRDefault="000047A7" w:rsidP="00C91886">
      <w:pPr>
        <w:spacing w:after="0"/>
        <w:jc w:val="center"/>
      </w:pPr>
      <w:r>
        <w:t>24 May 2016</w:t>
      </w:r>
    </w:p>
    <w:p w:rsidR="00C91886" w:rsidRDefault="00C91886" w:rsidP="00C91886">
      <w:pPr>
        <w:spacing w:after="0"/>
        <w:jc w:val="center"/>
      </w:pPr>
    </w:p>
    <w:p w:rsidR="00C91886" w:rsidRDefault="00C91886" w:rsidP="00C91886">
      <w:pPr>
        <w:spacing w:after="0"/>
        <w:jc w:val="center"/>
      </w:pPr>
    </w:p>
    <w:p w:rsidR="007C7C2C" w:rsidRDefault="007C7C2C" w:rsidP="00372EFA">
      <w:pPr>
        <w:spacing w:after="0"/>
      </w:pPr>
    </w:p>
    <w:p w:rsidR="00CB08B0" w:rsidRDefault="007C7C2C" w:rsidP="00866E70">
      <w:pPr>
        <w:spacing w:after="0" w:line="276" w:lineRule="auto"/>
        <w:ind w:firstLine="720"/>
        <w:jc w:val="both"/>
      </w:pPr>
      <w:r>
        <w:t xml:space="preserve">Respectfully referred to </w:t>
      </w:r>
      <w:r w:rsidRPr="00C91886">
        <w:rPr>
          <w:b/>
        </w:rPr>
        <w:t>BAI ZORAHAYDA T. TAHA</w:t>
      </w:r>
      <w:r>
        <w:t xml:space="preserve">, Regional Director, Department of Social Welfare and Development Field Office XII (DSWD F.O. XII) </w:t>
      </w:r>
      <w:proofErr w:type="spellStart"/>
      <w:r>
        <w:t>Purok</w:t>
      </w:r>
      <w:proofErr w:type="spellEnd"/>
      <w:r>
        <w:t xml:space="preserve"> </w:t>
      </w:r>
      <w:proofErr w:type="spellStart"/>
      <w:r>
        <w:t>Bumana</w:t>
      </w:r>
      <w:proofErr w:type="spellEnd"/>
      <w:r>
        <w:t xml:space="preserve">-ag, Barangay Zone III, </w:t>
      </w:r>
      <w:proofErr w:type="spellStart"/>
      <w:r>
        <w:t>Koronadal</w:t>
      </w:r>
      <w:proofErr w:type="spellEnd"/>
      <w:r>
        <w:t xml:space="preserve"> City, South </w:t>
      </w:r>
      <w:proofErr w:type="spellStart"/>
      <w:r>
        <w:t>Cotabato</w:t>
      </w:r>
      <w:proofErr w:type="spellEnd"/>
      <w:r>
        <w:t xml:space="preserve">, the herein recommendation for </w:t>
      </w:r>
      <w:r w:rsidRPr="00C91886">
        <w:rPr>
          <w:b/>
        </w:rPr>
        <w:t>DE-LISTING OF SEA-KAUNLARAN ASSOCIATION (SKA’</w:t>
      </w:r>
      <w:r w:rsidR="00C82A62" w:rsidRPr="00C91886">
        <w:rPr>
          <w:b/>
        </w:rPr>
        <w:t>s)</w:t>
      </w:r>
      <w:r w:rsidR="00C82A62">
        <w:t xml:space="preserve"> from the case load of the Project Development Officer of field office XII assigned in this Municipality. The 12 SEA-K Associations can no longer pay the remaining borrowed Capital Seed Fund due to change of residency, bankruptcy, diminishing and deteriorating, delinquency of payments of the members wherein savings are used to cover up other members payment</w:t>
      </w:r>
      <w:r w:rsidR="00C91886">
        <w:t>s</w:t>
      </w:r>
      <w:r w:rsidR="00C82A62">
        <w:t>; as well as natural calamities happened in the aforementioned years, thus their Livelihood projects are affected.</w:t>
      </w:r>
      <w:r w:rsidR="00866E70">
        <w:t xml:space="preserve"> </w:t>
      </w:r>
    </w:p>
    <w:p w:rsidR="00CB08B0" w:rsidRDefault="00CB08B0" w:rsidP="00866E70">
      <w:pPr>
        <w:spacing w:after="0" w:line="276" w:lineRule="auto"/>
        <w:ind w:firstLine="720"/>
        <w:jc w:val="both"/>
      </w:pPr>
    </w:p>
    <w:p w:rsidR="007C7C2C" w:rsidRDefault="00CB08B0" w:rsidP="00CB08B0">
      <w:pPr>
        <w:spacing w:after="0" w:line="276" w:lineRule="auto"/>
        <w:jc w:val="both"/>
      </w:pPr>
      <w:r>
        <w:t xml:space="preserve">               </w:t>
      </w:r>
      <w:r w:rsidR="00CA789D">
        <w:t>T</w:t>
      </w:r>
      <w:r>
        <w:t>o wit</w:t>
      </w:r>
      <w:r w:rsidR="00866E70">
        <w:t>; no documents were further turned over</w:t>
      </w:r>
      <w:r>
        <w:t xml:space="preserve"> to the Local Government Unit, considering that South </w:t>
      </w:r>
      <w:proofErr w:type="spellStart"/>
      <w:r>
        <w:t>Cotabato</w:t>
      </w:r>
      <w:proofErr w:type="spellEnd"/>
      <w:r>
        <w:t xml:space="preserve"> was then geographically part of Region XI. </w:t>
      </w:r>
    </w:p>
    <w:p w:rsidR="00C82A62" w:rsidRDefault="00C82A62" w:rsidP="00866E70">
      <w:pPr>
        <w:spacing w:after="0" w:line="276" w:lineRule="auto"/>
        <w:ind w:firstLine="720"/>
        <w:jc w:val="both"/>
      </w:pPr>
    </w:p>
    <w:p w:rsidR="00C82A62" w:rsidRDefault="00C82A62" w:rsidP="00C82A62">
      <w:pPr>
        <w:spacing w:after="0"/>
        <w:ind w:firstLine="720"/>
        <w:jc w:val="both"/>
      </w:pPr>
      <w:r>
        <w:t>Please see attached documents for your reference and further details.</w:t>
      </w:r>
    </w:p>
    <w:p w:rsidR="00C82A62" w:rsidRDefault="00C82A62" w:rsidP="00C82A62">
      <w:pPr>
        <w:spacing w:after="0"/>
        <w:ind w:firstLine="720"/>
        <w:jc w:val="both"/>
      </w:pPr>
    </w:p>
    <w:p w:rsidR="00C82A62" w:rsidRDefault="00C82A62" w:rsidP="00C82A62">
      <w:pPr>
        <w:spacing w:after="0"/>
        <w:ind w:firstLine="720"/>
        <w:jc w:val="both"/>
      </w:pPr>
    </w:p>
    <w:p w:rsidR="00C91886" w:rsidRDefault="00C91886" w:rsidP="00C82A62">
      <w:pPr>
        <w:spacing w:after="0"/>
        <w:ind w:firstLine="720"/>
        <w:jc w:val="both"/>
      </w:pPr>
    </w:p>
    <w:p w:rsidR="00C82A62" w:rsidRDefault="00C82A62" w:rsidP="00C82A62">
      <w:pPr>
        <w:spacing w:after="0"/>
        <w:ind w:firstLine="720"/>
        <w:jc w:val="both"/>
      </w:pPr>
    </w:p>
    <w:p w:rsidR="00C82A62" w:rsidRPr="00C91886" w:rsidRDefault="00C91886" w:rsidP="00C91886">
      <w:pPr>
        <w:spacing w:after="0" w:line="240" w:lineRule="auto"/>
        <w:ind w:firstLine="720"/>
        <w:rPr>
          <w:b/>
        </w:rPr>
      </w:pPr>
      <w:r>
        <w:rPr>
          <w:b/>
        </w:rPr>
        <w:t xml:space="preserve">                                      </w:t>
      </w:r>
      <w:r w:rsidRPr="00C91886">
        <w:rPr>
          <w:b/>
        </w:rPr>
        <w:t xml:space="preserve">HON. </w:t>
      </w:r>
      <w:r w:rsidR="00C82A62" w:rsidRPr="00C91886">
        <w:rPr>
          <w:b/>
        </w:rPr>
        <w:t>LEONARDO V. ESCOBILLO, M.E.</w:t>
      </w:r>
    </w:p>
    <w:p w:rsidR="00C91886" w:rsidRDefault="00C91886" w:rsidP="00C91886">
      <w:pPr>
        <w:spacing w:after="0" w:line="240" w:lineRule="auto"/>
        <w:ind w:firstLine="720"/>
      </w:pPr>
      <w:r>
        <w:t xml:space="preserve">                                                     </w:t>
      </w:r>
      <w:proofErr w:type="spellStart"/>
      <w:r>
        <w:t>Municiapal</w:t>
      </w:r>
      <w:proofErr w:type="spellEnd"/>
      <w:r>
        <w:t xml:space="preserve"> Mayor</w:t>
      </w:r>
    </w:p>
    <w:p w:rsidR="00C82A62" w:rsidRDefault="00C82A62" w:rsidP="00C91886">
      <w:pPr>
        <w:spacing w:after="0" w:line="240" w:lineRule="auto"/>
        <w:ind w:firstLine="720"/>
        <w:jc w:val="center"/>
      </w:pPr>
    </w:p>
    <w:p w:rsidR="00C82A62" w:rsidRDefault="00C82A62"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443785" w:rsidRDefault="00443785"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866E70" w:rsidRDefault="00866E70" w:rsidP="00C82A62">
      <w:pPr>
        <w:spacing w:after="0"/>
        <w:ind w:firstLine="720"/>
        <w:jc w:val="both"/>
      </w:pPr>
    </w:p>
    <w:p w:rsidR="00C81F3D" w:rsidRDefault="00C81F3D" w:rsidP="00CA789D">
      <w:pPr>
        <w:spacing w:after="0"/>
        <w:jc w:val="both"/>
        <w:rPr>
          <w:b/>
          <w:sz w:val="24"/>
          <w:szCs w:val="24"/>
        </w:rPr>
      </w:pPr>
    </w:p>
    <w:p w:rsidR="00866E70" w:rsidRDefault="00EF063F" w:rsidP="00CA789D">
      <w:pPr>
        <w:spacing w:after="0"/>
        <w:jc w:val="both"/>
      </w:pPr>
      <w:bookmarkStart w:id="0" w:name="_GoBack"/>
      <w:r w:rsidRPr="00EF063F">
        <w:rPr>
          <w:b/>
          <w:sz w:val="24"/>
          <w:szCs w:val="24"/>
        </w:rPr>
        <w:t>RESOLUTION NO</w:t>
      </w:r>
      <w:r w:rsidR="00866E70" w:rsidRPr="00EF063F">
        <w:rPr>
          <w:sz w:val="24"/>
          <w:szCs w:val="24"/>
        </w:rPr>
        <w:t>.</w:t>
      </w:r>
      <w:r w:rsidR="00866E70">
        <w:t xml:space="preserve"> ________</w:t>
      </w:r>
      <w:r w:rsidR="00F26404">
        <w:t xml:space="preserve"> Series of 2016</w:t>
      </w:r>
    </w:p>
    <w:p w:rsidR="00866E70" w:rsidRDefault="00866E70" w:rsidP="00CA789D">
      <w:pPr>
        <w:spacing w:after="0"/>
        <w:jc w:val="both"/>
      </w:pPr>
      <w:r>
        <w:t>DSWD Field Office XII</w:t>
      </w:r>
    </w:p>
    <w:p w:rsidR="00866E70" w:rsidRDefault="00866E70" w:rsidP="00CA789D">
      <w:pPr>
        <w:spacing w:after="0"/>
        <w:jc w:val="both"/>
      </w:pPr>
      <w:proofErr w:type="spellStart"/>
      <w:r>
        <w:t>Purok</w:t>
      </w:r>
      <w:proofErr w:type="spellEnd"/>
      <w:r>
        <w:t xml:space="preserve"> </w:t>
      </w:r>
      <w:proofErr w:type="spellStart"/>
      <w:r>
        <w:t>Bumana</w:t>
      </w:r>
      <w:proofErr w:type="spellEnd"/>
      <w:r>
        <w:t>-ag, Barangay Zone III</w:t>
      </w:r>
    </w:p>
    <w:p w:rsidR="00866E70" w:rsidRDefault="00866E70" w:rsidP="00CA789D">
      <w:pPr>
        <w:spacing w:after="0"/>
        <w:jc w:val="both"/>
      </w:pPr>
      <w:proofErr w:type="spellStart"/>
      <w:r>
        <w:t>Koronadal</w:t>
      </w:r>
      <w:proofErr w:type="spellEnd"/>
      <w:r>
        <w:t xml:space="preserve"> City, Province of South </w:t>
      </w:r>
      <w:proofErr w:type="spellStart"/>
      <w:r>
        <w:t>Cotabato</w:t>
      </w:r>
      <w:proofErr w:type="spellEnd"/>
    </w:p>
    <w:p w:rsidR="00866E70" w:rsidRDefault="00866E70" w:rsidP="00C82A62">
      <w:pPr>
        <w:spacing w:after="0"/>
        <w:ind w:firstLine="720"/>
        <w:jc w:val="both"/>
      </w:pPr>
    </w:p>
    <w:p w:rsidR="00EF063F" w:rsidRDefault="00EF063F" w:rsidP="00C82A62">
      <w:pPr>
        <w:spacing w:after="0"/>
        <w:ind w:firstLine="720"/>
        <w:jc w:val="both"/>
      </w:pPr>
    </w:p>
    <w:p w:rsidR="00C81F3D" w:rsidRDefault="00C81F3D" w:rsidP="00F26404">
      <w:pPr>
        <w:spacing w:after="0"/>
        <w:jc w:val="center"/>
        <w:rPr>
          <w:b/>
          <w:sz w:val="24"/>
          <w:szCs w:val="24"/>
        </w:rPr>
      </w:pPr>
    </w:p>
    <w:p w:rsidR="00866E70" w:rsidRPr="00EF063F" w:rsidRDefault="00F26404" w:rsidP="00F26404">
      <w:pPr>
        <w:spacing w:after="0"/>
        <w:jc w:val="center"/>
        <w:rPr>
          <w:b/>
          <w:sz w:val="24"/>
          <w:szCs w:val="24"/>
        </w:rPr>
      </w:pPr>
      <w:r>
        <w:rPr>
          <w:b/>
          <w:sz w:val="24"/>
          <w:szCs w:val="24"/>
        </w:rPr>
        <w:t xml:space="preserve">A RESOLUTION FOR THE </w:t>
      </w:r>
      <w:r w:rsidR="00866E70" w:rsidRPr="00EF063F">
        <w:rPr>
          <w:b/>
          <w:sz w:val="24"/>
          <w:szCs w:val="24"/>
        </w:rPr>
        <w:t>DE-LISTING OF SEA-KAUNLARAN ASSOCIATION</w:t>
      </w:r>
      <w:r w:rsidR="00CA789D" w:rsidRPr="00EF063F">
        <w:rPr>
          <w:b/>
          <w:sz w:val="24"/>
          <w:szCs w:val="24"/>
        </w:rPr>
        <w:t xml:space="preserve"> (SKA) FROM THE CASELOAD OF THE PROJECT DEVELO</w:t>
      </w:r>
      <w:r w:rsidR="00EF063F">
        <w:rPr>
          <w:b/>
          <w:sz w:val="24"/>
          <w:szCs w:val="24"/>
        </w:rPr>
        <w:t>PMENT O</w:t>
      </w:r>
      <w:r>
        <w:rPr>
          <w:b/>
          <w:sz w:val="24"/>
          <w:szCs w:val="24"/>
        </w:rPr>
        <w:t>FFI</w:t>
      </w:r>
      <w:r w:rsidR="00EF063F">
        <w:rPr>
          <w:b/>
          <w:sz w:val="24"/>
          <w:szCs w:val="24"/>
        </w:rPr>
        <w:t>CER OF THE FIELD OFFICE</w:t>
      </w:r>
      <w:r w:rsidR="00531A07">
        <w:rPr>
          <w:b/>
          <w:sz w:val="24"/>
          <w:szCs w:val="24"/>
        </w:rPr>
        <w:t xml:space="preserve"> XII</w:t>
      </w:r>
    </w:p>
    <w:p w:rsidR="00CA789D" w:rsidRPr="00EF063F" w:rsidRDefault="00CA789D" w:rsidP="00F26404">
      <w:pPr>
        <w:spacing w:after="0"/>
        <w:jc w:val="center"/>
        <w:rPr>
          <w:b/>
          <w:sz w:val="24"/>
          <w:szCs w:val="24"/>
        </w:rPr>
      </w:pPr>
    </w:p>
    <w:p w:rsidR="00CA789D" w:rsidRDefault="00CA789D" w:rsidP="00CA789D">
      <w:pPr>
        <w:spacing w:after="0"/>
        <w:jc w:val="both"/>
      </w:pPr>
      <w:r>
        <w:t>The 12 (</w:t>
      </w:r>
      <w:r w:rsidRPr="00F26404">
        <w:rPr>
          <w:i/>
        </w:rPr>
        <w:t>Twelve</w:t>
      </w:r>
      <w:r>
        <w:t xml:space="preserve">) SKA’s organized and funded in the municipality of </w:t>
      </w:r>
      <w:proofErr w:type="spellStart"/>
      <w:r>
        <w:t>Tampakan</w:t>
      </w:r>
      <w:proofErr w:type="spellEnd"/>
      <w:r>
        <w:t xml:space="preserve">, Province of South </w:t>
      </w:r>
      <w:proofErr w:type="spellStart"/>
      <w:r>
        <w:t>Cotabato</w:t>
      </w:r>
      <w:proofErr w:type="spellEnd"/>
      <w:r w:rsidR="00FF57EF">
        <w:t xml:space="preserve"> with its corresponding</w:t>
      </w:r>
      <w:r w:rsidR="00FF57EF" w:rsidRPr="00FF57EF">
        <w:t xml:space="preserve"> </w:t>
      </w:r>
      <w:r w:rsidR="00FF57EF">
        <w:t xml:space="preserve">required members received a total amount of P 1,316,700.00 as Capital Seed Fund with recorded payment amounting to </w:t>
      </w:r>
      <w:proofErr w:type="spellStart"/>
      <w:r w:rsidR="00FF57EF" w:rsidRPr="00EF063F">
        <w:t>Php</w:t>
      </w:r>
      <w:proofErr w:type="spellEnd"/>
      <w:r w:rsidR="009348C5" w:rsidRPr="00EF063F">
        <w:t xml:space="preserve"> 1,021,461.00</w:t>
      </w:r>
      <w:r w:rsidR="00EF063F">
        <w:t>. The SEA-K Associations</w:t>
      </w:r>
      <w:r w:rsidR="009348C5">
        <w:t xml:space="preserve"> have an outstanding balance of </w:t>
      </w:r>
      <w:proofErr w:type="spellStart"/>
      <w:r w:rsidR="009348C5">
        <w:t>Php</w:t>
      </w:r>
      <w:proofErr w:type="spellEnd"/>
      <w:r w:rsidR="009348C5">
        <w:t xml:space="preserve"> 285,239.00 as of to date. The said SKA’s on the attached list are now assessed failure in the implementation of the SEA-K program of DSWD and their members are also inactive.</w:t>
      </w:r>
    </w:p>
    <w:p w:rsidR="009348C5" w:rsidRDefault="009348C5" w:rsidP="00CA789D">
      <w:pPr>
        <w:spacing w:after="0"/>
        <w:jc w:val="both"/>
      </w:pPr>
    </w:p>
    <w:p w:rsidR="009348C5" w:rsidRDefault="00EF063F" w:rsidP="00CA789D">
      <w:pPr>
        <w:spacing w:after="0"/>
        <w:jc w:val="both"/>
      </w:pPr>
      <w:r w:rsidRPr="00EF063F">
        <w:rPr>
          <w:b/>
        </w:rPr>
        <w:t>WHEREAS</w:t>
      </w:r>
      <w:r w:rsidR="009348C5">
        <w:t xml:space="preserve">, the Project Development Officer (PDO) and the Municipal Social Welfare and Development Officer (MSWDO) and in support of the MAT Leader exerted effort to assist/validate &amp; locate the SEA-K projects for recovery from its existing problems and on its plan to provide technical assistance </w:t>
      </w:r>
      <w:r w:rsidR="00F26404">
        <w:t>to associations and its members;</w:t>
      </w:r>
    </w:p>
    <w:p w:rsidR="009348C5" w:rsidRDefault="009348C5" w:rsidP="00CA789D">
      <w:pPr>
        <w:spacing w:after="0"/>
        <w:jc w:val="both"/>
      </w:pPr>
    </w:p>
    <w:p w:rsidR="009348C5" w:rsidRDefault="00EF063F" w:rsidP="00CA789D">
      <w:pPr>
        <w:spacing w:after="0"/>
        <w:jc w:val="both"/>
      </w:pPr>
      <w:r w:rsidRPr="00EF063F">
        <w:rPr>
          <w:b/>
        </w:rPr>
        <w:t>WHEREAS</w:t>
      </w:r>
      <w:r w:rsidR="009348C5">
        <w:t>, the PDO and the</w:t>
      </w:r>
      <w:r w:rsidR="007E1698">
        <w:t xml:space="preserve"> MSWDO and in support of the MAT leader attempted to send memorandum/letter to the beneficiaries in a purpose of reminding their social obligati</w:t>
      </w:r>
      <w:r w:rsidR="00F26404">
        <w:t>on to their association members;</w:t>
      </w:r>
    </w:p>
    <w:p w:rsidR="007E1698" w:rsidRDefault="007E1698" w:rsidP="00CA789D">
      <w:pPr>
        <w:spacing w:after="0"/>
        <w:jc w:val="both"/>
      </w:pPr>
    </w:p>
    <w:p w:rsidR="007E1698" w:rsidRDefault="00EF063F" w:rsidP="00CA789D">
      <w:pPr>
        <w:spacing w:after="0"/>
        <w:jc w:val="both"/>
      </w:pPr>
      <w:r w:rsidRPr="00EF063F">
        <w:rPr>
          <w:b/>
        </w:rPr>
        <w:t>WHEREAS</w:t>
      </w:r>
      <w:r w:rsidR="007E1698">
        <w:t>, the Field Office provided all the efforts in proposal to rehabilitate the project but proved futile and further engagement would be costly and unproductive for DSWD, the composite team conducted an assessment to these inactive SKA’s which resulted to the following reasons:</w:t>
      </w:r>
    </w:p>
    <w:p w:rsidR="007E1698" w:rsidRDefault="007E1698" w:rsidP="00CA789D">
      <w:pPr>
        <w:spacing w:after="0"/>
        <w:jc w:val="both"/>
      </w:pPr>
    </w:p>
    <w:p w:rsidR="00EF063F" w:rsidRDefault="007E1698" w:rsidP="007E1698">
      <w:pPr>
        <w:pStyle w:val="ListParagraph"/>
        <w:numPr>
          <w:ilvl w:val="0"/>
          <w:numId w:val="1"/>
        </w:numPr>
        <w:spacing w:after="0"/>
        <w:jc w:val="both"/>
      </w:pPr>
      <w:r>
        <w:t>Poor monitoring and delayed project evaluation and incapacitated participants percei</w:t>
      </w:r>
      <w:r w:rsidR="00EF063F">
        <w:t>ves as</w:t>
      </w:r>
    </w:p>
    <w:p w:rsidR="007E1698" w:rsidRDefault="00EF063F" w:rsidP="00EF063F">
      <w:pPr>
        <w:pStyle w:val="ListParagraph"/>
        <w:spacing w:after="0"/>
        <w:jc w:val="both"/>
      </w:pPr>
      <w:r>
        <w:t xml:space="preserve"> </w:t>
      </w:r>
      <w:proofErr w:type="gramStart"/>
      <w:r>
        <w:t>dole-out</w:t>
      </w:r>
      <w:proofErr w:type="gramEnd"/>
      <w:r>
        <w:t>,</w:t>
      </w:r>
    </w:p>
    <w:p w:rsidR="007E1698" w:rsidRDefault="007E1698" w:rsidP="007E1698">
      <w:pPr>
        <w:pStyle w:val="ListParagraph"/>
        <w:numPr>
          <w:ilvl w:val="0"/>
          <w:numId w:val="1"/>
        </w:numPr>
        <w:spacing w:after="0"/>
        <w:jc w:val="both"/>
      </w:pPr>
      <w:r>
        <w:t>Death and transfer/change of residency of officers and members.</w:t>
      </w:r>
    </w:p>
    <w:p w:rsidR="007E1698" w:rsidRDefault="007E1698" w:rsidP="007E1698">
      <w:pPr>
        <w:pStyle w:val="ListParagraph"/>
        <w:numPr>
          <w:ilvl w:val="0"/>
          <w:numId w:val="1"/>
        </w:numPr>
        <w:spacing w:after="0"/>
        <w:jc w:val="both"/>
      </w:pPr>
      <w:r>
        <w:t>bankruptcy, diminishing and deteriorating, delinquency of payments of the members wherein savings are used to cover up other members payments;</w:t>
      </w:r>
    </w:p>
    <w:p w:rsidR="007E1698" w:rsidRDefault="00443785" w:rsidP="007E1698">
      <w:pPr>
        <w:pStyle w:val="ListParagraph"/>
        <w:numPr>
          <w:ilvl w:val="0"/>
          <w:numId w:val="1"/>
        </w:numPr>
        <w:spacing w:after="0"/>
        <w:jc w:val="both"/>
      </w:pPr>
      <w:r>
        <w:t xml:space="preserve"> N</w:t>
      </w:r>
      <w:r w:rsidR="007E1698">
        <w:t>atural calamities happened in the aforementioned years, thus their Li</w:t>
      </w:r>
      <w:r w:rsidR="00EF063F">
        <w:t>velihood projects are affected,</w:t>
      </w:r>
    </w:p>
    <w:p w:rsidR="00443785" w:rsidRDefault="00443785" w:rsidP="00443785">
      <w:pPr>
        <w:pStyle w:val="ListParagraph"/>
        <w:numPr>
          <w:ilvl w:val="0"/>
          <w:numId w:val="1"/>
        </w:numPr>
        <w:spacing w:after="0"/>
        <w:jc w:val="both"/>
      </w:pPr>
      <w:r>
        <w:t>N</w:t>
      </w:r>
      <w:r w:rsidR="007E1698">
        <w:t xml:space="preserve">o documents were further turned over to the Local Government Unit, considering that South </w:t>
      </w:r>
      <w:proofErr w:type="spellStart"/>
      <w:r w:rsidR="007E1698">
        <w:t>Cotabato</w:t>
      </w:r>
      <w:proofErr w:type="spellEnd"/>
      <w:r w:rsidR="007E1698">
        <w:t xml:space="preserve"> was then geographically part of Region XI.</w:t>
      </w:r>
    </w:p>
    <w:p w:rsidR="00443785" w:rsidRDefault="00443785" w:rsidP="00443785">
      <w:pPr>
        <w:spacing w:after="0"/>
        <w:jc w:val="both"/>
      </w:pPr>
    </w:p>
    <w:p w:rsidR="00443785" w:rsidRDefault="00443785" w:rsidP="00443785">
      <w:pPr>
        <w:spacing w:after="0"/>
        <w:jc w:val="both"/>
      </w:pPr>
      <w:r w:rsidRPr="00EF063F">
        <w:rPr>
          <w:b/>
        </w:rPr>
        <w:t>RESOLVED</w:t>
      </w:r>
      <w:r>
        <w:t xml:space="preserve">, that the list of SKA’s attached herein is classified as inactive accounts </w:t>
      </w:r>
      <w:r w:rsidR="00EF063F">
        <w:t xml:space="preserve">and </w:t>
      </w:r>
      <w:r>
        <w:t>be approved at the Central Office to be delisted from the active caseload of the Field Office.</w:t>
      </w:r>
    </w:p>
    <w:p w:rsidR="00443785" w:rsidRDefault="00443785" w:rsidP="00443785">
      <w:pPr>
        <w:spacing w:after="0"/>
        <w:jc w:val="both"/>
      </w:pPr>
    </w:p>
    <w:p w:rsidR="00EF063F" w:rsidRDefault="00EF063F" w:rsidP="00443785">
      <w:pPr>
        <w:spacing w:after="0"/>
        <w:jc w:val="both"/>
      </w:pPr>
    </w:p>
    <w:p w:rsidR="00EF063F" w:rsidRDefault="00EF063F" w:rsidP="00443785">
      <w:pPr>
        <w:spacing w:after="0"/>
        <w:jc w:val="both"/>
      </w:pPr>
    </w:p>
    <w:p w:rsidR="00443785" w:rsidRPr="00EF063F" w:rsidRDefault="00443785" w:rsidP="00C81F3D">
      <w:pPr>
        <w:spacing w:after="0"/>
        <w:ind w:firstLine="720"/>
        <w:jc w:val="both"/>
        <w:rPr>
          <w:b/>
        </w:rPr>
      </w:pPr>
      <w:r w:rsidRPr="00EF063F">
        <w:rPr>
          <w:b/>
        </w:rPr>
        <w:t>RONALD S. DARIA</w:t>
      </w:r>
      <w:r w:rsidRPr="00EF063F">
        <w:rPr>
          <w:b/>
        </w:rPr>
        <w:tab/>
      </w:r>
      <w:r w:rsidRPr="00EF063F">
        <w:rPr>
          <w:b/>
        </w:rPr>
        <w:tab/>
      </w:r>
      <w:r w:rsidRPr="00EF063F">
        <w:rPr>
          <w:b/>
        </w:rPr>
        <w:tab/>
      </w:r>
      <w:r w:rsidRPr="00EF063F">
        <w:rPr>
          <w:b/>
        </w:rPr>
        <w:tab/>
      </w:r>
      <w:r w:rsidR="00EF063F">
        <w:rPr>
          <w:b/>
        </w:rPr>
        <w:tab/>
      </w:r>
      <w:r w:rsidRPr="00EF063F">
        <w:rPr>
          <w:b/>
        </w:rPr>
        <w:tab/>
        <w:t>ELSIE C. FRUGALIDAD, RSW</w:t>
      </w:r>
    </w:p>
    <w:p w:rsidR="00443785" w:rsidRDefault="00443785" w:rsidP="00C81F3D">
      <w:pPr>
        <w:spacing w:after="0"/>
        <w:ind w:firstLine="720"/>
        <w:jc w:val="both"/>
      </w:pPr>
      <w:r>
        <w:t>Project Development Officer</w:t>
      </w:r>
      <w:r>
        <w:tab/>
      </w:r>
      <w:r>
        <w:tab/>
      </w:r>
      <w:r>
        <w:tab/>
      </w:r>
      <w:r w:rsidR="00EF063F">
        <w:tab/>
      </w:r>
      <w:r>
        <w:tab/>
        <w:t>OIC-MSWDO</w:t>
      </w:r>
    </w:p>
    <w:p w:rsidR="00443785" w:rsidRDefault="00443785" w:rsidP="00443785">
      <w:pPr>
        <w:spacing w:after="0"/>
        <w:jc w:val="both"/>
      </w:pPr>
    </w:p>
    <w:p w:rsidR="00EF063F" w:rsidRDefault="00EF063F" w:rsidP="00443785">
      <w:pPr>
        <w:spacing w:after="0"/>
        <w:jc w:val="both"/>
      </w:pPr>
    </w:p>
    <w:p w:rsidR="00443785" w:rsidRDefault="00443785" w:rsidP="00443785">
      <w:pPr>
        <w:spacing w:after="0"/>
        <w:jc w:val="both"/>
      </w:pPr>
    </w:p>
    <w:p w:rsidR="00443785" w:rsidRDefault="00443785" w:rsidP="00443785">
      <w:pPr>
        <w:spacing w:after="0"/>
        <w:jc w:val="both"/>
      </w:pPr>
    </w:p>
    <w:p w:rsidR="00EF063F" w:rsidRPr="00EF063F" w:rsidRDefault="00EF063F" w:rsidP="00C81F3D">
      <w:pPr>
        <w:spacing w:after="0"/>
        <w:ind w:firstLine="720"/>
        <w:jc w:val="both"/>
        <w:rPr>
          <w:b/>
        </w:rPr>
      </w:pPr>
      <w:r w:rsidRPr="00EF063F">
        <w:rPr>
          <w:b/>
        </w:rPr>
        <w:t>SORAYA L. MAGBANUA, RSW</w:t>
      </w:r>
      <w:r w:rsidRPr="00EF063F">
        <w:rPr>
          <w:b/>
        </w:rPr>
        <w:tab/>
      </w:r>
      <w:r w:rsidRPr="00EF063F">
        <w:rPr>
          <w:b/>
        </w:rPr>
        <w:tab/>
      </w:r>
      <w:r w:rsidRPr="00EF063F">
        <w:rPr>
          <w:b/>
        </w:rPr>
        <w:tab/>
      </w:r>
      <w:r>
        <w:rPr>
          <w:b/>
        </w:rPr>
        <w:tab/>
      </w:r>
      <w:r w:rsidRPr="00EF063F">
        <w:rPr>
          <w:b/>
        </w:rPr>
        <w:tab/>
        <w:t>BAI ZORAHAYDA T. TAHA</w:t>
      </w:r>
    </w:p>
    <w:p w:rsidR="00C81F3D" w:rsidRDefault="00EF063F" w:rsidP="00C81F3D">
      <w:pPr>
        <w:spacing w:after="0"/>
        <w:ind w:firstLine="720"/>
        <w:jc w:val="both"/>
      </w:pPr>
      <w:r>
        <w:t>Social Welfare Officer II</w:t>
      </w:r>
      <w:r>
        <w:tab/>
      </w:r>
      <w:r>
        <w:tab/>
      </w:r>
      <w:r>
        <w:tab/>
      </w:r>
      <w:r>
        <w:tab/>
      </w:r>
      <w:r>
        <w:tab/>
      </w:r>
      <w:r>
        <w:tab/>
        <w:t>Regional Director</w:t>
      </w:r>
    </w:p>
    <w:p w:rsidR="00C81F3D" w:rsidRDefault="00C81F3D" w:rsidP="00C81F3D">
      <w:pPr>
        <w:spacing w:after="0"/>
        <w:ind w:firstLine="720"/>
        <w:jc w:val="both"/>
      </w:pPr>
    </w:p>
    <w:bookmarkEnd w:id="0"/>
    <w:p w:rsidR="00C81F3D" w:rsidRDefault="00C81F3D" w:rsidP="00C81F3D">
      <w:pPr>
        <w:spacing w:after="0"/>
        <w:ind w:firstLine="720"/>
        <w:jc w:val="both"/>
      </w:pPr>
    </w:p>
    <w:p w:rsidR="00C81F3D" w:rsidRDefault="00C81F3D" w:rsidP="00C81F3D">
      <w:pPr>
        <w:spacing w:after="0"/>
        <w:ind w:firstLine="720"/>
        <w:jc w:val="both"/>
      </w:pPr>
    </w:p>
    <w:p w:rsidR="00443785" w:rsidRPr="00417202" w:rsidRDefault="00180BA5" w:rsidP="00180BA5">
      <w:pPr>
        <w:spacing w:after="0"/>
        <w:jc w:val="center"/>
        <w:rPr>
          <w:b/>
          <w:sz w:val="24"/>
          <w:szCs w:val="24"/>
        </w:rPr>
      </w:pPr>
      <w:r w:rsidRPr="00417202">
        <w:rPr>
          <w:b/>
          <w:sz w:val="24"/>
          <w:szCs w:val="24"/>
        </w:rPr>
        <w:t>DEPARTMENT OF SOCIAL WELFARE AND DEVELOPMENT</w:t>
      </w:r>
    </w:p>
    <w:p w:rsidR="00180BA5" w:rsidRDefault="00180BA5" w:rsidP="00180BA5">
      <w:pPr>
        <w:spacing w:after="0"/>
        <w:jc w:val="center"/>
      </w:pPr>
      <w:r>
        <w:t>Field Office XII</w:t>
      </w:r>
    </w:p>
    <w:p w:rsidR="00417202" w:rsidRDefault="00417202" w:rsidP="00180BA5">
      <w:pPr>
        <w:spacing w:after="0"/>
        <w:jc w:val="center"/>
      </w:pPr>
    </w:p>
    <w:p w:rsidR="00180BA5" w:rsidRDefault="00180BA5" w:rsidP="00180BA5">
      <w:pPr>
        <w:spacing w:after="0"/>
        <w:jc w:val="center"/>
        <w:rPr>
          <w:b/>
          <w:sz w:val="24"/>
          <w:szCs w:val="24"/>
        </w:rPr>
      </w:pPr>
      <w:r w:rsidRPr="00417202">
        <w:rPr>
          <w:b/>
          <w:sz w:val="24"/>
          <w:szCs w:val="24"/>
        </w:rPr>
        <w:t>SELF EMPLOYMENT ASSISTANCE KAUNLARAN (SEA-K) PROGRAM</w:t>
      </w:r>
    </w:p>
    <w:p w:rsidR="00180BA5" w:rsidRPr="00417202" w:rsidRDefault="00180BA5" w:rsidP="00443785">
      <w:pPr>
        <w:spacing w:after="0"/>
        <w:jc w:val="both"/>
        <w:rPr>
          <w:b/>
          <w:sz w:val="24"/>
          <w:szCs w:val="24"/>
        </w:rPr>
      </w:pPr>
    </w:p>
    <w:tbl>
      <w:tblPr>
        <w:tblStyle w:val="TableGrid"/>
        <w:tblW w:w="17275" w:type="dxa"/>
        <w:tblLook w:val="04A0" w:firstRow="1" w:lastRow="0" w:firstColumn="1" w:lastColumn="0" w:noHBand="0" w:noVBand="1"/>
      </w:tblPr>
      <w:tblGrid>
        <w:gridCol w:w="2959"/>
        <w:gridCol w:w="1297"/>
        <w:gridCol w:w="1168"/>
        <w:gridCol w:w="1258"/>
        <w:gridCol w:w="1617"/>
        <w:gridCol w:w="1797"/>
        <w:gridCol w:w="1267"/>
        <w:gridCol w:w="5912"/>
      </w:tblGrid>
      <w:tr w:rsidR="00C81F3D" w:rsidTr="00417202">
        <w:trPr>
          <w:trHeight w:val="386"/>
        </w:trPr>
        <w:tc>
          <w:tcPr>
            <w:tcW w:w="2965"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NAME OF SEA-K ASSOCIATION</w:t>
            </w:r>
          </w:p>
        </w:tc>
        <w:tc>
          <w:tcPr>
            <w:tcW w:w="1260"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BARANGAY</w:t>
            </w:r>
          </w:p>
        </w:tc>
        <w:tc>
          <w:tcPr>
            <w:tcW w:w="1170"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YEAR FUNDED</w:t>
            </w:r>
          </w:p>
        </w:tc>
        <w:tc>
          <w:tcPr>
            <w:tcW w:w="1260"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SOURCE OF FUND</w:t>
            </w:r>
          </w:p>
        </w:tc>
        <w:tc>
          <w:tcPr>
            <w:tcW w:w="1620" w:type="dxa"/>
          </w:tcPr>
          <w:p w:rsid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 xml:space="preserve">AMOUNT OF </w:t>
            </w:r>
          </w:p>
          <w:p w:rsidR="00C81F3D" w:rsidRPr="00417202" w:rsidRDefault="00C81F3D" w:rsidP="00180BA5">
            <w:pPr>
              <w:jc w:val="center"/>
              <w:rPr>
                <w:rFonts w:ascii="Arial Narrow" w:eastAsia="Arial Unicode MS" w:hAnsi="Arial Narrow" w:cs="Arial Unicode MS"/>
                <w:b/>
                <w:sz w:val="14"/>
                <w:szCs w:val="14"/>
                <w:lang w:val="en-US"/>
              </w:rPr>
            </w:pPr>
            <w:r w:rsidRPr="00417202">
              <w:rPr>
                <w:rFonts w:ascii="Arial Narrow" w:eastAsia="Arial Unicode MS" w:hAnsi="Arial Narrow" w:cs="Arial Unicode MS"/>
                <w:b/>
                <w:sz w:val="14"/>
                <w:szCs w:val="14"/>
                <w:lang w:val="en-US"/>
              </w:rPr>
              <w:t>CAPITAL ASSISTANCE</w:t>
            </w:r>
          </w:p>
        </w:tc>
        <w:tc>
          <w:tcPr>
            <w:tcW w:w="1800"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 xml:space="preserve">REPAYMENT </w:t>
            </w:r>
            <w:r w:rsidRPr="00417202">
              <w:rPr>
                <w:rFonts w:ascii="Arial Narrow" w:eastAsia="Arial Unicode MS" w:hAnsi="Arial Narrow" w:cs="Arial Unicode MS"/>
                <w:b/>
                <w:sz w:val="14"/>
                <w:szCs w:val="14"/>
                <w:lang w:val="en-US"/>
              </w:rPr>
              <w:t>CUMMULATIVE TOTAL</w:t>
            </w:r>
          </w:p>
        </w:tc>
        <w:tc>
          <w:tcPr>
            <w:tcW w:w="1268"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BALANCE</w:t>
            </w:r>
          </w:p>
        </w:tc>
        <w:tc>
          <w:tcPr>
            <w:tcW w:w="5932" w:type="dxa"/>
          </w:tcPr>
          <w:p w:rsidR="00C81F3D" w:rsidRPr="00417202" w:rsidRDefault="00C81F3D" w:rsidP="00180BA5">
            <w:pPr>
              <w:jc w:val="center"/>
              <w:rPr>
                <w:rFonts w:ascii="Arial Narrow" w:eastAsia="Arial Unicode MS" w:hAnsi="Arial Narrow" w:cs="Arial Unicode MS"/>
                <w:b/>
                <w:sz w:val="18"/>
                <w:szCs w:val="18"/>
                <w:lang w:val="en-US"/>
              </w:rPr>
            </w:pPr>
            <w:r w:rsidRPr="00417202">
              <w:rPr>
                <w:rFonts w:ascii="Arial Narrow" w:eastAsia="Arial Unicode MS" w:hAnsi="Arial Narrow" w:cs="Arial Unicode MS"/>
                <w:b/>
                <w:sz w:val="18"/>
                <w:szCs w:val="18"/>
                <w:lang w:val="en-US"/>
              </w:rPr>
              <w:t>REASON/S FOR DELISTING/ACTION TAKEN</w:t>
            </w:r>
          </w:p>
        </w:tc>
      </w:tr>
      <w:tr w:rsidR="00C81F3D" w:rsidTr="00417202">
        <w:trPr>
          <w:trHeight w:val="406"/>
        </w:trPr>
        <w:tc>
          <w:tcPr>
            <w:tcW w:w="2965" w:type="dxa"/>
          </w:tcPr>
          <w:p w:rsidR="00C81F3D" w:rsidRPr="006A1D7D" w:rsidRDefault="00C81F3D"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DANLAG I</w:t>
            </w:r>
          </w:p>
        </w:tc>
        <w:tc>
          <w:tcPr>
            <w:tcW w:w="1260" w:type="dxa"/>
          </w:tcPr>
          <w:p w:rsidR="00C81F3D" w:rsidRPr="006A1D7D" w:rsidRDefault="00C81F3D"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DANLAG</w:t>
            </w:r>
          </w:p>
        </w:tc>
        <w:tc>
          <w:tcPr>
            <w:tcW w:w="1170" w:type="dxa"/>
          </w:tcPr>
          <w:p w:rsidR="00C81F3D" w:rsidRPr="006A1D7D" w:rsidRDefault="00C81F3D"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1995</w:t>
            </w:r>
          </w:p>
        </w:tc>
        <w:tc>
          <w:tcPr>
            <w:tcW w:w="1260" w:type="dxa"/>
          </w:tcPr>
          <w:p w:rsidR="00C81F3D" w:rsidRPr="006A1D7D" w:rsidRDefault="00C81F3D"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C81F3D" w:rsidRPr="006A1D7D" w:rsidRDefault="00C81F3D"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C81F3D" w:rsidRPr="006A1D7D" w:rsidRDefault="00C81F3D"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268" w:type="dxa"/>
          </w:tcPr>
          <w:p w:rsidR="00C81F3D" w:rsidRPr="006A1D7D" w:rsidRDefault="00C81F3D"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C81F3D" w:rsidRPr="00417202" w:rsidRDefault="00180BA5" w:rsidP="00180BA5">
            <w:pPr>
              <w:jc w:val="both"/>
              <w:rPr>
                <w:sz w:val="14"/>
                <w:szCs w:val="14"/>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1250"/>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TAMPAKAN</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TAMPAKAN</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1995</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75,000.00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25,000.00</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jc w:val="both"/>
              <w:rPr>
                <w:sz w:val="14"/>
                <w:szCs w:val="14"/>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152"/>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STA.CRUZ I</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STA.CRUZ</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1996</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449"/>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STA.CRUZ II</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STA.CRUZ</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1997</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242"/>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SAN ISIDRO I</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SAN ISIDRO</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1997</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341"/>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SAN ISIDRO II</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SAN ISIDRO</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1997</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85,507.00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12,493.00</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363"/>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DANLAG II</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DANLAG</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1997</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70,839.00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21,161.00</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320"/>
        </w:trPr>
        <w:tc>
          <w:tcPr>
            <w:tcW w:w="2965" w:type="dxa"/>
          </w:tcPr>
          <w:p w:rsidR="00180BA5" w:rsidRPr="006A1D7D" w:rsidRDefault="00180BA5" w:rsidP="00180BA5">
            <w:pPr>
              <w:spacing w:line="480" w:lineRule="auto"/>
              <w:jc w:val="center"/>
              <w:rPr>
                <w:b/>
                <w:color w:val="000000" w:themeColor="text1"/>
              </w:rPr>
            </w:pPr>
            <w:r w:rsidRPr="006A1D7D">
              <w:rPr>
                <w:b/>
                <w:color w:val="000000" w:themeColor="text1"/>
              </w:rPr>
              <w:t>KALIPI- LIBERTY</w:t>
            </w:r>
          </w:p>
        </w:tc>
        <w:tc>
          <w:tcPr>
            <w:tcW w:w="1260" w:type="dxa"/>
          </w:tcPr>
          <w:p w:rsidR="00180BA5" w:rsidRPr="006A1D7D" w:rsidRDefault="00180BA5" w:rsidP="00180BA5">
            <w:pPr>
              <w:spacing w:line="480" w:lineRule="auto"/>
              <w:jc w:val="center"/>
              <w:rPr>
                <w:rFonts w:cs="Arial"/>
                <w:color w:val="000000" w:themeColor="text1"/>
                <w:sz w:val="20"/>
                <w:szCs w:val="20"/>
              </w:rPr>
            </w:pPr>
            <w:r w:rsidRPr="006A1D7D">
              <w:rPr>
                <w:rFonts w:cs="Arial"/>
                <w:color w:val="000000" w:themeColor="text1"/>
                <w:sz w:val="20"/>
                <w:szCs w:val="20"/>
              </w:rPr>
              <w:t>LIBERTY</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2000</w:t>
            </w:r>
          </w:p>
        </w:tc>
        <w:tc>
          <w:tcPr>
            <w:tcW w:w="1260" w:type="dxa"/>
            <w:tcBorders>
              <w:top w:val="single" w:sz="4" w:space="0" w:color="auto"/>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RSF</w:t>
            </w:r>
          </w:p>
        </w:tc>
        <w:tc>
          <w:tcPr>
            <w:tcW w:w="1620" w:type="dxa"/>
            <w:tcBorders>
              <w:top w:val="single" w:sz="4" w:space="0" w:color="auto"/>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141,700.00</w:t>
            </w:r>
          </w:p>
        </w:tc>
        <w:tc>
          <w:tcPr>
            <w:tcW w:w="1800" w:type="dxa"/>
            <w:tcBorders>
              <w:top w:val="single" w:sz="4" w:space="0" w:color="auto"/>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70,944.00</w:t>
            </w:r>
          </w:p>
        </w:tc>
        <w:tc>
          <w:tcPr>
            <w:tcW w:w="1268" w:type="dxa"/>
            <w:tcBorders>
              <w:top w:val="single" w:sz="4" w:space="0" w:color="auto"/>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70,756.00</w:t>
            </w:r>
          </w:p>
        </w:tc>
        <w:tc>
          <w:tcPr>
            <w:tcW w:w="5932" w:type="dxa"/>
            <w:tcBorders>
              <w:top w:val="single" w:sz="4" w:space="0" w:color="auto"/>
              <w:left w:val="nil"/>
              <w:bottom w:val="single" w:sz="4" w:space="0" w:color="auto"/>
              <w:right w:val="single" w:sz="4" w:space="0" w:color="auto"/>
            </w:tcBorders>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cs="Arial"/>
                <w:color w:val="000000" w:themeColor="text1"/>
                <w:sz w:val="14"/>
                <w:szCs w:val="14"/>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255"/>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Times New Roman" w:cs="Arial"/>
                <w:b/>
                <w:color w:val="000000" w:themeColor="text1"/>
                <w:lang w:eastAsia="en-PH"/>
              </w:rPr>
              <w:t>LAMBAYONG</w:t>
            </w:r>
          </w:p>
        </w:tc>
        <w:tc>
          <w:tcPr>
            <w:tcW w:w="1260" w:type="dxa"/>
          </w:tcPr>
          <w:p w:rsidR="00180BA5" w:rsidRPr="006A1D7D" w:rsidRDefault="00180BA5" w:rsidP="00180BA5">
            <w:pPr>
              <w:spacing w:line="480" w:lineRule="auto"/>
              <w:jc w:val="center"/>
              <w:rPr>
                <w:rFonts w:cs="Arial"/>
                <w:color w:val="000000" w:themeColor="text1"/>
                <w:sz w:val="20"/>
                <w:szCs w:val="20"/>
              </w:rPr>
            </w:pPr>
            <w:r w:rsidRPr="006A1D7D">
              <w:rPr>
                <w:rFonts w:cs="Arial"/>
                <w:color w:val="000000" w:themeColor="text1"/>
                <w:sz w:val="20"/>
                <w:szCs w:val="20"/>
              </w:rPr>
              <w:t>LAMBAYONG</w:t>
            </w:r>
          </w:p>
        </w:tc>
        <w:tc>
          <w:tcPr>
            <w:tcW w:w="1170" w:type="dxa"/>
            <w:tcBorders>
              <w:top w:val="nil"/>
              <w:left w:val="single" w:sz="4" w:space="0" w:color="auto"/>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2000</w:t>
            </w:r>
          </w:p>
        </w:tc>
        <w:tc>
          <w:tcPr>
            <w:tcW w:w="126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RSF</w:t>
            </w:r>
          </w:p>
        </w:tc>
        <w:tc>
          <w:tcPr>
            <w:tcW w:w="162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100,000.00</w:t>
            </w:r>
          </w:p>
        </w:tc>
        <w:tc>
          <w:tcPr>
            <w:tcW w:w="180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100,000.00</w:t>
            </w:r>
          </w:p>
        </w:tc>
        <w:tc>
          <w:tcPr>
            <w:tcW w:w="1268" w:type="dxa"/>
          </w:tcPr>
          <w:p w:rsidR="00180BA5" w:rsidRPr="006A1D7D" w:rsidRDefault="00180BA5" w:rsidP="00180BA5">
            <w:pPr>
              <w:spacing w:line="480" w:lineRule="auto"/>
              <w:jc w:val="center"/>
              <w:rPr>
                <w:b/>
                <w:color w:val="000000" w:themeColor="text1"/>
                <w:sz w:val="18"/>
                <w:szCs w:val="18"/>
              </w:rPr>
            </w:pPr>
            <w:r w:rsidRPr="006A1D7D">
              <w:rPr>
                <w:rFonts w:eastAsia="Arial Unicode MS" w:cs="Arial Unicode MS"/>
                <w:b/>
                <w:color w:val="000000" w:themeColor="text1"/>
                <w:sz w:val="18"/>
                <w:szCs w:val="18"/>
                <w:lang w:val="en-US"/>
              </w:rPr>
              <w:t>-</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255"/>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Arial Unicode MS" w:cs="Arial Unicode MS"/>
                <w:b/>
                <w:color w:val="000000" w:themeColor="text1"/>
                <w:lang w:val="en-US"/>
              </w:rPr>
              <w:t>LAMPITAK</w:t>
            </w:r>
          </w:p>
        </w:tc>
        <w:tc>
          <w:tcPr>
            <w:tcW w:w="1260" w:type="dxa"/>
          </w:tcPr>
          <w:p w:rsidR="00180BA5" w:rsidRPr="006A1D7D" w:rsidRDefault="00180BA5" w:rsidP="00180BA5">
            <w:pPr>
              <w:spacing w:line="480" w:lineRule="auto"/>
              <w:jc w:val="center"/>
              <w:rPr>
                <w:rFonts w:eastAsia="Arial Unicode MS" w:cs="Arial Unicode MS"/>
                <w:color w:val="000000" w:themeColor="text1"/>
                <w:sz w:val="20"/>
                <w:szCs w:val="20"/>
                <w:lang w:val="en-US"/>
              </w:rPr>
            </w:pPr>
            <w:r w:rsidRPr="006A1D7D">
              <w:rPr>
                <w:rFonts w:eastAsia="Arial Unicode MS" w:cs="Arial Unicode MS"/>
                <w:color w:val="000000" w:themeColor="text1"/>
                <w:sz w:val="20"/>
                <w:szCs w:val="20"/>
                <w:lang w:val="en-US"/>
              </w:rPr>
              <w:t>LAMPITAK</w:t>
            </w:r>
          </w:p>
        </w:tc>
        <w:tc>
          <w:tcPr>
            <w:tcW w:w="117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2003</w:t>
            </w:r>
          </w:p>
        </w:tc>
        <w:tc>
          <w:tcPr>
            <w:tcW w:w="1260" w:type="dxa"/>
          </w:tcPr>
          <w:p w:rsidR="00180BA5" w:rsidRPr="006A1D7D" w:rsidRDefault="00180BA5" w:rsidP="00180BA5">
            <w:pPr>
              <w:spacing w:line="480" w:lineRule="auto"/>
              <w:jc w:val="center"/>
              <w:rPr>
                <w:rFonts w:eastAsia="Arial Unicode MS" w:cs="Arial Unicode MS"/>
                <w:color w:val="000000" w:themeColor="text1"/>
                <w:lang w:val="en-US"/>
              </w:rPr>
            </w:pPr>
            <w:r w:rsidRPr="006A1D7D">
              <w:rPr>
                <w:rFonts w:eastAsia="Arial Unicode MS" w:cs="Arial Unicode MS"/>
                <w:color w:val="000000" w:themeColor="text1"/>
                <w:lang w:val="en-US"/>
              </w:rPr>
              <w:t>CIDSS</w:t>
            </w:r>
          </w:p>
        </w:tc>
        <w:tc>
          <w:tcPr>
            <w:tcW w:w="162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100,000.00</w:t>
            </w:r>
          </w:p>
        </w:tc>
        <w:tc>
          <w:tcPr>
            <w:tcW w:w="1800"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54,171.00</w:t>
            </w:r>
          </w:p>
        </w:tc>
        <w:tc>
          <w:tcPr>
            <w:tcW w:w="1268" w:type="dxa"/>
          </w:tcPr>
          <w:p w:rsidR="00180BA5" w:rsidRPr="006A1D7D" w:rsidRDefault="00180BA5" w:rsidP="00180BA5">
            <w:pPr>
              <w:spacing w:line="480" w:lineRule="auto"/>
              <w:jc w:val="center"/>
              <w:rPr>
                <w:rFonts w:eastAsia="Arial Unicode MS" w:cs="Arial Unicode MS"/>
                <w:b/>
                <w:color w:val="000000" w:themeColor="text1"/>
                <w:sz w:val="18"/>
                <w:szCs w:val="18"/>
                <w:lang w:val="en-US"/>
              </w:rPr>
            </w:pPr>
            <w:r w:rsidRPr="006A1D7D">
              <w:rPr>
                <w:rFonts w:eastAsia="Arial Unicode MS" w:cs="Arial Unicode MS"/>
                <w:b/>
                <w:color w:val="000000" w:themeColor="text1"/>
                <w:sz w:val="18"/>
                <w:szCs w:val="18"/>
                <w:lang w:val="en-US"/>
              </w:rPr>
              <w:t>P   45,829.00</w:t>
            </w:r>
          </w:p>
        </w:tc>
        <w:tc>
          <w:tcPr>
            <w:tcW w:w="5932" w:type="dxa"/>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eastAsia="Arial Unicode MS" w:cs="Arial Unicode MS"/>
                <w:color w:val="000000" w:themeColor="text1"/>
                <w:sz w:val="14"/>
                <w:szCs w:val="14"/>
                <w:lang w:val="en-US"/>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427"/>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Times New Roman" w:cs="Arial"/>
                <w:b/>
                <w:color w:val="000000" w:themeColor="text1"/>
                <w:lang w:eastAsia="en-PH"/>
              </w:rPr>
              <w:t>MASIKAP SEA-K ASSOC.</w:t>
            </w:r>
          </w:p>
        </w:tc>
        <w:tc>
          <w:tcPr>
            <w:tcW w:w="1260" w:type="dxa"/>
          </w:tcPr>
          <w:p w:rsidR="00180BA5" w:rsidRPr="006A1D7D" w:rsidRDefault="00180BA5" w:rsidP="00180BA5">
            <w:pPr>
              <w:spacing w:line="480" w:lineRule="auto"/>
              <w:jc w:val="center"/>
              <w:rPr>
                <w:rFonts w:cs="Arial"/>
                <w:color w:val="000000" w:themeColor="text1"/>
                <w:sz w:val="20"/>
                <w:szCs w:val="20"/>
              </w:rPr>
            </w:pPr>
            <w:r w:rsidRPr="006A1D7D">
              <w:rPr>
                <w:rFonts w:cs="Arial"/>
                <w:color w:val="000000" w:themeColor="text1"/>
                <w:sz w:val="20"/>
                <w:szCs w:val="20"/>
              </w:rPr>
              <w:t>TAMPAKAN</w:t>
            </w:r>
          </w:p>
        </w:tc>
        <w:tc>
          <w:tcPr>
            <w:tcW w:w="1170" w:type="dxa"/>
            <w:tcBorders>
              <w:top w:val="nil"/>
              <w:left w:val="single" w:sz="4" w:space="0" w:color="auto"/>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2008</w:t>
            </w:r>
          </w:p>
        </w:tc>
        <w:tc>
          <w:tcPr>
            <w:tcW w:w="126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RD-SRSF</w:t>
            </w:r>
          </w:p>
        </w:tc>
        <w:tc>
          <w:tcPr>
            <w:tcW w:w="162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125,000.00</w:t>
            </w:r>
          </w:p>
        </w:tc>
        <w:tc>
          <w:tcPr>
            <w:tcW w:w="180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115,000.00</w:t>
            </w:r>
          </w:p>
        </w:tc>
        <w:tc>
          <w:tcPr>
            <w:tcW w:w="1268"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10,000.00</w:t>
            </w:r>
          </w:p>
        </w:tc>
        <w:tc>
          <w:tcPr>
            <w:tcW w:w="5932" w:type="dxa"/>
            <w:tcBorders>
              <w:top w:val="nil"/>
              <w:left w:val="nil"/>
              <w:bottom w:val="single" w:sz="4" w:space="0" w:color="auto"/>
              <w:right w:val="single" w:sz="4" w:space="0" w:color="auto"/>
            </w:tcBorders>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cs="Arial"/>
                <w:color w:val="000000" w:themeColor="text1"/>
                <w:sz w:val="14"/>
                <w:szCs w:val="14"/>
              </w:rPr>
            </w:pPr>
            <w:r w:rsidRPr="00417202">
              <w:rPr>
                <w:sz w:val="14"/>
                <w:szCs w:val="14"/>
              </w:rPr>
              <w:lastRenderedPageBreak/>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r w:rsidR="00180BA5" w:rsidTr="00417202">
        <w:trPr>
          <w:trHeight w:val="152"/>
        </w:trPr>
        <w:tc>
          <w:tcPr>
            <w:tcW w:w="2965" w:type="dxa"/>
          </w:tcPr>
          <w:p w:rsidR="00180BA5" w:rsidRPr="006A1D7D" w:rsidRDefault="00180BA5" w:rsidP="00180BA5">
            <w:pPr>
              <w:spacing w:line="480" w:lineRule="auto"/>
              <w:jc w:val="center"/>
              <w:rPr>
                <w:rFonts w:eastAsia="Arial Unicode MS" w:cs="Arial Unicode MS"/>
                <w:b/>
                <w:color w:val="000000" w:themeColor="text1"/>
                <w:lang w:val="en-US"/>
              </w:rPr>
            </w:pPr>
            <w:r w:rsidRPr="006A1D7D">
              <w:rPr>
                <w:rFonts w:eastAsia="Times New Roman" w:cs="Arial"/>
                <w:b/>
                <w:color w:val="000000" w:themeColor="text1"/>
                <w:lang w:eastAsia="en-PH"/>
              </w:rPr>
              <w:lastRenderedPageBreak/>
              <w:t>KIPALBIG UNITED WOMENS SKA</w:t>
            </w:r>
          </w:p>
        </w:tc>
        <w:tc>
          <w:tcPr>
            <w:tcW w:w="1260" w:type="dxa"/>
          </w:tcPr>
          <w:p w:rsidR="00180BA5" w:rsidRPr="006A1D7D" w:rsidRDefault="00180BA5" w:rsidP="00180BA5">
            <w:pPr>
              <w:spacing w:line="480" w:lineRule="auto"/>
              <w:jc w:val="center"/>
              <w:rPr>
                <w:rFonts w:cs="Arial"/>
                <w:color w:val="000000" w:themeColor="text1"/>
                <w:sz w:val="20"/>
                <w:szCs w:val="20"/>
              </w:rPr>
            </w:pPr>
            <w:r w:rsidRPr="006A1D7D">
              <w:rPr>
                <w:rFonts w:cs="Arial"/>
                <w:color w:val="000000" w:themeColor="text1"/>
                <w:sz w:val="20"/>
                <w:szCs w:val="20"/>
              </w:rPr>
              <w:t>KIPALBIG</w:t>
            </w:r>
          </w:p>
        </w:tc>
        <w:tc>
          <w:tcPr>
            <w:tcW w:w="1170" w:type="dxa"/>
            <w:tcBorders>
              <w:top w:val="nil"/>
              <w:left w:val="single" w:sz="4" w:space="0" w:color="auto"/>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2009</w:t>
            </w:r>
          </w:p>
        </w:tc>
        <w:tc>
          <w:tcPr>
            <w:tcW w:w="126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color w:val="000000" w:themeColor="text1"/>
              </w:rPr>
            </w:pPr>
            <w:r w:rsidRPr="006A1D7D">
              <w:rPr>
                <w:rFonts w:cs="Arial"/>
                <w:color w:val="000000" w:themeColor="text1"/>
              </w:rPr>
              <w:t>RD-SRSF</w:t>
            </w:r>
          </w:p>
        </w:tc>
        <w:tc>
          <w:tcPr>
            <w:tcW w:w="162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150,000.00</w:t>
            </w:r>
          </w:p>
        </w:tc>
        <w:tc>
          <w:tcPr>
            <w:tcW w:w="1800"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50,000.00</w:t>
            </w:r>
          </w:p>
        </w:tc>
        <w:tc>
          <w:tcPr>
            <w:tcW w:w="1268" w:type="dxa"/>
            <w:tcBorders>
              <w:top w:val="nil"/>
              <w:left w:val="nil"/>
              <w:bottom w:val="single" w:sz="4" w:space="0" w:color="auto"/>
              <w:right w:val="single" w:sz="4" w:space="0" w:color="auto"/>
            </w:tcBorders>
            <w:shd w:val="clear" w:color="auto" w:fill="auto"/>
            <w:vAlign w:val="center"/>
          </w:tcPr>
          <w:p w:rsidR="00180BA5" w:rsidRPr="006A1D7D" w:rsidRDefault="00180BA5" w:rsidP="00180BA5">
            <w:pPr>
              <w:spacing w:line="480" w:lineRule="auto"/>
              <w:jc w:val="center"/>
              <w:rPr>
                <w:rFonts w:cs="Arial"/>
                <w:b/>
                <w:color w:val="000000" w:themeColor="text1"/>
                <w:sz w:val="18"/>
                <w:szCs w:val="18"/>
              </w:rPr>
            </w:pPr>
            <w:r w:rsidRPr="006A1D7D">
              <w:rPr>
                <w:rFonts w:cs="Arial"/>
                <w:b/>
                <w:color w:val="000000" w:themeColor="text1"/>
                <w:sz w:val="18"/>
                <w:szCs w:val="18"/>
              </w:rPr>
              <w:t>P 100,000.00</w:t>
            </w:r>
          </w:p>
        </w:tc>
        <w:tc>
          <w:tcPr>
            <w:tcW w:w="5932" w:type="dxa"/>
            <w:tcBorders>
              <w:top w:val="nil"/>
              <w:left w:val="nil"/>
              <w:bottom w:val="single" w:sz="4" w:space="0" w:color="auto"/>
              <w:right w:val="single" w:sz="4" w:space="0" w:color="auto"/>
            </w:tcBorders>
          </w:tcPr>
          <w:p w:rsidR="00180BA5" w:rsidRPr="00417202" w:rsidRDefault="00180BA5" w:rsidP="00180BA5">
            <w:pPr>
              <w:jc w:val="both"/>
              <w:rPr>
                <w:sz w:val="14"/>
                <w:szCs w:val="14"/>
              </w:rPr>
            </w:pPr>
            <w:r w:rsidRPr="00417202">
              <w:rPr>
                <w:sz w:val="14"/>
                <w:szCs w:val="14"/>
              </w:rPr>
              <w:t>Poor monitoring and delayed project evaluation and incapacitated participants perceives as dole-out,</w:t>
            </w:r>
          </w:p>
          <w:p w:rsidR="00180BA5" w:rsidRPr="00417202" w:rsidRDefault="00180BA5" w:rsidP="00180BA5">
            <w:pPr>
              <w:jc w:val="both"/>
              <w:rPr>
                <w:sz w:val="14"/>
                <w:szCs w:val="14"/>
              </w:rPr>
            </w:pPr>
            <w:r w:rsidRPr="00417202">
              <w:rPr>
                <w:sz w:val="14"/>
                <w:szCs w:val="14"/>
              </w:rPr>
              <w:t>Death and transfer/change of residency of officers and members.</w:t>
            </w:r>
          </w:p>
          <w:p w:rsidR="00180BA5" w:rsidRPr="00417202" w:rsidRDefault="00180BA5" w:rsidP="00180BA5">
            <w:pPr>
              <w:jc w:val="both"/>
              <w:rPr>
                <w:sz w:val="14"/>
                <w:szCs w:val="14"/>
              </w:rPr>
            </w:pPr>
            <w:r w:rsidRPr="00417202">
              <w:rPr>
                <w:sz w:val="14"/>
                <w:szCs w:val="14"/>
              </w:rPr>
              <w:t>bankruptcy, diminishing and deteriorating, delinquency of payments of the members wherein savings are used to cover up other members payments;</w:t>
            </w:r>
          </w:p>
          <w:p w:rsidR="00180BA5" w:rsidRPr="00417202" w:rsidRDefault="00180BA5" w:rsidP="00180BA5">
            <w:pPr>
              <w:jc w:val="both"/>
              <w:rPr>
                <w:sz w:val="14"/>
                <w:szCs w:val="14"/>
              </w:rPr>
            </w:pPr>
            <w:r w:rsidRPr="00417202">
              <w:rPr>
                <w:sz w:val="14"/>
                <w:szCs w:val="14"/>
              </w:rPr>
              <w:t xml:space="preserve"> Natural calamities happened in the aforementioned years, thus their Livelihood projects are affected,</w:t>
            </w:r>
          </w:p>
          <w:p w:rsidR="00180BA5" w:rsidRPr="00417202" w:rsidRDefault="00180BA5" w:rsidP="00180BA5">
            <w:pPr>
              <w:rPr>
                <w:rFonts w:cs="Arial"/>
                <w:color w:val="000000" w:themeColor="text1"/>
                <w:sz w:val="14"/>
                <w:szCs w:val="14"/>
              </w:rPr>
            </w:pPr>
            <w:r w:rsidRPr="00417202">
              <w:rPr>
                <w:sz w:val="14"/>
                <w:szCs w:val="14"/>
              </w:rPr>
              <w:t xml:space="preserve">No documents were further turned over to the Local Government Unit, considering that South </w:t>
            </w:r>
            <w:proofErr w:type="spellStart"/>
            <w:r w:rsidRPr="00417202">
              <w:rPr>
                <w:sz w:val="14"/>
                <w:szCs w:val="14"/>
              </w:rPr>
              <w:t>Cotabato</w:t>
            </w:r>
            <w:proofErr w:type="spellEnd"/>
            <w:r w:rsidRPr="00417202">
              <w:rPr>
                <w:sz w:val="14"/>
                <w:szCs w:val="14"/>
              </w:rPr>
              <w:t xml:space="preserve"> was then geographically part of Region XI</w:t>
            </w:r>
          </w:p>
        </w:tc>
      </w:tr>
    </w:tbl>
    <w:p w:rsidR="00C81F3D" w:rsidRDefault="00C81F3D" w:rsidP="00443785">
      <w:pPr>
        <w:spacing w:after="0"/>
        <w:jc w:val="both"/>
      </w:pPr>
    </w:p>
    <w:p w:rsidR="00417202" w:rsidRDefault="00417202" w:rsidP="00417202">
      <w:pPr>
        <w:spacing w:after="0"/>
        <w:jc w:val="both"/>
      </w:pPr>
    </w:p>
    <w:p w:rsidR="00417202" w:rsidRDefault="00180BA5" w:rsidP="00417202">
      <w:pPr>
        <w:spacing w:after="0"/>
        <w:ind w:firstLine="720"/>
        <w:jc w:val="both"/>
      </w:pPr>
      <w:r>
        <w:t>Prepared by</w:t>
      </w:r>
      <w:r w:rsidR="00417202">
        <w:t>:</w:t>
      </w:r>
      <w:r w:rsidR="00417202">
        <w:tab/>
      </w:r>
      <w:r w:rsidR="00417202">
        <w:tab/>
      </w:r>
      <w:r w:rsidR="00417202">
        <w:tab/>
      </w:r>
      <w:r w:rsidR="00417202">
        <w:tab/>
        <w:t xml:space="preserve">   </w:t>
      </w:r>
      <w:r>
        <w:t xml:space="preserve">Noted by: </w:t>
      </w:r>
      <w:r w:rsidR="00417202">
        <w:tab/>
      </w:r>
      <w:r w:rsidR="00417202">
        <w:tab/>
      </w:r>
      <w:r w:rsidR="00417202">
        <w:tab/>
      </w:r>
      <w:r w:rsidR="00417202">
        <w:tab/>
      </w:r>
      <w:r w:rsidR="00417202">
        <w:tab/>
        <w:t xml:space="preserve">      Certified Correct by:</w:t>
      </w:r>
      <w:r w:rsidR="00417202">
        <w:tab/>
      </w:r>
      <w:r w:rsidR="00417202">
        <w:tab/>
      </w:r>
      <w:r w:rsidR="00417202">
        <w:tab/>
      </w:r>
      <w:r w:rsidR="00417202">
        <w:tab/>
      </w:r>
      <w:r w:rsidR="00417202">
        <w:tab/>
        <w:t>Submitted by:</w:t>
      </w:r>
    </w:p>
    <w:p w:rsidR="00180BA5" w:rsidRDefault="00180BA5" w:rsidP="00443785">
      <w:pPr>
        <w:spacing w:after="0"/>
        <w:jc w:val="both"/>
      </w:pPr>
    </w:p>
    <w:p w:rsidR="00180BA5" w:rsidRDefault="00180BA5" w:rsidP="00443785">
      <w:pPr>
        <w:spacing w:after="0"/>
        <w:jc w:val="both"/>
      </w:pPr>
    </w:p>
    <w:p w:rsidR="00417202" w:rsidRDefault="00417202" w:rsidP="00417202">
      <w:pPr>
        <w:spacing w:after="0"/>
        <w:ind w:firstLine="720"/>
        <w:rPr>
          <w:b/>
        </w:rPr>
      </w:pPr>
      <w:r>
        <w:rPr>
          <w:b/>
        </w:rPr>
        <w:t>RONALD S. DARIA</w:t>
      </w:r>
      <w:r>
        <w:rPr>
          <w:b/>
        </w:rPr>
        <w:tab/>
      </w:r>
      <w:r>
        <w:rPr>
          <w:b/>
        </w:rPr>
        <w:tab/>
      </w:r>
      <w:r>
        <w:rPr>
          <w:b/>
        </w:rPr>
        <w:tab/>
        <w:t xml:space="preserve">   NORAIDAH T. BUSRAN</w:t>
      </w:r>
      <w:r>
        <w:rPr>
          <w:b/>
        </w:rPr>
        <w:tab/>
      </w:r>
      <w:r>
        <w:rPr>
          <w:b/>
        </w:rPr>
        <w:tab/>
        <w:t xml:space="preserve">                     </w:t>
      </w:r>
      <w:r w:rsidRPr="00417202">
        <w:rPr>
          <w:b/>
        </w:rPr>
        <w:t>EVELYN B. PINONGCOS, CP</w:t>
      </w:r>
      <w:r>
        <w:rPr>
          <w:b/>
        </w:rPr>
        <w:t>A</w:t>
      </w:r>
      <w:r>
        <w:rPr>
          <w:b/>
        </w:rPr>
        <w:tab/>
      </w:r>
      <w:r>
        <w:rPr>
          <w:b/>
        </w:rPr>
        <w:tab/>
        <w:t xml:space="preserve">               BAI ZORAHAYDA T. TAHA</w:t>
      </w:r>
      <w:r>
        <w:rPr>
          <w:b/>
        </w:rPr>
        <w:tab/>
      </w:r>
      <w:r>
        <w:rPr>
          <w:b/>
        </w:rPr>
        <w:tab/>
      </w:r>
    </w:p>
    <w:p w:rsidR="00417202" w:rsidRDefault="00180BA5" w:rsidP="00417202">
      <w:pPr>
        <w:spacing w:after="0"/>
        <w:ind w:firstLine="720"/>
      </w:pPr>
      <w:r>
        <w:t>Pr</w:t>
      </w:r>
      <w:r w:rsidR="00417202">
        <w:t>oject Development Officer</w:t>
      </w:r>
      <w:r w:rsidR="00417202">
        <w:tab/>
      </w:r>
      <w:r w:rsidR="00417202">
        <w:tab/>
        <w:t xml:space="preserve">   </w:t>
      </w:r>
      <w:r>
        <w:t>PDO II</w:t>
      </w:r>
      <w:r w:rsidR="00417202">
        <w:t xml:space="preserve">I – Regional Project Coordinator                     </w:t>
      </w:r>
      <w:r w:rsidR="00417202" w:rsidRPr="00417202">
        <w:t xml:space="preserve"> </w:t>
      </w:r>
      <w:r w:rsidR="00417202">
        <w:t>Regional Accountant</w:t>
      </w:r>
      <w:r w:rsidR="00417202">
        <w:tab/>
      </w:r>
      <w:r w:rsidR="00417202">
        <w:tab/>
      </w:r>
      <w:r w:rsidR="00417202">
        <w:tab/>
      </w:r>
      <w:r w:rsidR="00417202">
        <w:tab/>
        <w:t>Regional Director</w:t>
      </w:r>
    </w:p>
    <w:p w:rsidR="00180BA5" w:rsidRDefault="00180BA5" w:rsidP="00443785">
      <w:pPr>
        <w:spacing w:after="0"/>
        <w:jc w:val="both"/>
      </w:pPr>
    </w:p>
    <w:p w:rsidR="00C81F3D" w:rsidRPr="00180BA5" w:rsidRDefault="00180BA5" w:rsidP="00180BA5">
      <w:pPr>
        <w:tabs>
          <w:tab w:val="left" w:pos="2039"/>
        </w:tabs>
      </w:pPr>
      <w:r>
        <w:tab/>
      </w:r>
    </w:p>
    <w:sectPr w:rsidR="00C81F3D" w:rsidRPr="00180BA5" w:rsidSect="008C20A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F81E6C"/>
    <w:multiLevelType w:val="hybridMultilevel"/>
    <w:tmpl w:val="2F8A2282"/>
    <w:lvl w:ilvl="0" w:tplc="EEACD0F8">
      <w:start w:val="24"/>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B9"/>
    <w:rsid w:val="000047A7"/>
    <w:rsid w:val="00022576"/>
    <w:rsid w:val="00100C7D"/>
    <w:rsid w:val="00180BA5"/>
    <w:rsid w:val="00272DE7"/>
    <w:rsid w:val="00372EFA"/>
    <w:rsid w:val="00417202"/>
    <w:rsid w:val="00443785"/>
    <w:rsid w:val="00531A07"/>
    <w:rsid w:val="006754B9"/>
    <w:rsid w:val="006A1D7D"/>
    <w:rsid w:val="007C7C2C"/>
    <w:rsid w:val="007E1698"/>
    <w:rsid w:val="00866E70"/>
    <w:rsid w:val="008C20AC"/>
    <w:rsid w:val="009348C5"/>
    <w:rsid w:val="00AF40E7"/>
    <w:rsid w:val="00C75D3A"/>
    <w:rsid w:val="00C81F3D"/>
    <w:rsid w:val="00C82A62"/>
    <w:rsid w:val="00C91886"/>
    <w:rsid w:val="00CA789D"/>
    <w:rsid w:val="00CB08B0"/>
    <w:rsid w:val="00D65B7D"/>
    <w:rsid w:val="00DB38DE"/>
    <w:rsid w:val="00EF063F"/>
    <w:rsid w:val="00F26404"/>
    <w:rsid w:val="00FF57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4CB04-6D1B-40D7-80EB-41E85342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5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B7D"/>
    <w:rPr>
      <w:rFonts w:ascii="Segoe UI" w:hAnsi="Segoe UI" w:cs="Segoe UI"/>
      <w:sz w:val="18"/>
      <w:szCs w:val="18"/>
    </w:rPr>
  </w:style>
  <w:style w:type="paragraph" w:styleId="ListParagraph">
    <w:name w:val="List Paragraph"/>
    <w:basedOn w:val="Normal"/>
    <w:uiPriority w:val="34"/>
    <w:qFormat/>
    <w:rsid w:val="007E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2016-05-27T02:14:00Z</cp:lastPrinted>
  <dcterms:created xsi:type="dcterms:W3CDTF">2016-05-26T22:42:00Z</dcterms:created>
  <dcterms:modified xsi:type="dcterms:W3CDTF">2016-06-07T07:53:00Z</dcterms:modified>
</cp:coreProperties>
</file>