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34DB9" w14:textId="77777777" w:rsidR="00900BE1" w:rsidRDefault="00900BE1" w:rsidP="00900BE1">
      <w:pPr>
        <w:pStyle w:val="AuthorList"/>
        <w:jc w:val="center"/>
        <w:rPr>
          <w:sz w:val="32"/>
          <w:szCs w:val="32"/>
        </w:rPr>
      </w:pPr>
      <w:r w:rsidRPr="00900BE1">
        <w:rPr>
          <w:sz w:val="32"/>
          <w:szCs w:val="32"/>
        </w:rPr>
        <w:t>Behavioural and Institutional Drivers of Green Technology Adoption:</w:t>
      </w:r>
      <w:r w:rsidRPr="00900BE1">
        <w:rPr>
          <w:sz w:val="32"/>
          <w:szCs w:val="32"/>
        </w:rPr>
        <w:br/>
        <w:t>An Extended Technology Acceptance Model for Sustainability Transitions</w:t>
      </w:r>
    </w:p>
    <w:p w14:paraId="5D92C90B" w14:textId="3C1F88E3" w:rsidR="002868E2" w:rsidRPr="00900BE1" w:rsidRDefault="00307583" w:rsidP="00651CA2">
      <w:pPr>
        <w:pStyle w:val="AuthorList"/>
        <w:rPr>
          <w:lang w:val="es-ES"/>
        </w:rPr>
      </w:pPr>
      <w:r w:rsidRPr="00900BE1">
        <w:rPr>
          <w:lang w:val="es-ES"/>
        </w:rPr>
        <w:t>Gonzalo Mariscal</w:t>
      </w:r>
      <w:r w:rsidR="00A75F87" w:rsidRPr="00900BE1">
        <w:rPr>
          <w:vertAlign w:val="superscript"/>
          <w:lang w:val="es-ES"/>
        </w:rPr>
        <w:t>1</w:t>
      </w:r>
      <w:r w:rsidR="002868E2" w:rsidRPr="00900BE1">
        <w:rPr>
          <w:lang w:val="es-ES"/>
        </w:rPr>
        <w:t xml:space="preserve">, </w:t>
      </w:r>
      <w:r w:rsidRPr="00900BE1">
        <w:rPr>
          <w:lang w:val="es-ES"/>
        </w:rPr>
        <w:t>Jesús Cáceres-Tello</w:t>
      </w:r>
      <w:r w:rsidR="002868E2" w:rsidRPr="00900BE1">
        <w:rPr>
          <w:vertAlign w:val="superscript"/>
          <w:lang w:val="es-ES"/>
        </w:rPr>
        <w:t>2</w:t>
      </w:r>
      <w:r w:rsidR="00746505" w:rsidRPr="00900BE1">
        <w:rPr>
          <w:vertAlign w:val="superscript"/>
          <w:lang w:val="es-ES"/>
        </w:rPr>
        <w:t>*</w:t>
      </w:r>
      <w:r w:rsidR="002868E2" w:rsidRPr="00900BE1">
        <w:rPr>
          <w:lang w:val="es-ES"/>
        </w:rPr>
        <w:t xml:space="preserve">, </w:t>
      </w:r>
      <w:r w:rsidRPr="00900BE1">
        <w:rPr>
          <w:lang w:val="es-ES"/>
        </w:rPr>
        <w:t>José Javier Galán-Hernández</w:t>
      </w:r>
      <w:r w:rsidRPr="00900BE1">
        <w:rPr>
          <w:vertAlign w:val="superscript"/>
          <w:lang w:val="es-ES"/>
        </w:rPr>
        <w:t>3</w:t>
      </w:r>
    </w:p>
    <w:p w14:paraId="05043FE2" w14:textId="0A2AE4B2" w:rsidR="006D6103" w:rsidRPr="00307583" w:rsidRDefault="00307583" w:rsidP="00671D9A">
      <w:pPr>
        <w:spacing w:before="240" w:after="0"/>
        <w:rPr>
          <w:rFonts w:cs="Times New Roman"/>
          <w:szCs w:val="24"/>
        </w:rPr>
      </w:pPr>
      <w:r w:rsidRPr="006D6103">
        <w:rPr>
          <w:rFonts w:cs="Times New Roman"/>
          <w:szCs w:val="24"/>
          <w:vertAlign w:val="superscript"/>
        </w:rPr>
        <w:t xml:space="preserve">1 </w:t>
      </w:r>
      <w:r w:rsidRPr="00307583">
        <w:rPr>
          <w:rFonts w:cs="Times New Roman"/>
          <w:szCs w:val="24"/>
        </w:rPr>
        <w:t xml:space="preserve">Department of Computing and Technology, School of Architecture, Engineering, Science and Computing (STEAM), </w:t>
      </w:r>
      <w:r w:rsidR="00236C1B">
        <w:rPr>
          <w:rFonts w:cs="Times New Roman"/>
          <w:szCs w:val="24"/>
        </w:rPr>
        <w:t>European University of</w:t>
      </w:r>
      <w:r w:rsidRPr="00307583">
        <w:rPr>
          <w:rFonts w:cs="Times New Roman"/>
          <w:szCs w:val="24"/>
        </w:rPr>
        <w:t xml:space="preserve"> Madrid, Madrid, Spain</w:t>
      </w:r>
      <w:r w:rsidRPr="00307583">
        <w:rPr>
          <w:rFonts w:cs="Times New Roman"/>
          <w:szCs w:val="24"/>
        </w:rPr>
        <w:br/>
      </w:r>
      <w:r w:rsidRPr="006D6103">
        <w:rPr>
          <w:rFonts w:cs="Times New Roman"/>
          <w:szCs w:val="24"/>
          <w:vertAlign w:val="superscript"/>
        </w:rPr>
        <w:t xml:space="preserve">2 </w:t>
      </w:r>
      <w:r w:rsidRPr="00307583">
        <w:rPr>
          <w:rFonts w:cs="Times New Roman"/>
          <w:szCs w:val="24"/>
        </w:rPr>
        <w:t>Department of Computer Systems and Computing, Faculty of Computer Science, Complutense University of Madrid, Madrid, Spain</w:t>
      </w:r>
      <w:r w:rsidR="002868E2" w:rsidRPr="00307583">
        <w:rPr>
          <w:rFonts w:cs="Times New Roman"/>
          <w:szCs w:val="24"/>
        </w:rPr>
        <w:t xml:space="preserve">* </w:t>
      </w:r>
      <w:r w:rsidR="006D6103">
        <w:rPr>
          <w:rFonts w:cs="Times New Roman"/>
          <w:szCs w:val="24"/>
        </w:rPr>
        <w:br/>
      </w:r>
      <w:r w:rsidR="006D6103" w:rsidRPr="006D6103">
        <w:rPr>
          <w:rFonts w:cs="Times New Roman"/>
          <w:szCs w:val="24"/>
          <w:vertAlign w:val="superscript"/>
        </w:rPr>
        <w:t>3</w:t>
      </w:r>
      <w:r w:rsidRPr="006D6103">
        <w:rPr>
          <w:rFonts w:cs="Times New Roman"/>
          <w:szCs w:val="24"/>
          <w:vertAlign w:val="superscript"/>
        </w:rPr>
        <w:t xml:space="preserve"> </w:t>
      </w:r>
      <w:r w:rsidR="006D6103" w:rsidRPr="006D6103">
        <w:rPr>
          <w:rFonts w:cs="Times New Roman"/>
          <w:szCs w:val="24"/>
        </w:rPr>
        <w:t>Department of Computer Science, University of Alcalá, Alcalá de Henares, Madrid, Spain</w:t>
      </w:r>
    </w:p>
    <w:p w14:paraId="3DABEE19" w14:textId="17AAD090" w:rsidR="002868E2" w:rsidRPr="00376CC5" w:rsidRDefault="002868E2" w:rsidP="00671D9A">
      <w:pPr>
        <w:spacing w:before="240" w:after="0"/>
        <w:rPr>
          <w:rFonts w:cs="Times New Roman"/>
          <w:b/>
          <w:szCs w:val="24"/>
        </w:rPr>
      </w:pPr>
      <w:r w:rsidRPr="00376CC5">
        <w:rPr>
          <w:rFonts w:cs="Times New Roman"/>
          <w:b/>
          <w:szCs w:val="24"/>
        </w:rPr>
        <w:t xml:space="preserve">Correspondence: </w:t>
      </w:r>
      <w:r w:rsidR="00671D9A" w:rsidRPr="00376CC5">
        <w:rPr>
          <w:rFonts w:cs="Times New Roman"/>
          <w:b/>
          <w:szCs w:val="24"/>
        </w:rPr>
        <w:br/>
      </w:r>
      <w:r w:rsidR="00307583">
        <w:rPr>
          <w:rFonts w:cs="Times New Roman"/>
          <w:szCs w:val="24"/>
        </w:rPr>
        <w:t>Jesús Cáceres-Tello</w:t>
      </w:r>
      <w:r w:rsidR="00671D9A" w:rsidRPr="00376CC5">
        <w:rPr>
          <w:rFonts w:cs="Times New Roman"/>
          <w:szCs w:val="24"/>
        </w:rPr>
        <w:br/>
      </w:r>
      <w:r w:rsidR="00307583">
        <w:rPr>
          <w:rFonts w:cs="Times New Roman"/>
          <w:szCs w:val="24"/>
        </w:rPr>
        <w:t>jescacer@ucm.es</w:t>
      </w:r>
    </w:p>
    <w:p w14:paraId="593663B6" w14:textId="26C7E11F" w:rsidR="00E50A06" w:rsidRPr="00E50A06" w:rsidRDefault="00817DD6" w:rsidP="00E50A06">
      <w:pPr>
        <w:pStyle w:val="AuthorList"/>
        <w:rPr>
          <w:b w:val="0"/>
        </w:rPr>
      </w:pPr>
      <w:r w:rsidRPr="00376CC5">
        <w:t xml:space="preserve">Keywords: </w:t>
      </w:r>
      <w:r w:rsidR="007E5BCC" w:rsidRPr="007E5BCC">
        <w:t>behavioural public policy; green technology adoption; Technology Acceptance Model (TAM); institutional trust; legitimacy; community support; sustainability governance</w:t>
      </w:r>
    </w:p>
    <w:p w14:paraId="51563E1B" w14:textId="740B4659" w:rsidR="008E2B54" w:rsidRPr="00376CC5" w:rsidRDefault="00EA3D3C" w:rsidP="00147395">
      <w:pPr>
        <w:pStyle w:val="AuthorList"/>
      </w:pPr>
      <w:r w:rsidRPr="00376CC5">
        <w:t>Abstract</w:t>
      </w:r>
    </w:p>
    <w:p w14:paraId="2DA9914D" w14:textId="55C012D0" w:rsidR="00CA5421" w:rsidRDefault="00CA5421" w:rsidP="00CA5421">
      <w:r>
        <w:t>The adoption of green technologies cannot be fully understood through individual cognitive evaluations alone but needs to be situated within the institutional and normative contexts that shape behavioural decision-making. This study develops a conceptual extension of the Technology Acceptance Model (TAM) to examine citizens’ acceptance of environmentally oriented technologies from an integrative perspective grounded in environmental psychology and behavioural public policy.</w:t>
      </w:r>
    </w:p>
    <w:p w14:paraId="5D37F7A2" w14:textId="77777777" w:rsidR="00CA5421" w:rsidRDefault="00CA5421" w:rsidP="00CA5421">
      <w:r>
        <w:t>The analysis draws on a structured conceptual synthesis informed by bibliometric and semantic evidence from 789 Scopus-indexed articles published between 2021 and 2025, with records from 2025 corresponding to early-indexed publications available at the time of data retrieval. Within this corpus, recurrent patterns emerge linking technology acceptance research with institutional constructs such as trust, legitimacy, transparency, and community support. These insights are complemented by a structured expert elicitation exercise based on the Analytic Hierarchy Process (AHP), applied in an exploratory and illustrative manner to examine the relative salience of institutional dimensions within the proposed framework.</w:t>
      </w:r>
    </w:p>
    <w:p w14:paraId="4723F8B0" w14:textId="77777777" w:rsidR="00CA5421" w:rsidRDefault="00CA5421" w:rsidP="00CA5421">
      <w:r>
        <w:t>Rather than offering empirical validation of behavioural relationships, the study advances a theoretically grounded conceptual model in which institutional trust and legitimacy operate as contextual conditions shaping the relationship between perceived usefulness, perceived ease of use, and behavioural intention in sustainability-related adoption contexts. Institutional transparency and community support further contribute by reinforcing perceptions of fairness, credibility, and social endorsement.</w:t>
      </w:r>
    </w:p>
    <w:p w14:paraId="4A0854EC" w14:textId="77777777" w:rsidR="00CA5421" w:rsidRDefault="00CA5421" w:rsidP="00CA5421">
      <w:r>
        <w:t xml:space="preserve">The resulting framework conceptualises green technology adoption as a socially and institutionally embedded process. By systematising dispersed theoretical insights into a coherent analytical </w:t>
      </w:r>
      <w:r>
        <w:lastRenderedPageBreak/>
        <w:t>structure, this study provides a foundation for future empirical research and offers guidance for the design of behavioural public policies aimed at supporting sustainability transitions.</w:t>
      </w:r>
    </w:p>
    <w:p w14:paraId="46DAC1F7" w14:textId="3509C229" w:rsidR="00EA3D3C" w:rsidRPr="00376CC5" w:rsidRDefault="00EA3D3C" w:rsidP="00D9503C">
      <w:pPr>
        <w:pStyle w:val="Ttulo1"/>
      </w:pPr>
      <w:r w:rsidRPr="00376CC5">
        <w:t>Introduction</w:t>
      </w:r>
    </w:p>
    <w:p w14:paraId="1CCC4C48" w14:textId="55DE9E47" w:rsidR="009B2942" w:rsidRDefault="009B2942" w:rsidP="009B2942">
      <w:r>
        <w:t>The ecological transition has moved beyond the realm of long-term aspiration and now constitutes an urgent and collective challenge. Climate change, biodiversity loss, and increasing pressures on urban systems are reshaping the conditions under which human well-being and environmental sustainability coexist. Addressing these challenges requires not only technological innovation but also sustained changes in individual and collective behaviour. Research in environmental psychology has consistently shown that how individuals perceive, conceptualise, and emotionally relate to nature conditions their willingness to engage in pro-environmental actions (Mena-García et al., 2022).</w:t>
      </w:r>
    </w:p>
    <w:p w14:paraId="64971A74" w14:textId="785C8B67" w:rsidR="009B2942" w:rsidRDefault="009B2942" w:rsidP="009B2942">
      <w:r>
        <w:t>Within this context, green technologies, understood as innovations designed to reduce environmental impacts through cleaner production processes, improved energy efficiency, and more sustainable consumption patterns, play a central role in achieving global sustainability objectives. International policy frameworks, such as the Sustainable Development Goals, explicitly recognise the diffusion of environmentally oriented technologies as a key lever for sustainability transitions (United Nations, 2024). Yet, the societal uptake of these technologies cannot be explained solely by their technical performance or economic efficiency. Empirical evidence increasingly indicates that adoption processes are shaped by psychological, social, and institutional contexts that frame how individuals interpret technological change (Böcker et al., 2023).</w:t>
      </w:r>
    </w:p>
    <w:p w14:paraId="13DECC1B" w14:textId="77777777" w:rsidR="009B2942" w:rsidRDefault="009B2942" w:rsidP="009B2942">
      <w:r>
        <w:t>Public policy has traditionally sought to promote technology adoption through regulatory instruments, economic incentives, and information-based interventions. While these approaches have generated measurable outcomes, they often rely on assumptions of homogeneous rationality and stable preferences that only partially capture real-world decision-making. From a policy design perspective, formulation processes unfold along a spectrum ranging from deliberate design to adaptive forms of non-design, which constrains the effectiveness of standardised and purely instrumental interventions (Howlett &amp; Mukherjee, 2014). These limitations have contributed to growing interest in behavioural public policy, an approach that explicitly recognises the bounded, context-dependent, and socially embedded nature of human behaviour (Wolske, 2020).</w:t>
      </w:r>
    </w:p>
    <w:p w14:paraId="6548D3DD" w14:textId="305A0D4A" w:rsidR="009B2942" w:rsidRDefault="009B2942" w:rsidP="009B2942">
      <w:r>
        <w:t>Behavioural public policy emphasises that decision-making is embedded within institutional environments characterised by trust, legitimacy, and normative expectations. From this perspective, behaviour cannot be reduced to individual cost-benefit calculations but must be understood as a response to institutional frameworks perceived as credible, fair, and socially endorsed. Research on risk communication further demonstrates that the way institutions manage uncertainty and communicate complex information influences how citizens interpret public action and technological interventions (</w:t>
      </w:r>
      <w:proofErr w:type="spellStart"/>
      <w:r>
        <w:t>Dryhurst</w:t>
      </w:r>
      <w:proofErr w:type="spellEnd"/>
      <w:r>
        <w:t xml:space="preserve"> et al., 2020). In this sense, institutional trust emerges as a foundational condition shaping behavioural responses to sustainability-oriented policies.</w:t>
      </w:r>
    </w:p>
    <w:p w14:paraId="2178B484" w14:textId="77777777" w:rsidR="00927DFE" w:rsidRDefault="009B2942" w:rsidP="009B2942">
      <w:r>
        <w:t>The study of technology acceptance offers a valuable analytical entry point for understanding these dynamics. The Technology Acceptance Model (TAM), originally proposed by Davis (1989), has provided a robust framework for explaining adoption behaviour through two core constructs</w:t>
      </w:r>
      <w:r w:rsidR="00927DFE">
        <w:t xml:space="preserve">; </w:t>
      </w:r>
      <w:r>
        <w:t xml:space="preserve">perceived usefulness and perceived ease of use. Subsequent extensions, including the Unified Theory of Acceptance and Use of Technology (UTAUT), have broadened this perspective by incorporating social influence and facilitating conditions (Venkatesh et al., 2016). Meta-analytic evidence confirms the enduring relevance of TAM-based models across diverse application domains (Or, 2023). </w:t>
      </w:r>
    </w:p>
    <w:p w14:paraId="4A7C7422" w14:textId="70D751A8" w:rsidR="00927DFE" w:rsidRDefault="00927DFE" w:rsidP="009B2942">
      <w:r w:rsidRPr="00927DFE">
        <w:lastRenderedPageBreak/>
        <w:t>In public-sector and governance-intensive environments, extended versions of TAM have been shown to benefit from the explicit inclusion of institutional factors. Empirical studies in smart public services indicate that trust in institutions and perceived procedural reliability significantly shape acceptance outcomes beyond classical usability-based explanations (Kamal et al., 2020).</w:t>
      </w:r>
    </w:p>
    <w:p w14:paraId="35F4BDFF" w14:textId="74453B62" w:rsidR="009B2942" w:rsidRDefault="009B2942" w:rsidP="009B2942">
      <w:r>
        <w:t>However, the original formulation of TAM remains primarily focused on individual cognitive evaluations and offers limited insight into the institutional and normative environments in which technology adoption takes place.</w:t>
      </w:r>
      <w:r w:rsidR="00927DFE" w:rsidRPr="00927DFE">
        <w:t xml:space="preserve"> Recent meta-analytic evidence further confirms both the robustness and the limitations of the Technology Acceptance Model. Drawing on three and a half decades of empirical research, </w:t>
      </w:r>
      <w:proofErr w:type="gramStart"/>
      <w:r w:rsidR="00927DFE" w:rsidRPr="00927DFE">
        <w:t>Or</w:t>
      </w:r>
      <w:proofErr w:type="gramEnd"/>
      <w:r w:rsidR="00927DFE" w:rsidRPr="00927DFE">
        <w:t xml:space="preserve"> (2023) shows that while TAM remains a dominant explanatory framework, its predictive capacity is context-dependent and increasingly complemented by social, institutional, and normative variables in complex adoption settings.</w:t>
      </w:r>
    </w:p>
    <w:p w14:paraId="0929AB05" w14:textId="77777777" w:rsidR="009B2942" w:rsidRDefault="009B2942" w:rsidP="009B2942">
      <w:r>
        <w:t>In response to this limitation, a growing body of research has extended TAM to environmental, public-sector, and governance-intensive contexts. Studies in urban environmental management highlight that institutional trust and perceptions of procedural justice significantly shape citizens’ engagement with smart and sustainable technologies (Janmaimool, 2021). Similarly, research on smart city services suggests that sustained institutional interaction requires adapting technology acceptance models to contexts characterised by governance complexity and long-term public involvement (Shin &amp; Lee, 2023).</w:t>
      </w:r>
    </w:p>
    <w:p w14:paraId="6A03F649" w14:textId="3CE53E8D" w:rsidR="00561085" w:rsidRDefault="00561085" w:rsidP="009B2942">
      <w:r w:rsidRPr="00561085">
        <w:t xml:space="preserve">Beyond TAM, integrative frameworks such as the Unified Theory of Acceptance and Use of Technology (UTAUT) have sought to consolidate behavioural determinants across organisational and societal contexts, explicitly </w:t>
      </w:r>
      <w:proofErr w:type="spellStart"/>
      <w:r w:rsidRPr="00561085">
        <w:t>recognising</w:t>
      </w:r>
      <w:proofErr w:type="spellEnd"/>
      <w:r w:rsidRPr="00561085">
        <w:t xml:space="preserve"> the influence of facilitating conditions and social structures on technology adoption (Venkatesh et al., 2016).</w:t>
      </w:r>
    </w:p>
    <w:p w14:paraId="1E9287F4" w14:textId="77777777" w:rsidR="009B2942" w:rsidRDefault="009B2942" w:rsidP="009B2942">
      <w:r>
        <w:t>From a normative and social-psychological perspective, legitimacy and moral obligation have long been recognised as key drivers of collective behaviour. Classic work on normative conduct demonstrates that social norms function as powerful reference points guiding individual action within collective settings (Cialdini et al., 1991). In the domain of sustainable consumption, ethical obligation and pro-environmental identity further condition technology-related decision-making (Kumar et al., 2023), while recent social simulation studies confirm that social norms structure environmental choices beyond purely individual preferences (Zhou &amp; Wu, 2023).</w:t>
      </w:r>
    </w:p>
    <w:p w14:paraId="76766AC3" w14:textId="77777777" w:rsidR="009B2942" w:rsidRDefault="009B2942" w:rsidP="009B2942">
      <w:r>
        <w:t>Complementing these insights, research in public administration and governance shows that institutional transparency and perceptions of procedural fairness play a critical role in sustaining public trust. Transparent communication has been shown to reinforce institutional credibility, particularly under conditions of uncertainty (</w:t>
      </w:r>
      <w:proofErr w:type="spellStart"/>
      <w:r>
        <w:t>Ruijer</w:t>
      </w:r>
      <w:proofErr w:type="spellEnd"/>
      <w:r>
        <w:t xml:space="preserve"> &amp; Meijer, 2020), while public trust has been identified as a key determinant of citizens’ acceptance of institutional decisions with wide-ranging social implications (Siegrist &amp; Zingg, 2014). Together, these strands of research point towards a conceptual gap between individual-level models of technology acceptance and the institutional conditions under which sustainability transitions unfold.</w:t>
      </w:r>
    </w:p>
    <w:p w14:paraId="37EAB3DA" w14:textId="0FA20676" w:rsidR="009B2942" w:rsidRDefault="009B2942" w:rsidP="009B2942">
      <w:r w:rsidRPr="009B2942">
        <w:t>Figure 1</w:t>
      </w:r>
      <w:r>
        <w:t xml:space="preserve"> situates the present study within this emerging interdisciplinary landscape by positioning environmental psychology, behavioural public policy, and technology acceptance research within a unified analytical perspective. The figure does not depict causal relationships or empirically tested effects but rather delineates the theoretical domains that converge in the analysis of green technology adoption.</w:t>
      </w:r>
    </w:p>
    <w:p w14:paraId="1E5F0D52" w14:textId="783BC468" w:rsidR="00826661" w:rsidRDefault="00B2557D" w:rsidP="00826661">
      <w:pPr>
        <w:rPr>
          <w:rFonts w:cs="Times New Roman"/>
          <w:szCs w:val="24"/>
        </w:rPr>
      </w:pPr>
      <w:r w:rsidRPr="00B2557D">
        <w:rPr>
          <w:b/>
          <w:bCs/>
          <w:lang w:eastAsia="es-ES"/>
        </w:rPr>
        <w:lastRenderedPageBreak/>
        <w:t>Figure 1</w:t>
      </w:r>
      <w:r w:rsidRPr="00B2557D">
        <w:rPr>
          <w:lang w:eastAsia="es-ES"/>
        </w:rPr>
        <w:t xml:space="preserve">. </w:t>
      </w:r>
      <w:r w:rsidR="00826661" w:rsidRPr="00826661">
        <w:rPr>
          <w:rFonts w:cs="Times New Roman"/>
          <w:szCs w:val="24"/>
        </w:rPr>
        <w:t>Conceptual positioning of theoretical domains. The figure does not imply empirically tested causal relationships.</w:t>
      </w:r>
      <w:r w:rsidR="00826661" w:rsidRPr="00211FDD">
        <w:rPr>
          <w:rFonts w:cs="Times New Roman"/>
          <w:szCs w:val="24"/>
        </w:rPr>
        <w:t xml:space="preserve"> </w:t>
      </w:r>
      <w:r w:rsidR="00826661" w:rsidRPr="009454F7">
        <w:rPr>
          <w:rFonts w:cs="Times New Roman"/>
          <w:i/>
          <w:iCs/>
          <w:szCs w:val="24"/>
        </w:rPr>
        <w:t>Source: authors’ elaboration</w:t>
      </w:r>
      <w:r w:rsidR="00826661">
        <w:rPr>
          <w:rFonts w:cs="Times New Roman"/>
          <w:i/>
          <w:iCs/>
          <w:szCs w:val="24"/>
        </w:rPr>
        <w:t>.</w:t>
      </w:r>
    </w:p>
    <w:p w14:paraId="6120D052" w14:textId="2F4791C5" w:rsidR="009B2942" w:rsidRDefault="009B2942" w:rsidP="009B2942">
      <w:r>
        <w:t>Building on prior work examining behavioural and institutional determinants of technology adoption (Cáceres-Tello &amp; Galán-Hernández, 2024), this study develops a conceptual extension of the Technology Acceptance Model tailored to sustainability contexts. Through a structured synthesis of bibliometric, semantic, and theoretical evidence, four institutional dimensions; trust, transparency, legitimacy, and community support, are identified as framing citizens’ acceptance of green technologies alongside the classical TAM constructs.</w:t>
      </w:r>
    </w:p>
    <w:p w14:paraId="42E4C250" w14:textId="77777777" w:rsidR="009B2942" w:rsidRDefault="009B2942" w:rsidP="009B2942">
      <w:r>
        <w:t>From a theoretical standpoint, this research contributes to a more integrated understanding of sustainability transitions as processes shaped jointly by cognitive evaluations and institutional conditions. From an applied perspective, it provides a coherent conceptual basis for future empirical research and for the design of behavioural public policies that are sensitive to institutional context. The following section outlines the methodological strategy employed to develop this conceptual framework.</w:t>
      </w:r>
    </w:p>
    <w:p w14:paraId="06A549B0" w14:textId="4B7BA4A8" w:rsidR="00DE23E8" w:rsidRPr="00376CC5" w:rsidRDefault="00365DDF" w:rsidP="00AC0270">
      <w:pPr>
        <w:pStyle w:val="Ttulo1"/>
      </w:pPr>
      <w:r>
        <w:t>Materials and Methods</w:t>
      </w:r>
    </w:p>
    <w:p w14:paraId="0ADDD41B" w14:textId="77777777" w:rsidR="009B2942" w:rsidRDefault="009B2942" w:rsidP="009B2942">
      <w:r>
        <w:t>Understanding the behavioural and institutional dimensions underlying the acceptance of green technologies requires a methodological approach that is both integrative and transparent. Rather than seeking to empirically test behavioural relationships or estimate causal effects, this study adopts a conceptual synthesis strategy aimed at structuring and consolidating dispersed theoretical insights. To this end, bibliometric evidence, semantic analysis, and structured expert elicitation are combined to develop an extended Technology Acceptance Model (TAM) adapted to sustainability-oriented and governance-intensive contexts.</w:t>
      </w:r>
    </w:p>
    <w:p w14:paraId="7B1ED4BD" w14:textId="77777777" w:rsidR="009B2942" w:rsidRDefault="009B2942" w:rsidP="009B2942">
      <w:r>
        <w:t>The methodological process was organised into four sequential stages: (1) systematic collection of relevant scientific literature indexed in Scopus; (2) bibliometric and semantic analysis of the selected corpus; (3) structured expert elicitation using the Analytic Hierarchy Process (AHP) to organise institutional dimensions; and (4) conceptual integration of behavioural and institutional constructs into the extended TAM framework. This sequence reflects a progressive analytical logic in which descriptive mapping and expert-based structuring jointly support the development of the proposed conceptual model, as outlined in Figure 2.</w:t>
      </w:r>
    </w:p>
    <w:p w14:paraId="6726761F" w14:textId="46B5A355" w:rsidR="00A74078" w:rsidRPr="00A74078" w:rsidRDefault="00A74078" w:rsidP="00A74078">
      <w:pPr>
        <w:rPr>
          <w:lang w:val="en-GB" w:eastAsia="es-ES"/>
        </w:rPr>
      </w:pPr>
      <w:r w:rsidRPr="00A74078">
        <w:rPr>
          <w:b/>
          <w:bCs/>
          <w:lang w:val="en-GB" w:eastAsia="es-ES"/>
        </w:rPr>
        <w:t>Figure 2.</w:t>
      </w:r>
      <w:r w:rsidRPr="00A74078">
        <w:rPr>
          <w:lang w:val="en-GB" w:eastAsia="es-ES"/>
        </w:rPr>
        <w:t xml:space="preserve"> Methodological workflow of the study outlining data collection, bibliometric and semantic analysis, expert elicitation (AHP), and conceptual integration.</w:t>
      </w:r>
      <w:r w:rsidR="005E7BB2">
        <w:rPr>
          <w:lang w:val="en-GB" w:eastAsia="es-ES"/>
        </w:rPr>
        <w:t xml:space="preserve"> </w:t>
      </w:r>
      <w:r w:rsidRPr="00A74078">
        <w:rPr>
          <w:i/>
          <w:iCs/>
          <w:lang w:val="en-GB" w:eastAsia="es-ES"/>
        </w:rPr>
        <w:t>Source: authors’ elaboration.</w:t>
      </w:r>
    </w:p>
    <w:p w14:paraId="328D6203" w14:textId="77777777" w:rsidR="009B2942" w:rsidRPr="009B2942" w:rsidRDefault="009B2942" w:rsidP="009B2942">
      <w:pPr>
        <w:rPr>
          <w:rFonts w:eastAsia="Cambria" w:cs="Times New Roman"/>
          <w:b/>
          <w:szCs w:val="24"/>
          <w:lang w:val="en-GB"/>
        </w:rPr>
      </w:pPr>
      <w:r w:rsidRPr="009B2942">
        <w:rPr>
          <w:lang w:eastAsia="es-ES"/>
        </w:rPr>
        <w:t>The following subsections describe each phase of the methodological process in detail.</w:t>
      </w:r>
    </w:p>
    <w:p w14:paraId="00F0A275" w14:textId="0868ABA4" w:rsidR="00E82E1B" w:rsidRPr="00E82E1B" w:rsidRDefault="00B21BDD" w:rsidP="00E82E1B">
      <w:pPr>
        <w:pStyle w:val="Ttulo2"/>
        <w:rPr>
          <w:lang w:val="en-GB"/>
        </w:rPr>
      </w:pPr>
      <w:r>
        <w:rPr>
          <w:lang w:val="en-GB"/>
        </w:rPr>
        <w:t xml:space="preserve">Research </w:t>
      </w:r>
      <w:r w:rsidR="0097502E">
        <w:rPr>
          <w:lang w:val="en-GB"/>
        </w:rPr>
        <w:t>d</w:t>
      </w:r>
      <w:r>
        <w:rPr>
          <w:lang w:val="en-GB"/>
        </w:rPr>
        <w:t>esign</w:t>
      </w:r>
    </w:p>
    <w:p w14:paraId="6CA51A7B" w14:textId="77777777" w:rsidR="009B2942" w:rsidRDefault="009B2942" w:rsidP="009B2942">
      <w:r>
        <w:t xml:space="preserve">The study followed a conceptual mixed-methods design aimed at integrating behavioural, psychological, and institutional perspectives into a unified analytical framework. Instead of testing predefined hypotheses or estimating statistical relationships, the research focused on organising, comparing, and </w:t>
      </w:r>
      <w:proofErr w:type="spellStart"/>
      <w:r>
        <w:t>synthesising</w:t>
      </w:r>
      <w:proofErr w:type="spellEnd"/>
      <w:r>
        <w:t xml:space="preserve"> theoretical constructs relevant to citizens’ acceptance of green technologies.</w:t>
      </w:r>
    </w:p>
    <w:p w14:paraId="14F5DF17" w14:textId="77777777" w:rsidR="009B2942" w:rsidRDefault="009B2942" w:rsidP="009B2942">
      <w:r>
        <w:t xml:space="preserve">This approach is grounded in the principles of systematic conceptual synthesis, which emphasise the structured integration of heterogeneous bodies of knowledge while maintaining theoretical coherence </w:t>
      </w:r>
      <w:r>
        <w:lastRenderedPageBreak/>
        <w:t>and methodological transparency (</w:t>
      </w:r>
      <w:proofErr w:type="spellStart"/>
      <w:r>
        <w:t>Tranfield</w:t>
      </w:r>
      <w:proofErr w:type="spellEnd"/>
      <w:r>
        <w:t xml:space="preserve"> et al., 2003). The methodological logic combines bibliometric mapping, expert reasoning, and hierarchical structuring of concepts to generate analytical depth without relying on inferential statistical testing.</w:t>
      </w:r>
    </w:p>
    <w:p w14:paraId="377C3951" w14:textId="5B4AF557" w:rsidR="009B2942" w:rsidRDefault="009B2942" w:rsidP="009B2942">
      <w:r>
        <w:t xml:space="preserve">As illustrated in Figure 2, the workflow unfolds through four interrelated phases, data collection, bibliometric and semantic analysis, analytical hierarchy structuring, and </w:t>
      </w:r>
      <w:r w:rsidR="00E61165" w:rsidRPr="00E61165">
        <w:t>conceptual structure</w:t>
      </w:r>
      <w:r>
        <w:t>, each contributing complementary insights that progressively refine the extended TAM framework linking environmental psychology, behavioural public policy, and technology acceptance theory.</w:t>
      </w:r>
    </w:p>
    <w:p w14:paraId="7E465361" w14:textId="0AFB220F" w:rsidR="00E82E1B" w:rsidRPr="00E82E1B" w:rsidRDefault="00B21BDD" w:rsidP="00E82E1B">
      <w:pPr>
        <w:pStyle w:val="Ttulo2"/>
        <w:rPr>
          <w:lang w:val="en-GB"/>
        </w:rPr>
      </w:pPr>
      <w:r>
        <w:rPr>
          <w:lang w:val="en-GB"/>
        </w:rPr>
        <w:t xml:space="preserve">Data </w:t>
      </w:r>
      <w:r w:rsidR="0097502E">
        <w:rPr>
          <w:lang w:val="en-GB"/>
        </w:rPr>
        <w:t>c</w:t>
      </w:r>
      <w:r>
        <w:rPr>
          <w:lang w:val="en-GB"/>
        </w:rPr>
        <w:t xml:space="preserve">ollection </w:t>
      </w:r>
      <w:r w:rsidR="002A08E0">
        <w:rPr>
          <w:lang w:val="en-GB"/>
        </w:rPr>
        <w:t>(Scopus 202</w:t>
      </w:r>
      <w:r w:rsidR="00001B01">
        <w:rPr>
          <w:lang w:val="en-GB"/>
        </w:rPr>
        <w:t>1</w:t>
      </w:r>
      <w:r w:rsidR="002A08E0">
        <w:rPr>
          <w:lang w:val="en-GB"/>
        </w:rPr>
        <w:t>-202</w:t>
      </w:r>
      <w:r w:rsidR="00001B01">
        <w:rPr>
          <w:lang w:val="en-GB"/>
        </w:rPr>
        <w:t>5</w:t>
      </w:r>
      <w:r w:rsidR="002A08E0">
        <w:rPr>
          <w:lang w:val="en-GB"/>
        </w:rPr>
        <w:t>)</w:t>
      </w:r>
    </w:p>
    <w:p w14:paraId="3B2E49A1" w14:textId="77777777" w:rsidR="005E7BB2" w:rsidRPr="005E7BB2" w:rsidRDefault="005E7BB2" w:rsidP="005E7BB2">
      <w:pPr>
        <w:rPr>
          <w:lang w:val="en-GB" w:eastAsia="es-ES"/>
        </w:rPr>
      </w:pPr>
      <w:r w:rsidRPr="005E7BB2">
        <w:rPr>
          <w:lang w:val="en-GB" w:eastAsia="es-ES"/>
        </w:rPr>
        <w:t>The bibliographic corpus was compiled using the Scopus database, selected for its broad multidisciplinary coverage and the consistency of its metadata in bibliometric research on technology acceptance and sustainability (Rosli et al., 2022). Scopus is widely used in reviews addressing behavioural, environmental, and policy-oriented research, making it suitable for mapping conceptual developments in this domain.</w:t>
      </w:r>
    </w:p>
    <w:p w14:paraId="79CB6600" w14:textId="77777777" w:rsidR="005E7BB2" w:rsidRPr="005E7BB2" w:rsidRDefault="005E7BB2" w:rsidP="005E7BB2">
      <w:pPr>
        <w:rPr>
          <w:lang w:val="en-GB" w:eastAsia="es-ES"/>
        </w:rPr>
      </w:pPr>
      <w:r w:rsidRPr="005E7BB2">
        <w:rPr>
          <w:lang w:val="en-GB" w:eastAsia="es-ES"/>
        </w:rPr>
        <w:t>The literature search targeted publications referring to the Technology Acceptance Model (TAM) or closely related constructs, including technology adoption, intention to use, and psychological or social determinants of technology-related behaviour. The Boolean query combined technological, psychological, social, and environmental domains and was restricted to peer-reviewed journal articles published in English between 2021 and 2025. Publications dated 2025 correspond to early-indexed records available at the time of data retrieval (October 2025), ensuring a temporally coherent and comprehensive dataset.</w:t>
      </w:r>
    </w:p>
    <w:p w14:paraId="0B14F6E7" w14:textId="77777777" w:rsidR="005E7BB2" w:rsidRPr="005E7BB2" w:rsidRDefault="005E7BB2" w:rsidP="005E7BB2">
      <w:pPr>
        <w:rPr>
          <w:lang w:val="en-GB" w:eastAsia="es-ES"/>
        </w:rPr>
      </w:pPr>
      <w:r w:rsidRPr="005E7BB2">
        <w:rPr>
          <w:lang w:val="en-GB" w:eastAsia="es-ES"/>
        </w:rPr>
        <w:t>After applying subject-area filters covering Psychology, Social Sciences, Environmental Science, Business, Management and Accounting, Decision Sciences, and Computer Science, the final corpus comprised 789 peer-reviewed journal articles. Bibliographic metadata—including authors, titles, abstracts, keywords, affiliations, sources, citations, and DOIs—were exported for subsequent bibliometric and semantic analysis. Data preprocessing and structuring followed established mapping procedures described by Van Eck and Waltman (2010).</w:t>
      </w:r>
    </w:p>
    <w:p w14:paraId="3E50BAC9" w14:textId="77777777" w:rsidR="005E7BB2" w:rsidRPr="005E7BB2" w:rsidRDefault="005E7BB2" w:rsidP="005E7BB2">
      <w:pPr>
        <w:rPr>
          <w:lang w:val="en-GB" w:eastAsia="es-ES"/>
        </w:rPr>
      </w:pPr>
      <w:r w:rsidRPr="005E7BB2">
        <w:rPr>
          <w:lang w:val="en-GB" w:eastAsia="es-ES"/>
        </w:rPr>
        <w:t xml:space="preserve">To preserve conceptual alignment with the proposed framework, the dataset included journals specialising in environmental psychology, behavioural science, sustainability, and technology acceptance, such as </w:t>
      </w:r>
      <w:r w:rsidRPr="005E7BB2">
        <w:rPr>
          <w:i/>
          <w:iCs/>
          <w:lang w:val="en-GB" w:eastAsia="es-ES"/>
        </w:rPr>
        <w:t>Journal of Environmental Psychology</w:t>
      </w:r>
      <w:r w:rsidRPr="005E7BB2">
        <w:rPr>
          <w:lang w:val="en-GB" w:eastAsia="es-ES"/>
        </w:rPr>
        <w:t xml:space="preserve">, </w:t>
      </w:r>
      <w:r w:rsidRPr="005E7BB2">
        <w:rPr>
          <w:i/>
          <w:iCs/>
          <w:lang w:val="en-GB" w:eastAsia="es-ES"/>
        </w:rPr>
        <w:t>Behaviour &amp; Information Technology</w:t>
      </w:r>
      <w:r w:rsidRPr="005E7BB2">
        <w:rPr>
          <w:lang w:val="en-GB" w:eastAsia="es-ES"/>
        </w:rPr>
        <w:t xml:space="preserve">, and </w:t>
      </w:r>
      <w:r w:rsidRPr="005E7BB2">
        <w:rPr>
          <w:i/>
          <w:iCs/>
          <w:lang w:val="en-GB" w:eastAsia="es-ES"/>
        </w:rPr>
        <w:t>Sustainability</w:t>
      </w:r>
      <w:r w:rsidRPr="005E7BB2">
        <w:rPr>
          <w:lang w:val="en-GB" w:eastAsia="es-ES"/>
        </w:rPr>
        <w:t>. This selection ensured consistency between the empirical corpus and the theoretical domains informing the extended TAM.</w:t>
      </w:r>
    </w:p>
    <w:p w14:paraId="49E04CDB" w14:textId="13DEE609" w:rsidR="00E82E1B" w:rsidRPr="00E82E1B" w:rsidRDefault="00B21BDD" w:rsidP="00E82E1B">
      <w:pPr>
        <w:pStyle w:val="Ttulo2"/>
        <w:rPr>
          <w:lang w:val="en-GB"/>
        </w:rPr>
      </w:pPr>
      <w:r>
        <w:rPr>
          <w:lang w:val="en-GB"/>
        </w:rPr>
        <w:t xml:space="preserve">Bibliometric and </w:t>
      </w:r>
      <w:r w:rsidR="0097502E">
        <w:rPr>
          <w:lang w:val="en-GB"/>
        </w:rPr>
        <w:t>s</w:t>
      </w:r>
      <w:r>
        <w:rPr>
          <w:lang w:val="en-GB"/>
        </w:rPr>
        <w:t xml:space="preserve">emantic </w:t>
      </w:r>
      <w:r w:rsidR="0097502E">
        <w:rPr>
          <w:lang w:val="en-GB"/>
        </w:rPr>
        <w:t>a</w:t>
      </w:r>
      <w:r>
        <w:rPr>
          <w:lang w:val="en-GB"/>
        </w:rPr>
        <w:t>nalysis</w:t>
      </w:r>
    </w:p>
    <w:p w14:paraId="09E8C34B" w14:textId="25FB3D31" w:rsidR="005E7BB2" w:rsidRDefault="005E7BB2" w:rsidP="005E7BB2">
      <w:r>
        <w:t>Bibliometric and semantic analyses were conducted to identify conceptual patterns and relational structures within the selected corpus. The objective of this phase was to explore how institutional constructs, such as trust, transparency, legitimacy, and community support, are positioned within the broader literature on green technology acceptance and behavioural public policy.</w:t>
      </w:r>
    </w:p>
    <w:p w14:paraId="4198DAE7" w14:textId="77777777" w:rsidR="005E7BB2" w:rsidRDefault="005E7BB2" w:rsidP="005E7BB2">
      <w:r>
        <w:t>Bibliometric mapping focused on author keyword co-occurrence networks to capture dominant themes and their interconnections. Keywords were harmonised by merging lexical variants (for example, “green technology” and “sustainable technology”) and by removing generic or non-informative terms. A minimum co-occurrence threshold was applied to balance conceptual inclusiveness with analytical clarity.</w:t>
      </w:r>
    </w:p>
    <w:p w14:paraId="2012B4C6" w14:textId="77777777" w:rsidR="005E7BB2" w:rsidRDefault="005E7BB2" w:rsidP="005E7BB2">
      <w:r>
        <w:lastRenderedPageBreak/>
        <w:t>Semantic analysis complemented the bibliometric mapping by examining contextual relationships among key terms across titles, abstracts, and keywords. This step aimed to capture not only the frequency of concepts, but also their semantic proximity within academic discourse on technology adoption and sustainability. Text preprocessing procedures included lemmatisation, stop-word removal, and the standardisation of spelling variants across British and American English.</w:t>
      </w:r>
    </w:p>
    <w:p w14:paraId="08ADD624" w14:textId="77777777" w:rsidR="005E7BB2" w:rsidRDefault="005E7BB2" w:rsidP="005E7BB2">
      <w:r>
        <w:t>The conceptual structure derived from this combined analysis provides the analytical foundation for the extended Technology Acceptance Model. The thematic clusters emerging from the bibliometric mapping are subsequently presented and discussed in Section 3.2, where they are interpreted in relation to the behavioural, environmental, and institutional dimensions of green technology acceptance.</w:t>
      </w:r>
    </w:p>
    <w:p w14:paraId="41A71C08" w14:textId="3336B90A" w:rsidR="00E82E1B" w:rsidRPr="00E82E1B" w:rsidRDefault="00B21BDD" w:rsidP="00E82E1B">
      <w:pPr>
        <w:pStyle w:val="Ttulo2"/>
        <w:rPr>
          <w:lang w:val="en-GB"/>
        </w:rPr>
      </w:pPr>
      <w:r>
        <w:rPr>
          <w:lang w:val="en-GB"/>
        </w:rPr>
        <w:t xml:space="preserve">Analytical </w:t>
      </w:r>
      <w:r w:rsidR="0097502E">
        <w:rPr>
          <w:lang w:val="en-GB"/>
        </w:rPr>
        <w:t>h</w:t>
      </w:r>
      <w:r>
        <w:rPr>
          <w:lang w:val="en-GB"/>
        </w:rPr>
        <w:t xml:space="preserve">ierarchy and </w:t>
      </w:r>
      <w:r w:rsidR="0097502E">
        <w:rPr>
          <w:lang w:val="en-GB"/>
        </w:rPr>
        <w:t>m</w:t>
      </w:r>
      <w:r>
        <w:rPr>
          <w:lang w:val="en-GB"/>
        </w:rPr>
        <w:t xml:space="preserve">odel </w:t>
      </w:r>
      <w:r w:rsidR="0097502E">
        <w:rPr>
          <w:lang w:val="en-GB"/>
        </w:rPr>
        <w:t>i</w:t>
      </w:r>
      <w:r>
        <w:rPr>
          <w:lang w:val="en-GB"/>
        </w:rPr>
        <w:t>ntegration</w:t>
      </w:r>
    </w:p>
    <w:p w14:paraId="16D68D5F" w14:textId="77777777" w:rsidR="005E7BB2" w:rsidRDefault="005E7BB2" w:rsidP="005E7BB2">
      <w:r>
        <w:t>This phase establishes a structured link between the conceptual synthesis developed in the previous stages and the organisation of its key dimensions. Rather than pursuing quantitative operationalisation or empirical validation, the analytical framework serves to systematically organise and compare behavioural and institutional constructs identified in the literature.</w:t>
      </w:r>
    </w:p>
    <w:p w14:paraId="3FFA416A" w14:textId="77777777" w:rsidR="005E7BB2" w:rsidRDefault="005E7BB2" w:rsidP="005E7BB2">
      <w:r>
        <w:t>To support this structuring process, the study employed the Analytic Hierarchy Process (AHP) as a method of structured expert elicitation. AHP is a multi-criteria decision-making approach that enables transparent pairwise comparisons among conceptual dimensions, allowing expert judgement to be articulated in a consistent and reproducible manner (Tavana et al., 2023). Its applicability for organising qualitative assessments in complex environmental and sustainability-related contexts has been documented in recent studies (Ozgur, 2024).</w:t>
      </w:r>
    </w:p>
    <w:p w14:paraId="7EAC596B" w14:textId="30E36EE0" w:rsidR="005E7BB2" w:rsidRDefault="005E7BB2" w:rsidP="005E7BB2">
      <w:r>
        <w:t>Within this framework, four institutional dimensions; trust, transparency, legitimacy, and community support, were conceptually compared with the two core constructs of the original Technology Acceptance Model: perceived usefulness and perceived ease of use. These comparisons were intended to explore the relative positioning of institutional and behavioural dimensions within the proposed framework, rather than to estimate causal effects or behavioural parameters.</w:t>
      </w:r>
    </w:p>
    <w:p w14:paraId="34EF5CE0" w14:textId="4E9FEE7A" w:rsidR="005E7BB2" w:rsidRDefault="005E7BB2" w:rsidP="005E7BB2">
      <w:r>
        <w:t xml:space="preserve">The internal coherence of expert judgements was assessed using the consistency ratio criterion (CR &lt; 0.1), ensuring that the resulting comparative structure reflected a reasoned synthesis of expert perspectives rather than arbitrary prioritisation. The outcomes of the AHP were therefore interpreted as exploratory structuring inputs that informed the </w:t>
      </w:r>
      <w:r w:rsidR="00E61165" w:rsidRPr="00E61165">
        <w:t>analytical framework</w:t>
      </w:r>
      <w:r w:rsidR="00E61165">
        <w:t xml:space="preserve"> </w:t>
      </w:r>
      <w:r>
        <w:t>of behavioural and institutional dimensions.</w:t>
      </w:r>
    </w:p>
    <w:p w14:paraId="5C17CDF0" w14:textId="5E68AABF" w:rsidR="00B21BDD" w:rsidRDefault="00AB0057" w:rsidP="00B21BDD">
      <w:pPr>
        <w:pStyle w:val="Ttulo2"/>
        <w:rPr>
          <w:lang w:val="en-GB"/>
        </w:rPr>
      </w:pPr>
      <w:r w:rsidRPr="00AB0057">
        <w:t xml:space="preserve">Conceptual </w:t>
      </w:r>
      <w:r w:rsidR="0097502E">
        <w:t>i</w:t>
      </w:r>
      <w:r w:rsidRPr="00AB0057">
        <w:t xml:space="preserve">ntegration: Extended TAM </w:t>
      </w:r>
      <w:r w:rsidR="0097502E">
        <w:t>f</w:t>
      </w:r>
      <w:r w:rsidRPr="00AB0057">
        <w:t>ramework</w:t>
      </w:r>
    </w:p>
    <w:p w14:paraId="2C643CAB" w14:textId="77777777" w:rsidR="005E7BB2" w:rsidRPr="005E7BB2" w:rsidRDefault="005E7BB2" w:rsidP="005E7BB2">
      <w:pPr>
        <w:rPr>
          <w:lang w:val="en-GB" w:eastAsia="es-ES"/>
        </w:rPr>
      </w:pPr>
      <w:r w:rsidRPr="005E7BB2">
        <w:rPr>
          <w:lang w:val="en-GB" w:eastAsia="es-ES"/>
        </w:rPr>
        <w:t>The conceptual integration phase synthesises the behavioural and institutional dimensions identified in the preceding analyses into a unified theoretical framework. This stage connects the literature synthesis, the bibliometric mapping, and the expert-based structuring process, leading to the formulation of an extended Technology Acceptance Model (TAM) adapted to sustainability- and policy-oriented contexts.</w:t>
      </w:r>
    </w:p>
    <w:p w14:paraId="1C782DC3" w14:textId="77777777" w:rsidR="005E7BB2" w:rsidRPr="005E7BB2" w:rsidRDefault="005E7BB2" w:rsidP="005E7BB2">
      <w:pPr>
        <w:rPr>
          <w:lang w:val="en-GB" w:eastAsia="es-ES"/>
        </w:rPr>
      </w:pPr>
      <w:r w:rsidRPr="005E7BB2">
        <w:rPr>
          <w:lang w:val="en-GB" w:eastAsia="es-ES"/>
        </w:rPr>
        <w:t xml:space="preserve">The proposed framework retains the two foundational constructs of the original TAM—perceived usefulness and perceived ease of use—while incorporating four complementary institutional dimensions: trust, transparency, legitimacy, and community support. These dimensions represent institutional conditions that shape how individuals interpret, evaluate, and respond to sustainable </w:t>
      </w:r>
      <w:r w:rsidRPr="005E7BB2">
        <w:rPr>
          <w:lang w:val="en-GB" w:eastAsia="es-ES"/>
        </w:rPr>
        <w:lastRenderedPageBreak/>
        <w:t>technological innovations, particularly in governance-intensive settings where adoption decisions are closely intertwined with public authority, collective norms, and policy credibility.</w:t>
      </w:r>
    </w:p>
    <w:p w14:paraId="498049D0" w14:textId="77777777" w:rsidR="005E7BB2" w:rsidRPr="005E7BB2" w:rsidRDefault="005E7BB2" w:rsidP="005E7BB2">
      <w:pPr>
        <w:rPr>
          <w:lang w:val="en-GB" w:eastAsia="es-ES"/>
        </w:rPr>
      </w:pPr>
      <w:r w:rsidRPr="005E7BB2">
        <w:rPr>
          <w:lang w:val="en-GB" w:eastAsia="es-ES"/>
        </w:rPr>
        <w:t>The structure of the extended model is illustrated in Figure 3, which presents the conceptual positioning of behavioural and institutional elements within the proposed framework. The figure does not depict empirically tested causal relationships, but rather provides a structured representation of how individual cognitive evaluations and institutional conditions are conceptually connected in the context of green technology acceptance.</w:t>
      </w:r>
    </w:p>
    <w:p w14:paraId="480FB04F" w14:textId="54871898" w:rsidR="00233D4F" w:rsidRDefault="00233D4F" w:rsidP="005D65C5">
      <w:pPr>
        <w:rPr>
          <w:b/>
          <w:bCs/>
          <w:i/>
          <w:iCs/>
          <w:lang w:eastAsia="es-ES"/>
        </w:rPr>
      </w:pPr>
      <w:r w:rsidRPr="00233D4F">
        <w:rPr>
          <w:b/>
          <w:bCs/>
          <w:lang w:eastAsia="es-ES"/>
        </w:rPr>
        <w:t xml:space="preserve">Figure </w:t>
      </w:r>
      <w:r w:rsidR="005C6FC9">
        <w:rPr>
          <w:b/>
          <w:bCs/>
          <w:lang w:eastAsia="es-ES"/>
        </w:rPr>
        <w:t>3</w:t>
      </w:r>
      <w:r w:rsidRPr="00233D4F">
        <w:rPr>
          <w:b/>
          <w:bCs/>
          <w:lang w:eastAsia="es-ES"/>
        </w:rPr>
        <w:t xml:space="preserve">. </w:t>
      </w:r>
      <w:r w:rsidR="005E7BB2" w:rsidRPr="005E7BB2">
        <w:rPr>
          <w:lang w:eastAsia="es-ES"/>
        </w:rPr>
        <w:t>Extended Technology Acceptance Model integrating behavioural and institutional dimensions.</w:t>
      </w:r>
      <w:r w:rsidR="005E7BB2">
        <w:rPr>
          <w:lang w:eastAsia="es-ES"/>
        </w:rPr>
        <w:t xml:space="preserve"> </w:t>
      </w:r>
      <w:r w:rsidR="005E7BB2" w:rsidRPr="005E7BB2">
        <w:rPr>
          <w:i/>
          <w:iCs/>
          <w:lang w:eastAsia="es-ES"/>
        </w:rPr>
        <w:t>Source: authors’ elaboration.</w:t>
      </w:r>
    </w:p>
    <w:p w14:paraId="744C2DBD" w14:textId="77777777" w:rsidR="005E7BB2" w:rsidRPr="005E7BB2" w:rsidRDefault="005E7BB2" w:rsidP="005E7BB2">
      <w:pPr>
        <w:rPr>
          <w:lang w:val="en-GB" w:eastAsia="es-ES"/>
        </w:rPr>
      </w:pPr>
      <w:r w:rsidRPr="005E7BB2">
        <w:rPr>
          <w:lang w:val="en-GB" w:eastAsia="es-ES"/>
        </w:rPr>
        <w:t>By integrating these dimensions, the model captures the interaction between individual-level cognitive assessments and collectively mediated institutional signals. This conceptual expansion is consistent with existing research suggesting that technology adoption in environmental contexts cannot be fully understood as a purely instrumental or rational decision, but must be situated within broader social and institutional environments characterised by legitimacy, credibility, and shared norms (Janmaimool, 2021).</w:t>
      </w:r>
    </w:p>
    <w:p w14:paraId="2983A3FF" w14:textId="77777777" w:rsidR="005E7BB2" w:rsidRPr="005E7BB2" w:rsidRDefault="005E7BB2" w:rsidP="005E7BB2">
      <w:pPr>
        <w:rPr>
          <w:lang w:val="en-GB" w:eastAsia="es-ES"/>
        </w:rPr>
      </w:pPr>
      <w:r w:rsidRPr="005E7BB2">
        <w:rPr>
          <w:lang w:val="en-GB" w:eastAsia="es-ES"/>
        </w:rPr>
        <w:t>Within this framework, institutional variables do not replace behavioural determinants, but condition the circumstances under which perceived usefulness and perceived ease of use translate into behavioural intention. Trust and legitimacy shape expectations regarding fairness and reliability, transparency influences perceived accountability, and community support reflects social endorsement. Together, these dimensions frame technology acceptance as a socially embedded process rather than an isolated cognitive choice.</w:t>
      </w:r>
    </w:p>
    <w:p w14:paraId="3F278C29" w14:textId="36862C91" w:rsidR="00790957" w:rsidRPr="005E7BB2" w:rsidRDefault="005E7BB2" w:rsidP="00790957">
      <w:pPr>
        <w:rPr>
          <w:lang w:val="en-GB" w:eastAsia="es-ES"/>
        </w:rPr>
      </w:pPr>
      <w:r w:rsidRPr="005E7BB2">
        <w:rPr>
          <w:lang w:val="en-GB" w:eastAsia="es-ES"/>
        </w:rPr>
        <w:t>The extended TAM developed in this section provides the conceptual foundation for the analytical discussion presented in the following sections. In particular, it supports the interpretation of the bibliometric patterns and expert-based structuring results, and it offers a coherent basis for examining the implications of integrating institutional considerations into behavioural models of sustainable technology adoption.</w:t>
      </w:r>
    </w:p>
    <w:p w14:paraId="65007203" w14:textId="5883D8DD" w:rsidR="00D537FA" w:rsidRPr="00376CC5" w:rsidRDefault="003A1E8D" w:rsidP="001D5C23">
      <w:pPr>
        <w:pStyle w:val="Ttulo2"/>
      </w:pPr>
      <w:r>
        <w:t xml:space="preserve">Descriptive </w:t>
      </w:r>
      <w:r w:rsidR="0097502E">
        <w:t>o</w:t>
      </w:r>
      <w:r w:rsidR="00790957" w:rsidRPr="00790957">
        <w:t xml:space="preserve">verview of the </w:t>
      </w:r>
      <w:r w:rsidR="0097502E">
        <w:t>l</w:t>
      </w:r>
      <w:r w:rsidR="00790957" w:rsidRPr="00790957">
        <w:t xml:space="preserve">iterature </w:t>
      </w:r>
      <w:r w:rsidR="0097502E">
        <w:t>c</w:t>
      </w:r>
      <w:r w:rsidR="00790957" w:rsidRPr="00790957">
        <w:t>orpus</w:t>
      </w:r>
    </w:p>
    <w:p w14:paraId="46B878A4" w14:textId="77777777" w:rsidR="00FE0AFB" w:rsidRPr="00FE0AFB" w:rsidRDefault="00FE0AFB" w:rsidP="00FE0AFB">
      <w:pPr>
        <w:rPr>
          <w:lang w:val="en-GB" w:eastAsia="es-ES"/>
        </w:rPr>
      </w:pPr>
      <w:r w:rsidRPr="00FE0AFB">
        <w:rPr>
          <w:lang w:val="en-GB" w:eastAsia="es-ES"/>
        </w:rPr>
        <w:t>The final corpus comprised 789 peer-reviewed journal articles published between 2021 and 2025, reflecting the growing academic interest in the intersection of behavioural, technological, and environmental perspectives on green technology adoption. Publications indexed in 2025 correspond to early-access records available at the time of data retrieval and are therefore interpreted descriptively. Across the period analysed, the annual volume of publications shows a clear upward tendency, increasing from 88 articles in 2021 to 276 in 2025, with intermediate values of 121 in 2022, 119 in 2023, and 185 in 2024. This trajectory suggests a progressive consolidation of behavioural and institutional approaches within sustainability- and technology-oriented research.</w:t>
      </w:r>
    </w:p>
    <w:p w14:paraId="2DF8F7EE" w14:textId="77777777" w:rsidR="00FE0AFB" w:rsidRPr="00FE0AFB" w:rsidRDefault="00FE0AFB" w:rsidP="00FE0AFB">
      <w:pPr>
        <w:rPr>
          <w:lang w:val="en-GB" w:eastAsia="es-ES"/>
        </w:rPr>
      </w:pPr>
      <w:r w:rsidRPr="00FE0AFB">
        <w:rPr>
          <w:lang w:val="en-GB" w:eastAsia="es-ES"/>
        </w:rPr>
        <w:t xml:space="preserve">In terms of publication outlets, a relatively small group of journals accounted for a substantial share of the corpus. </w:t>
      </w:r>
      <w:r w:rsidRPr="00FE0AFB">
        <w:rPr>
          <w:i/>
          <w:iCs/>
          <w:lang w:val="en-GB" w:eastAsia="es-ES"/>
        </w:rPr>
        <w:t>Sustainability (Switzerland)</w:t>
      </w:r>
      <w:r w:rsidRPr="00FE0AFB">
        <w:rPr>
          <w:lang w:val="en-GB" w:eastAsia="es-ES"/>
        </w:rPr>
        <w:t xml:space="preserve"> emerged as the most prominent source with 80 articles, followed by </w:t>
      </w:r>
      <w:r w:rsidRPr="00FE0AFB">
        <w:rPr>
          <w:i/>
          <w:iCs/>
          <w:lang w:val="en-GB" w:eastAsia="es-ES"/>
        </w:rPr>
        <w:t>Education and Information Technologies</w:t>
      </w:r>
      <w:r w:rsidRPr="00FE0AFB">
        <w:rPr>
          <w:lang w:val="en-GB" w:eastAsia="es-ES"/>
        </w:rPr>
        <w:t xml:space="preserve"> (18), </w:t>
      </w:r>
      <w:r w:rsidRPr="00FE0AFB">
        <w:rPr>
          <w:i/>
          <w:iCs/>
          <w:lang w:val="en-GB" w:eastAsia="es-ES"/>
        </w:rPr>
        <w:t>International Journal of Environmental Research and Public Health</w:t>
      </w:r>
      <w:r w:rsidRPr="00FE0AFB">
        <w:rPr>
          <w:lang w:val="en-GB" w:eastAsia="es-ES"/>
        </w:rPr>
        <w:t xml:space="preserve"> (17), </w:t>
      </w:r>
      <w:r w:rsidRPr="00FE0AFB">
        <w:rPr>
          <w:i/>
          <w:iCs/>
          <w:lang w:val="en-GB" w:eastAsia="es-ES"/>
        </w:rPr>
        <w:t>International Journal of Human–Computer Interaction</w:t>
      </w:r>
      <w:r w:rsidRPr="00FE0AFB">
        <w:rPr>
          <w:lang w:val="en-GB" w:eastAsia="es-ES"/>
        </w:rPr>
        <w:t xml:space="preserve"> (13), and </w:t>
      </w:r>
      <w:r w:rsidRPr="00FE0AFB">
        <w:rPr>
          <w:i/>
          <w:iCs/>
          <w:lang w:val="en-GB" w:eastAsia="es-ES"/>
        </w:rPr>
        <w:t>Technology in Society</w:t>
      </w:r>
      <w:r w:rsidRPr="00FE0AFB">
        <w:rPr>
          <w:lang w:val="en-GB" w:eastAsia="es-ES"/>
        </w:rPr>
        <w:t xml:space="preserve"> (11). This distribution illustrates the multidisciplinary character of the field, spanning environmental sciences, information systems, education, and behavioural research.</w:t>
      </w:r>
    </w:p>
    <w:p w14:paraId="434C42D2" w14:textId="77777777" w:rsidR="00FE0AFB" w:rsidRPr="00FE0AFB" w:rsidRDefault="00FE0AFB" w:rsidP="00FE0AFB">
      <w:pPr>
        <w:rPr>
          <w:lang w:val="en-GB" w:eastAsia="es-ES"/>
        </w:rPr>
      </w:pPr>
      <w:r w:rsidRPr="00FE0AFB">
        <w:rPr>
          <w:lang w:val="en-GB" w:eastAsia="es-ES"/>
        </w:rPr>
        <w:lastRenderedPageBreak/>
        <w:t>The main descriptive characteristics of the corpus are summarised in Table 1, which reports temporal coverage, citation indicators, and the most recurrent author keywords extracted from the Scopus dataset. Citation patterns indicate a mean of 14.4 citations per article, with values ranging from 0 to 540, pointing to the coexistence of well-established contributions and more recent studies that have not yet accumulated citations.</w:t>
      </w:r>
    </w:p>
    <w:p w14:paraId="1E541794" w14:textId="194C7DEB" w:rsidR="00790957" w:rsidRDefault="00790957" w:rsidP="00790957">
      <w:pPr>
        <w:spacing w:before="100" w:beforeAutospacing="1" w:after="100" w:afterAutospacing="1"/>
        <w:rPr>
          <w:rFonts w:eastAsia="Times New Roman" w:cs="Times New Roman"/>
          <w:szCs w:val="24"/>
          <w:lang w:val="en-GB" w:eastAsia="es-ES"/>
        </w:rPr>
      </w:pPr>
      <w:r w:rsidRPr="009C2860">
        <w:rPr>
          <w:rFonts w:eastAsia="Times New Roman" w:cs="Times New Roman"/>
          <w:b/>
          <w:bCs/>
          <w:szCs w:val="24"/>
          <w:lang w:eastAsia="es-ES"/>
        </w:rPr>
        <w:t xml:space="preserve">Table 1. </w:t>
      </w:r>
      <w:r w:rsidR="00FE0AFB" w:rsidRPr="00FE0AFB">
        <w:rPr>
          <w:rFonts w:eastAsia="Times New Roman" w:cs="Times New Roman"/>
          <w:szCs w:val="24"/>
          <w:lang w:eastAsia="es-ES"/>
        </w:rPr>
        <w:t>Descriptive characteristics of the literature corpus (2021–2025).</w:t>
      </w:r>
    </w:p>
    <w:tbl>
      <w:tblPr>
        <w:tblStyle w:val="Tablanormal2"/>
        <w:tblW w:w="0" w:type="auto"/>
        <w:tblLook w:val="04A0" w:firstRow="1" w:lastRow="0" w:firstColumn="1" w:lastColumn="0" w:noHBand="0" w:noVBand="1"/>
      </w:tblPr>
      <w:tblGrid>
        <w:gridCol w:w="2932"/>
        <w:gridCol w:w="5006"/>
        <w:gridCol w:w="1719"/>
      </w:tblGrid>
      <w:tr w:rsidR="00790957" w:rsidRPr="003A1E8D" w14:paraId="2D8F90C2" w14:textId="77777777" w:rsidTr="00F41589">
        <w:trPr>
          <w:cnfStyle w:val="100000000000" w:firstRow="1" w:lastRow="0" w:firstColumn="0" w:lastColumn="0" w:oddVBand="0" w:evenVBand="0" w:oddHBand="0"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932" w:type="dxa"/>
            <w:tcBorders>
              <w:top w:val="single" w:sz="4" w:space="0" w:color="7F7F7F" w:themeColor="text1" w:themeTint="80"/>
              <w:bottom w:val="single" w:sz="4" w:space="0" w:color="auto"/>
            </w:tcBorders>
            <w:shd w:val="clear" w:color="auto" w:fill="F2F2F2" w:themeFill="background1" w:themeFillShade="F2"/>
            <w:hideMark/>
          </w:tcPr>
          <w:p w14:paraId="1B194B01" w14:textId="77777777" w:rsidR="00790957" w:rsidRPr="003A1E8D" w:rsidRDefault="00790957" w:rsidP="00F41589">
            <w:pPr>
              <w:spacing w:before="100" w:beforeAutospacing="1" w:after="100" w:afterAutospacing="1"/>
              <w:rPr>
                <w:rFonts w:eastAsia="Times New Roman" w:cs="Times New Roman"/>
                <w:szCs w:val="24"/>
                <w:lang w:val="es-ES" w:eastAsia="es-ES"/>
              </w:rPr>
            </w:pPr>
            <w:proofErr w:type="spellStart"/>
            <w:r w:rsidRPr="003A1E8D">
              <w:rPr>
                <w:rFonts w:eastAsia="Times New Roman" w:cs="Times New Roman"/>
                <w:szCs w:val="24"/>
                <w:lang w:val="es-ES" w:eastAsia="es-ES"/>
              </w:rPr>
              <w:t>Indicator</w:t>
            </w:r>
            <w:proofErr w:type="spellEnd"/>
          </w:p>
        </w:tc>
        <w:tc>
          <w:tcPr>
            <w:tcW w:w="5006" w:type="dxa"/>
            <w:tcBorders>
              <w:top w:val="single" w:sz="4" w:space="0" w:color="7F7F7F" w:themeColor="text1" w:themeTint="80"/>
              <w:bottom w:val="single" w:sz="4" w:space="0" w:color="auto"/>
            </w:tcBorders>
            <w:shd w:val="clear" w:color="auto" w:fill="F2F2F2" w:themeFill="background1" w:themeFillShade="F2"/>
            <w:hideMark/>
          </w:tcPr>
          <w:p w14:paraId="345F2EB8" w14:textId="77777777" w:rsidR="00790957" w:rsidRPr="003A1E8D" w:rsidRDefault="00790957" w:rsidP="00F4158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eastAsia="es-ES"/>
              </w:rPr>
            </w:pPr>
            <w:proofErr w:type="spellStart"/>
            <w:r w:rsidRPr="003A1E8D">
              <w:rPr>
                <w:rFonts w:eastAsia="Times New Roman" w:cs="Times New Roman"/>
                <w:szCs w:val="24"/>
                <w:lang w:val="es-ES" w:eastAsia="es-ES"/>
              </w:rPr>
              <w:t>Description</w:t>
            </w:r>
            <w:proofErr w:type="spellEnd"/>
          </w:p>
        </w:tc>
        <w:tc>
          <w:tcPr>
            <w:tcW w:w="1719" w:type="dxa"/>
            <w:tcBorders>
              <w:top w:val="single" w:sz="4" w:space="0" w:color="7F7F7F" w:themeColor="text1" w:themeTint="80"/>
              <w:bottom w:val="single" w:sz="4" w:space="0" w:color="auto"/>
            </w:tcBorders>
            <w:shd w:val="clear" w:color="auto" w:fill="F2F2F2" w:themeFill="background1" w:themeFillShade="F2"/>
            <w:hideMark/>
          </w:tcPr>
          <w:p w14:paraId="42901C04" w14:textId="77777777" w:rsidR="00790957" w:rsidRPr="003A1E8D" w:rsidRDefault="00790957" w:rsidP="00F4158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s-ES" w:eastAsia="es-ES"/>
              </w:rPr>
            </w:pPr>
            <w:proofErr w:type="spellStart"/>
            <w:r w:rsidRPr="003A1E8D">
              <w:rPr>
                <w:rFonts w:eastAsia="Times New Roman" w:cs="Times New Roman"/>
                <w:szCs w:val="24"/>
                <w:lang w:val="es-ES" w:eastAsia="es-ES"/>
              </w:rPr>
              <w:t>Value</w:t>
            </w:r>
            <w:proofErr w:type="spellEnd"/>
            <w:r w:rsidRPr="003A1E8D">
              <w:rPr>
                <w:rFonts w:eastAsia="Times New Roman" w:cs="Times New Roman"/>
                <w:szCs w:val="24"/>
                <w:lang w:val="es-ES" w:eastAsia="es-ES"/>
              </w:rPr>
              <w:t xml:space="preserve"> / </w:t>
            </w:r>
            <w:proofErr w:type="spellStart"/>
            <w:r w:rsidRPr="003A1E8D">
              <w:rPr>
                <w:rFonts w:eastAsia="Times New Roman" w:cs="Times New Roman"/>
                <w:szCs w:val="24"/>
                <w:lang w:val="es-ES" w:eastAsia="es-ES"/>
              </w:rPr>
              <w:t>Range</w:t>
            </w:r>
            <w:proofErr w:type="spellEnd"/>
          </w:p>
        </w:tc>
      </w:tr>
      <w:tr w:rsidR="00790957" w:rsidRPr="003A1E8D" w14:paraId="2CAC3237" w14:textId="77777777" w:rsidTr="00F41589">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932" w:type="dxa"/>
            <w:tcBorders>
              <w:top w:val="single" w:sz="4" w:space="0" w:color="auto"/>
              <w:bottom w:val="nil"/>
            </w:tcBorders>
            <w:hideMark/>
          </w:tcPr>
          <w:p w14:paraId="77B12B01" w14:textId="77777777" w:rsidR="00790957" w:rsidRPr="003A1E8D" w:rsidRDefault="00790957" w:rsidP="00F41589">
            <w:pPr>
              <w:spacing w:before="100" w:beforeAutospacing="1" w:after="100" w:afterAutospacing="1"/>
              <w:rPr>
                <w:rFonts w:eastAsia="Times New Roman" w:cs="Times New Roman"/>
                <w:b w:val="0"/>
                <w:bCs w:val="0"/>
                <w:szCs w:val="24"/>
                <w:lang w:val="es-ES" w:eastAsia="es-ES"/>
              </w:rPr>
            </w:pPr>
            <w:proofErr w:type="spellStart"/>
            <w:r w:rsidRPr="003A1E8D">
              <w:rPr>
                <w:rFonts w:eastAsia="Times New Roman" w:cs="Times New Roman"/>
                <w:b w:val="0"/>
                <w:bCs w:val="0"/>
                <w:szCs w:val="24"/>
                <w:lang w:val="es-ES" w:eastAsia="es-ES"/>
              </w:rPr>
              <w:t>Period</w:t>
            </w:r>
            <w:proofErr w:type="spellEnd"/>
            <w:r w:rsidRPr="003A1E8D">
              <w:rPr>
                <w:rFonts w:eastAsia="Times New Roman" w:cs="Times New Roman"/>
                <w:b w:val="0"/>
                <w:bCs w:val="0"/>
                <w:szCs w:val="24"/>
                <w:lang w:val="es-ES" w:eastAsia="es-ES"/>
              </w:rPr>
              <w:t xml:space="preserve"> </w:t>
            </w:r>
            <w:proofErr w:type="spellStart"/>
            <w:r w:rsidRPr="003A1E8D">
              <w:rPr>
                <w:rFonts w:eastAsia="Times New Roman" w:cs="Times New Roman"/>
                <w:b w:val="0"/>
                <w:bCs w:val="0"/>
                <w:szCs w:val="24"/>
                <w:lang w:val="es-ES" w:eastAsia="es-ES"/>
              </w:rPr>
              <w:t>covered</w:t>
            </w:r>
            <w:proofErr w:type="spellEnd"/>
          </w:p>
        </w:tc>
        <w:tc>
          <w:tcPr>
            <w:tcW w:w="5006" w:type="dxa"/>
            <w:tcBorders>
              <w:top w:val="single" w:sz="4" w:space="0" w:color="auto"/>
              <w:bottom w:val="nil"/>
            </w:tcBorders>
            <w:hideMark/>
          </w:tcPr>
          <w:p w14:paraId="62CBBEF8" w14:textId="77777777" w:rsidR="00790957" w:rsidRPr="003A1E8D" w:rsidRDefault="00790957" w:rsidP="00F4158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eastAsia="es-ES"/>
              </w:rPr>
            </w:pPr>
            <w:proofErr w:type="spellStart"/>
            <w:r w:rsidRPr="003A1E8D">
              <w:rPr>
                <w:rFonts w:eastAsia="Times New Roman" w:cs="Times New Roman"/>
                <w:szCs w:val="24"/>
                <w:lang w:val="es-ES" w:eastAsia="es-ES"/>
              </w:rPr>
              <w:t>Years</w:t>
            </w:r>
            <w:proofErr w:type="spellEnd"/>
            <w:r w:rsidRPr="003A1E8D">
              <w:rPr>
                <w:rFonts w:eastAsia="Times New Roman" w:cs="Times New Roman"/>
                <w:szCs w:val="24"/>
                <w:lang w:val="es-ES" w:eastAsia="es-ES"/>
              </w:rPr>
              <w:t xml:space="preserve"> of </w:t>
            </w:r>
            <w:proofErr w:type="spellStart"/>
            <w:r w:rsidRPr="003A1E8D">
              <w:rPr>
                <w:rFonts w:eastAsia="Times New Roman" w:cs="Times New Roman"/>
                <w:szCs w:val="24"/>
                <w:lang w:val="es-ES" w:eastAsia="es-ES"/>
              </w:rPr>
              <w:t>publication</w:t>
            </w:r>
            <w:proofErr w:type="spellEnd"/>
          </w:p>
        </w:tc>
        <w:tc>
          <w:tcPr>
            <w:tcW w:w="1719" w:type="dxa"/>
            <w:tcBorders>
              <w:top w:val="single" w:sz="4" w:space="0" w:color="auto"/>
              <w:bottom w:val="nil"/>
            </w:tcBorders>
            <w:hideMark/>
          </w:tcPr>
          <w:p w14:paraId="3D6A28CE" w14:textId="77777777" w:rsidR="00790957" w:rsidRPr="003A1E8D" w:rsidRDefault="00790957" w:rsidP="00F4158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eastAsia="es-ES"/>
              </w:rPr>
            </w:pPr>
            <w:r w:rsidRPr="003A1E8D">
              <w:rPr>
                <w:rFonts w:eastAsia="Times New Roman" w:cs="Times New Roman"/>
                <w:szCs w:val="24"/>
                <w:lang w:val="es-ES" w:eastAsia="es-ES"/>
              </w:rPr>
              <w:t>2021–2025</w:t>
            </w:r>
          </w:p>
        </w:tc>
      </w:tr>
      <w:tr w:rsidR="00790957" w:rsidRPr="003A1E8D" w14:paraId="0BD858B9" w14:textId="77777777" w:rsidTr="00F41589">
        <w:tc>
          <w:tcPr>
            <w:cnfStyle w:val="001000000000" w:firstRow="0" w:lastRow="0" w:firstColumn="1" w:lastColumn="0" w:oddVBand="0" w:evenVBand="0" w:oddHBand="0" w:evenHBand="0" w:firstRowFirstColumn="0" w:firstRowLastColumn="0" w:lastRowFirstColumn="0" w:lastRowLastColumn="0"/>
            <w:tcW w:w="2932" w:type="dxa"/>
            <w:tcBorders>
              <w:top w:val="nil"/>
              <w:bottom w:val="nil"/>
            </w:tcBorders>
            <w:hideMark/>
          </w:tcPr>
          <w:p w14:paraId="650F377A" w14:textId="77777777" w:rsidR="00790957" w:rsidRPr="003A1E8D" w:rsidRDefault="00790957" w:rsidP="00F41589">
            <w:pPr>
              <w:spacing w:before="100" w:beforeAutospacing="1" w:after="100" w:afterAutospacing="1"/>
              <w:rPr>
                <w:rFonts w:eastAsia="Times New Roman" w:cs="Times New Roman"/>
                <w:b w:val="0"/>
                <w:bCs w:val="0"/>
                <w:szCs w:val="24"/>
                <w:lang w:val="es-ES" w:eastAsia="es-ES"/>
              </w:rPr>
            </w:pPr>
            <w:r w:rsidRPr="003A1E8D">
              <w:rPr>
                <w:rFonts w:eastAsia="Times New Roman" w:cs="Times New Roman"/>
                <w:b w:val="0"/>
                <w:bCs w:val="0"/>
                <w:szCs w:val="24"/>
                <w:lang w:val="es-ES" w:eastAsia="es-ES"/>
              </w:rPr>
              <w:t xml:space="preserve">Total </w:t>
            </w:r>
            <w:proofErr w:type="spellStart"/>
            <w:r w:rsidRPr="003A1E8D">
              <w:rPr>
                <w:rFonts w:eastAsia="Times New Roman" w:cs="Times New Roman"/>
                <w:b w:val="0"/>
                <w:bCs w:val="0"/>
                <w:szCs w:val="24"/>
                <w:lang w:val="es-ES" w:eastAsia="es-ES"/>
              </w:rPr>
              <w:t>documents</w:t>
            </w:r>
            <w:proofErr w:type="spellEnd"/>
            <w:r w:rsidRPr="003A1E8D">
              <w:rPr>
                <w:rFonts w:eastAsia="Times New Roman" w:cs="Times New Roman"/>
                <w:b w:val="0"/>
                <w:bCs w:val="0"/>
                <w:szCs w:val="24"/>
                <w:lang w:val="es-ES" w:eastAsia="es-ES"/>
              </w:rPr>
              <w:t xml:space="preserve"> analysed</w:t>
            </w:r>
          </w:p>
        </w:tc>
        <w:tc>
          <w:tcPr>
            <w:tcW w:w="5006" w:type="dxa"/>
            <w:tcBorders>
              <w:top w:val="nil"/>
              <w:bottom w:val="nil"/>
            </w:tcBorders>
            <w:hideMark/>
          </w:tcPr>
          <w:p w14:paraId="13D038D0" w14:textId="77777777" w:rsidR="00790957" w:rsidRPr="003A1E8D" w:rsidRDefault="00790957" w:rsidP="00F4158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GB" w:eastAsia="es-ES"/>
              </w:rPr>
            </w:pPr>
            <w:r w:rsidRPr="003A1E8D">
              <w:rPr>
                <w:rFonts w:eastAsia="Times New Roman" w:cs="Times New Roman"/>
                <w:szCs w:val="24"/>
                <w:lang w:val="en-GB" w:eastAsia="es-ES"/>
              </w:rPr>
              <w:t>Number of journal articles retrieved</w:t>
            </w:r>
          </w:p>
        </w:tc>
        <w:tc>
          <w:tcPr>
            <w:tcW w:w="1719" w:type="dxa"/>
            <w:tcBorders>
              <w:top w:val="nil"/>
              <w:bottom w:val="nil"/>
            </w:tcBorders>
            <w:hideMark/>
          </w:tcPr>
          <w:p w14:paraId="36202FD9" w14:textId="77777777" w:rsidR="00790957" w:rsidRPr="003A1E8D" w:rsidRDefault="00790957" w:rsidP="00F4158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eastAsia="es-ES"/>
              </w:rPr>
            </w:pPr>
            <w:r w:rsidRPr="003A1E8D">
              <w:rPr>
                <w:rFonts w:eastAsia="Times New Roman" w:cs="Times New Roman"/>
                <w:szCs w:val="24"/>
                <w:lang w:val="es-ES" w:eastAsia="es-ES"/>
              </w:rPr>
              <w:t>789</w:t>
            </w:r>
          </w:p>
        </w:tc>
      </w:tr>
      <w:tr w:rsidR="00790957" w:rsidRPr="003A1E8D" w14:paraId="6E0D2A3E" w14:textId="77777777" w:rsidTr="00F41589">
        <w:trPr>
          <w:cnfStyle w:val="000000100000" w:firstRow="0" w:lastRow="0" w:firstColumn="0" w:lastColumn="0" w:oddVBand="0" w:evenVBand="0" w:oddHBand="1"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2932" w:type="dxa"/>
            <w:tcBorders>
              <w:top w:val="nil"/>
              <w:bottom w:val="nil"/>
            </w:tcBorders>
            <w:hideMark/>
          </w:tcPr>
          <w:p w14:paraId="05D0703A" w14:textId="77777777" w:rsidR="00790957" w:rsidRPr="003A1E8D" w:rsidRDefault="00790957" w:rsidP="00F41589">
            <w:pPr>
              <w:spacing w:before="100" w:beforeAutospacing="1" w:after="100" w:afterAutospacing="1"/>
              <w:rPr>
                <w:rFonts w:eastAsia="Times New Roman" w:cs="Times New Roman"/>
                <w:b w:val="0"/>
                <w:bCs w:val="0"/>
                <w:szCs w:val="24"/>
                <w:lang w:val="es-ES" w:eastAsia="es-ES"/>
              </w:rPr>
            </w:pPr>
            <w:proofErr w:type="spellStart"/>
            <w:r w:rsidRPr="003A1E8D">
              <w:rPr>
                <w:rFonts w:eastAsia="Times New Roman" w:cs="Times New Roman"/>
                <w:b w:val="0"/>
                <w:bCs w:val="0"/>
                <w:szCs w:val="24"/>
                <w:lang w:val="es-ES" w:eastAsia="es-ES"/>
              </w:rPr>
              <w:t>Annual</w:t>
            </w:r>
            <w:proofErr w:type="spellEnd"/>
            <w:r w:rsidRPr="003A1E8D">
              <w:rPr>
                <w:rFonts w:eastAsia="Times New Roman" w:cs="Times New Roman"/>
                <w:b w:val="0"/>
                <w:bCs w:val="0"/>
                <w:szCs w:val="24"/>
                <w:lang w:val="es-ES" w:eastAsia="es-ES"/>
              </w:rPr>
              <w:t xml:space="preserve"> </w:t>
            </w:r>
            <w:proofErr w:type="spellStart"/>
            <w:r w:rsidRPr="003A1E8D">
              <w:rPr>
                <w:rFonts w:eastAsia="Times New Roman" w:cs="Times New Roman"/>
                <w:b w:val="0"/>
                <w:bCs w:val="0"/>
                <w:szCs w:val="24"/>
                <w:lang w:val="es-ES" w:eastAsia="es-ES"/>
              </w:rPr>
              <w:t>distribution</w:t>
            </w:r>
            <w:proofErr w:type="spellEnd"/>
          </w:p>
        </w:tc>
        <w:tc>
          <w:tcPr>
            <w:tcW w:w="5006" w:type="dxa"/>
            <w:tcBorders>
              <w:top w:val="nil"/>
              <w:bottom w:val="nil"/>
            </w:tcBorders>
            <w:hideMark/>
          </w:tcPr>
          <w:p w14:paraId="286E0B55" w14:textId="77777777" w:rsidR="00790957" w:rsidRPr="003A1E8D" w:rsidRDefault="00790957" w:rsidP="00F4158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eastAsia="es-ES"/>
              </w:rPr>
            </w:pPr>
            <w:r w:rsidRPr="003A1E8D">
              <w:rPr>
                <w:rFonts w:eastAsia="Times New Roman" w:cs="Times New Roman"/>
                <w:szCs w:val="24"/>
                <w:lang w:val="es-ES" w:eastAsia="es-ES"/>
              </w:rPr>
              <w:t>2021 (88); 2022 (121); 2023 (119); 2024 (185); 2025 (276)</w:t>
            </w:r>
          </w:p>
        </w:tc>
        <w:tc>
          <w:tcPr>
            <w:tcW w:w="1719" w:type="dxa"/>
            <w:tcBorders>
              <w:top w:val="nil"/>
              <w:bottom w:val="nil"/>
            </w:tcBorders>
            <w:hideMark/>
          </w:tcPr>
          <w:p w14:paraId="20B58071" w14:textId="77777777" w:rsidR="00790957" w:rsidRPr="003A1E8D" w:rsidRDefault="00790957" w:rsidP="00F4158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eastAsia="es-ES"/>
              </w:rPr>
            </w:pPr>
            <w:r w:rsidRPr="003A1E8D">
              <w:rPr>
                <w:rFonts w:eastAsia="Times New Roman" w:cs="Times New Roman"/>
                <w:szCs w:val="24"/>
                <w:lang w:val="es-ES" w:eastAsia="es-ES"/>
              </w:rPr>
              <w:t>—</w:t>
            </w:r>
          </w:p>
        </w:tc>
      </w:tr>
      <w:tr w:rsidR="00790957" w:rsidRPr="003A1E8D" w14:paraId="174EE0D0" w14:textId="77777777" w:rsidTr="00F41589">
        <w:trPr>
          <w:trHeight w:val="1855"/>
        </w:trPr>
        <w:tc>
          <w:tcPr>
            <w:cnfStyle w:val="001000000000" w:firstRow="0" w:lastRow="0" w:firstColumn="1" w:lastColumn="0" w:oddVBand="0" w:evenVBand="0" w:oddHBand="0" w:evenHBand="0" w:firstRowFirstColumn="0" w:firstRowLastColumn="0" w:lastRowFirstColumn="0" w:lastRowLastColumn="0"/>
            <w:tcW w:w="2932" w:type="dxa"/>
            <w:tcBorders>
              <w:top w:val="nil"/>
              <w:bottom w:val="nil"/>
            </w:tcBorders>
            <w:hideMark/>
          </w:tcPr>
          <w:p w14:paraId="0A1A7966" w14:textId="77777777" w:rsidR="00790957" w:rsidRPr="003A1E8D" w:rsidRDefault="00790957" w:rsidP="00F41589">
            <w:pPr>
              <w:spacing w:before="100" w:beforeAutospacing="1" w:after="100" w:afterAutospacing="1"/>
              <w:rPr>
                <w:rFonts w:eastAsia="Times New Roman" w:cs="Times New Roman"/>
                <w:b w:val="0"/>
                <w:bCs w:val="0"/>
                <w:szCs w:val="24"/>
                <w:lang w:val="es-ES" w:eastAsia="es-ES"/>
              </w:rPr>
            </w:pPr>
            <w:proofErr w:type="spellStart"/>
            <w:r w:rsidRPr="003A1E8D">
              <w:rPr>
                <w:rFonts w:eastAsia="Times New Roman" w:cs="Times New Roman"/>
                <w:b w:val="0"/>
                <w:bCs w:val="0"/>
                <w:szCs w:val="24"/>
                <w:lang w:val="es-ES" w:eastAsia="es-ES"/>
              </w:rPr>
              <w:t>Most</w:t>
            </w:r>
            <w:proofErr w:type="spellEnd"/>
            <w:r w:rsidRPr="003A1E8D">
              <w:rPr>
                <w:rFonts w:eastAsia="Times New Roman" w:cs="Times New Roman"/>
                <w:b w:val="0"/>
                <w:bCs w:val="0"/>
                <w:szCs w:val="24"/>
                <w:lang w:val="es-ES" w:eastAsia="es-ES"/>
              </w:rPr>
              <w:t xml:space="preserve"> </w:t>
            </w:r>
            <w:proofErr w:type="spellStart"/>
            <w:r w:rsidRPr="003A1E8D">
              <w:rPr>
                <w:rFonts w:eastAsia="Times New Roman" w:cs="Times New Roman"/>
                <w:b w:val="0"/>
                <w:bCs w:val="0"/>
                <w:szCs w:val="24"/>
                <w:lang w:val="es-ES" w:eastAsia="es-ES"/>
              </w:rPr>
              <w:t>frequent</w:t>
            </w:r>
            <w:proofErr w:type="spellEnd"/>
            <w:r w:rsidRPr="003A1E8D">
              <w:rPr>
                <w:rFonts w:eastAsia="Times New Roman" w:cs="Times New Roman"/>
                <w:b w:val="0"/>
                <w:bCs w:val="0"/>
                <w:szCs w:val="24"/>
                <w:lang w:val="es-ES" w:eastAsia="es-ES"/>
              </w:rPr>
              <w:t xml:space="preserve"> </w:t>
            </w:r>
            <w:proofErr w:type="spellStart"/>
            <w:r w:rsidRPr="003A1E8D">
              <w:rPr>
                <w:rFonts w:eastAsia="Times New Roman" w:cs="Times New Roman"/>
                <w:b w:val="0"/>
                <w:bCs w:val="0"/>
                <w:szCs w:val="24"/>
                <w:lang w:val="es-ES" w:eastAsia="es-ES"/>
              </w:rPr>
              <w:t>journals</w:t>
            </w:r>
            <w:proofErr w:type="spellEnd"/>
          </w:p>
        </w:tc>
        <w:tc>
          <w:tcPr>
            <w:tcW w:w="5006" w:type="dxa"/>
            <w:tcBorders>
              <w:top w:val="nil"/>
              <w:bottom w:val="nil"/>
            </w:tcBorders>
            <w:hideMark/>
          </w:tcPr>
          <w:p w14:paraId="34AFEEAF" w14:textId="77777777" w:rsidR="00790957" w:rsidRPr="003A1E8D" w:rsidRDefault="00790957" w:rsidP="00F4158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GB" w:eastAsia="es-ES"/>
              </w:rPr>
            </w:pPr>
            <w:r w:rsidRPr="003A1E8D">
              <w:rPr>
                <w:rFonts w:eastAsia="Times New Roman" w:cs="Times New Roman"/>
                <w:i/>
                <w:iCs/>
                <w:szCs w:val="24"/>
                <w:lang w:val="en-GB" w:eastAsia="es-ES"/>
              </w:rPr>
              <w:t>Sustainability (Switzerland)</w:t>
            </w:r>
            <w:r w:rsidRPr="003A1E8D">
              <w:rPr>
                <w:rFonts w:eastAsia="Times New Roman" w:cs="Times New Roman"/>
                <w:szCs w:val="24"/>
                <w:lang w:val="en-GB" w:eastAsia="es-ES"/>
              </w:rPr>
              <w:t xml:space="preserve"> (80); </w:t>
            </w:r>
            <w:r w:rsidRPr="003A1E8D">
              <w:rPr>
                <w:rFonts w:eastAsia="Times New Roman" w:cs="Times New Roman"/>
                <w:i/>
                <w:iCs/>
                <w:szCs w:val="24"/>
                <w:lang w:val="en-GB" w:eastAsia="es-ES"/>
              </w:rPr>
              <w:t>Education and Information Technologies</w:t>
            </w:r>
            <w:r w:rsidRPr="003A1E8D">
              <w:rPr>
                <w:rFonts w:eastAsia="Times New Roman" w:cs="Times New Roman"/>
                <w:szCs w:val="24"/>
                <w:lang w:val="en-GB" w:eastAsia="es-ES"/>
              </w:rPr>
              <w:t xml:space="preserve"> (18); </w:t>
            </w:r>
            <w:r w:rsidRPr="003A1E8D">
              <w:rPr>
                <w:rFonts w:eastAsia="Times New Roman" w:cs="Times New Roman"/>
                <w:i/>
                <w:iCs/>
                <w:szCs w:val="24"/>
                <w:lang w:val="en-GB" w:eastAsia="es-ES"/>
              </w:rPr>
              <w:t>International Journal of Environmental Research and Public Health</w:t>
            </w:r>
            <w:r w:rsidRPr="003A1E8D">
              <w:rPr>
                <w:rFonts w:eastAsia="Times New Roman" w:cs="Times New Roman"/>
                <w:szCs w:val="24"/>
                <w:lang w:val="en-GB" w:eastAsia="es-ES"/>
              </w:rPr>
              <w:t xml:space="preserve"> (17); </w:t>
            </w:r>
            <w:r w:rsidRPr="003A1E8D">
              <w:rPr>
                <w:rFonts w:eastAsia="Times New Roman" w:cs="Times New Roman"/>
                <w:i/>
                <w:iCs/>
                <w:szCs w:val="24"/>
                <w:lang w:val="en-GB" w:eastAsia="es-ES"/>
              </w:rPr>
              <w:t>International Journal of Human–Computer Interaction</w:t>
            </w:r>
            <w:r w:rsidRPr="003A1E8D">
              <w:rPr>
                <w:rFonts w:eastAsia="Times New Roman" w:cs="Times New Roman"/>
                <w:szCs w:val="24"/>
                <w:lang w:val="en-GB" w:eastAsia="es-ES"/>
              </w:rPr>
              <w:t xml:space="preserve"> (13); </w:t>
            </w:r>
            <w:r w:rsidRPr="003A1E8D">
              <w:rPr>
                <w:rFonts w:eastAsia="Times New Roman" w:cs="Times New Roman"/>
                <w:i/>
                <w:iCs/>
                <w:szCs w:val="24"/>
                <w:lang w:val="en-GB" w:eastAsia="es-ES"/>
              </w:rPr>
              <w:t>Technology in Society</w:t>
            </w:r>
            <w:r w:rsidRPr="003A1E8D">
              <w:rPr>
                <w:rFonts w:eastAsia="Times New Roman" w:cs="Times New Roman"/>
                <w:szCs w:val="24"/>
                <w:lang w:val="en-GB" w:eastAsia="es-ES"/>
              </w:rPr>
              <w:t xml:space="preserve"> (11)</w:t>
            </w:r>
          </w:p>
        </w:tc>
        <w:tc>
          <w:tcPr>
            <w:tcW w:w="1719" w:type="dxa"/>
            <w:tcBorders>
              <w:top w:val="nil"/>
              <w:bottom w:val="nil"/>
            </w:tcBorders>
            <w:hideMark/>
          </w:tcPr>
          <w:p w14:paraId="5C6484FE" w14:textId="77777777" w:rsidR="00790957" w:rsidRPr="003A1E8D" w:rsidRDefault="00790957" w:rsidP="00F4158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eastAsia="es-ES"/>
              </w:rPr>
            </w:pPr>
            <w:r w:rsidRPr="003A1E8D">
              <w:rPr>
                <w:rFonts w:eastAsia="Times New Roman" w:cs="Times New Roman"/>
                <w:szCs w:val="24"/>
                <w:lang w:val="es-ES" w:eastAsia="es-ES"/>
              </w:rPr>
              <w:t>—</w:t>
            </w:r>
          </w:p>
        </w:tc>
      </w:tr>
      <w:tr w:rsidR="00790957" w:rsidRPr="003A1E8D" w14:paraId="5BD398A8" w14:textId="77777777" w:rsidTr="00F41589">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932" w:type="dxa"/>
            <w:tcBorders>
              <w:top w:val="nil"/>
              <w:bottom w:val="nil"/>
            </w:tcBorders>
            <w:hideMark/>
          </w:tcPr>
          <w:p w14:paraId="48134B8D" w14:textId="77777777" w:rsidR="00790957" w:rsidRPr="003A1E8D" w:rsidRDefault="00790957" w:rsidP="00F41589">
            <w:pPr>
              <w:spacing w:before="100" w:beforeAutospacing="1" w:after="100" w:afterAutospacing="1"/>
              <w:rPr>
                <w:rFonts w:eastAsia="Times New Roman" w:cs="Times New Roman"/>
                <w:b w:val="0"/>
                <w:bCs w:val="0"/>
                <w:szCs w:val="24"/>
                <w:lang w:val="es-ES" w:eastAsia="es-ES"/>
              </w:rPr>
            </w:pPr>
            <w:r w:rsidRPr="003A1E8D">
              <w:rPr>
                <w:rFonts w:eastAsia="Times New Roman" w:cs="Times New Roman"/>
                <w:b w:val="0"/>
                <w:bCs w:val="0"/>
                <w:szCs w:val="24"/>
                <w:lang w:val="es-ES" w:eastAsia="es-ES"/>
              </w:rPr>
              <w:t xml:space="preserve">Mean </w:t>
            </w:r>
            <w:proofErr w:type="spellStart"/>
            <w:r w:rsidRPr="003A1E8D">
              <w:rPr>
                <w:rFonts w:eastAsia="Times New Roman" w:cs="Times New Roman"/>
                <w:b w:val="0"/>
                <w:bCs w:val="0"/>
                <w:szCs w:val="24"/>
                <w:lang w:val="es-ES" w:eastAsia="es-ES"/>
              </w:rPr>
              <w:t>citations</w:t>
            </w:r>
            <w:proofErr w:type="spellEnd"/>
            <w:r w:rsidRPr="003A1E8D">
              <w:rPr>
                <w:rFonts w:eastAsia="Times New Roman" w:cs="Times New Roman"/>
                <w:b w:val="0"/>
                <w:bCs w:val="0"/>
                <w:szCs w:val="24"/>
                <w:lang w:val="es-ES" w:eastAsia="es-ES"/>
              </w:rPr>
              <w:t xml:space="preserve"> per </w:t>
            </w:r>
            <w:proofErr w:type="spellStart"/>
            <w:r w:rsidRPr="003A1E8D">
              <w:rPr>
                <w:rFonts w:eastAsia="Times New Roman" w:cs="Times New Roman"/>
                <w:b w:val="0"/>
                <w:bCs w:val="0"/>
                <w:szCs w:val="24"/>
                <w:lang w:val="es-ES" w:eastAsia="es-ES"/>
              </w:rPr>
              <w:t>article</w:t>
            </w:r>
            <w:proofErr w:type="spellEnd"/>
          </w:p>
        </w:tc>
        <w:tc>
          <w:tcPr>
            <w:tcW w:w="5006" w:type="dxa"/>
            <w:tcBorders>
              <w:top w:val="nil"/>
              <w:bottom w:val="nil"/>
            </w:tcBorders>
            <w:hideMark/>
          </w:tcPr>
          <w:p w14:paraId="27463EB6" w14:textId="77777777" w:rsidR="00790957" w:rsidRPr="003A1E8D" w:rsidRDefault="00790957" w:rsidP="00F4158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eastAsia="es-ES"/>
              </w:rPr>
            </w:pPr>
            <w:r w:rsidRPr="003A1E8D">
              <w:rPr>
                <w:rFonts w:eastAsia="Times New Roman" w:cs="Times New Roman"/>
                <w:szCs w:val="24"/>
                <w:lang w:val="es-ES" w:eastAsia="es-ES"/>
              </w:rPr>
              <w:t>—</w:t>
            </w:r>
          </w:p>
        </w:tc>
        <w:tc>
          <w:tcPr>
            <w:tcW w:w="1719" w:type="dxa"/>
            <w:tcBorders>
              <w:top w:val="nil"/>
              <w:bottom w:val="nil"/>
            </w:tcBorders>
            <w:hideMark/>
          </w:tcPr>
          <w:p w14:paraId="4CE08177" w14:textId="77777777" w:rsidR="00790957" w:rsidRPr="003A1E8D" w:rsidRDefault="00790957" w:rsidP="00F4158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eastAsia="es-ES"/>
              </w:rPr>
            </w:pPr>
            <w:r w:rsidRPr="003A1E8D">
              <w:rPr>
                <w:rFonts w:eastAsia="Times New Roman" w:cs="Times New Roman"/>
                <w:szCs w:val="24"/>
                <w:lang w:val="es-ES" w:eastAsia="es-ES"/>
              </w:rPr>
              <w:t>14.4</w:t>
            </w:r>
          </w:p>
        </w:tc>
      </w:tr>
      <w:tr w:rsidR="00790957" w:rsidRPr="003A1E8D" w14:paraId="4A323D62" w14:textId="77777777" w:rsidTr="00F41589">
        <w:trPr>
          <w:trHeight w:val="427"/>
        </w:trPr>
        <w:tc>
          <w:tcPr>
            <w:cnfStyle w:val="001000000000" w:firstRow="0" w:lastRow="0" w:firstColumn="1" w:lastColumn="0" w:oddVBand="0" w:evenVBand="0" w:oddHBand="0" w:evenHBand="0" w:firstRowFirstColumn="0" w:firstRowLastColumn="0" w:lastRowFirstColumn="0" w:lastRowLastColumn="0"/>
            <w:tcW w:w="2932" w:type="dxa"/>
            <w:tcBorders>
              <w:top w:val="nil"/>
              <w:bottom w:val="nil"/>
            </w:tcBorders>
            <w:hideMark/>
          </w:tcPr>
          <w:p w14:paraId="5F944A7C" w14:textId="77777777" w:rsidR="00790957" w:rsidRPr="003A1E8D" w:rsidRDefault="00790957" w:rsidP="00F41589">
            <w:pPr>
              <w:spacing w:before="100" w:beforeAutospacing="1" w:after="100" w:afterAutospacing="1"/>
              <w:rPr>
                <w:rFonts w:eastAsia="Times New Roman" w:cs="Times New Roman"/>
                <w:b w:val="0"/>
                <w:bCs w:val="0"/>
                <w:szCs w:val="24"/>
                <w:lang w:val="es-ES" w:eastAsia="es-ES"/>
              </w:rPr>
            </w:pPr>
            <w:proofErr w:type="spellStart"/>
            <w:r w:rsidRPr="003A1E8D">
              <w:rPr>
                <w:rFonts w:eastAsia="Times New Roman" w:cs="Times New Roman"/>
                <w:b w:val="0"/>
                <w:bCs w:val="0"/>
                <w:szCs w:val="24"/>
                <w:lang w:val="es-ES" w:eastAsia="es-ES"/>
              </w:rPr>
              <w:t>Citation</w:t>
            </w:r>
            <w:proofErr w:type="spellEnd"/>
            <w:r w:rsidRPr="003A1E8D">
              <w:rPr>
                <w:rFonts w:eastAsia="Times New Roman" w:cs="Times New Roman"/>
                <w:b w:val="0"/>
                <w:bCs w:val="0"/>
                <w:szCs w:val="24"/>
                <w:lang w:val="es-ES" w:eastAsia="es-ES"/>
              </w:rPr>
              <w:t xml:space="preserve"> </w:t>
            </w:r>
            <w:proofErr w:type="spellStart"/>
            <w:r w:rsidRPr="003A1E8D">
              <w:rPr>
                <w:rFonts w:eastAsia="Times New Roman" w:cs="Times New Roman"/>
                <w:b w:val="0"/>
                <w:bCs w:val="0"/>
                <w:szCs w:val="24"/>
                <w:lang w:val="es-ES" w:eastAsia="es-ES"/>
              </w:rPr>
              <w:t>range</w:t>
            </w:r>
            <w:proofErr w:type="spellEnd"/>
          </w:p>
        </w:tc>
        <w:tc>
          <w:tcPr>
            <w:tcW w:w="5006" w:type="dxa"/>
            <w:tcBorders>
              <w:top w:val="nil"/>
              <w:bottom w:val="nil"/>
            </w:tcBorders>
            <w:hideMark/>
          </w:tcPr>
          <w:p w14:paraId="56FA4EA3" w14:textId="77777777" w:rsidR="00790957" w:rsidRPr="003A1E8D" w:rsidRDefault="00790957" w:rsidP="00F4158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eastAsia="es-ES"/>
              </w:rPr>
            </w:pPr>
            <w:proofErr w:type="spellStart"/>
            <w:r w:rsidRPr="003A1E8D">
              <w:rPr>
                <w:rFonts w:eastAsia="Times New Roman" w:cs="Times New Roman"/>
                <w:szCs w:val="24"/>
                <w:lang w:val="es-ES" w:eastAsia="es-ES"/>
              </w:rPr>
              <w:t>Minimum</w:t>
            </w:r>
            <w:proofErr w:type="spellEnd"/>
            <w:r w:rsidRPr="003A1E8D">
              <w:rPr>
                <w:rFonts w:eastAsia="Times New Roman" w:cs="Times New Roman"/>
                <w:szCs w:val="24"/>
                <w:lang w:val="es-ES" w:eastAsia="es-ES"/>
              </w:rPr>
              <w:t>–</w:t>
            </w:r>
            <w:proofErr w:type="spellStart"/>
            <w:r w:rsidRPr="003A1E8D">
              <w:rPr>
                <w:rFonts w:eastAsia="Times New Roman" w:cs="Times New Roman"/>
                <w:szCs w:val="24"/>
                <w:lang w:val="es-ES" w:eastAsia="es-ES"/>
              </w:rPr>
              <w:t>maximum</w:t>
            </w:r>
            <w:proofErr w:type="spellEnd"/>
            <w:r w:rsidRPr="003A1E8D">
              <w:rPr>
                <w:rFonts w:eastAsia="Times New Roman" w:cs="Times New Roman"/>
                <w:szCs w:val="24"/>
                <w:lang w:val="es-ES" w:eastAsia="es-ES"/>
              </w:rPr>
              <w:t xml:space="preserve"> </w:t>
            </w:r>
            <w:proofErr w:type="spellStart"/>
            <w:r w:rsidRPr="003A1E8D">
              <w:rPr>
                <w:rFonts w:eastAsia="Times New Roman" w:cs="Times New Roman"/>
                <w:szCs w:val="24"/>
                <w:lang w:val="es-ES" w:eastAsia="es-ES"/>
              </w:rPr>
              <w:t>citations</w:t>
            </w:r>
            <w:proofErr w:type="spellEnd"/>
          </w:p>
        </w:tc>
        <w:tc>
          <w:tcPr>
            <w:tcW w:w="1719" w:type="dxa"/>
            <w:tcBorders>
              <w:top w:val="nil"/>
              <w:bottom w:val="nil"/>
            </w:tcBorders>
            <w:hideMark/>
          </w:tcPr>
          <w:p w14:paraId="5BA7AA04" w14:textId="77777777" w:rsidR="00790957" w:rsidRPr="003A1E8D" w:rsidRDefault="00790957" w:rsidP="00F4158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eastAsia="es-ES"/>
              </w:rPr>
            </w:pPr>
            <w:r w:rsidRPr="003A1E8D">
              <w:rPr>
                <w:rFonts w:eastAsia="Times New Roman" w:cs="Times New Roman"/>
                <w:szCs w:val="24"/>
                <w:lang w:val="es-ES" w:eastAsia="es-ES"/>
              </w:rPr>
              <w:t>0–540</w:t>
            </w:r>
          </w:p>
        </w:tc>
      </w:tr>
      <w:tr w:rsidR="00790957" w:rsidRPr="003A1E8D" w14:paraId="097DD9C9" w14:textId="77777777" w:rsidTr="00F41589">
        <w:trPr>
          <w:cnfStyle w:val="000000100000" w:firstRow="0" w:lastRow="0" w:firstColumn="0" w:lastColumn="0" w:oddVBand="0" w:evenVBand="0" w:oddHBand="1" w:evenHBand="0" w:firstRowFirstColumn="0" w:firstRowLastColumn="0" w:lastRowFirstColumn="0" w:lastRowLastColumn="0"/>
          <w:trHeight w:val="1837"/>
        </w:trPr>
        <w:tc>
          <w:tcPr>
            <w:cnfStyle w:val="001000000000" w:firstRow="0" w:lastRow="0" w:firstColumn="1" w:lastColumn="0" w:oddVBand="0" w:evenVBand="0" w:oddHBand="0" w:evenHBand="0" w:firstRowFirstColumn="0" w:firstRowLastColumn="0" w:lastRowFirstColumn="0" w:lastRowLastColumn="0"/>
            <w:tcW w:w="2932" w:type="dxa"/>
            <w:tcBorders>
              <w:top w:val="nil"/>
              <w:bottom w:val="nil"/>
            </w:tcBorders>
            <w:hideMark/>
          </w:tcPr>
          <w:p w14:paraId="0469C1F4" w14:textId="77777777" w:rsidR="00790957" w:rsidRPr="003A1E8D" w:rsidRDefault="00790957" w:rsidP="00F41589">
            <w:pPr>
              <w:spacing w:before="100" w:beforeAutospacing="1" w:after="100" w:afterAutospacing="1"/>
              <w:rPr>
                <w:rFonts w:eastAsia="Times New Roman" w:cs="Times New Roman"/>
                <w:b w:val="0"/>
                <w:bCs w:val="0"/>
                <w:szCs w:val="24"/>
                <w:lang w:val="es-ES" w:eastAsia="es-ES"/>
              </w:rPr>
            </w:pPr>
            <w:proofErr w:type="spellStart"/>
            <w:r w:rsidRPr="003A1E8D">
              <w:rPr>
                <w:rFonts w:eastAsia="Times New Roman" w:cs="Times New Roman"/>
                <w:b w:val="0"/>
                <w:bCs w:val="0"/>
                <w:szCs w:val="24"/>
                <w:lang w:val="es-ES" w:eastAsia="es-ES"/>
              </w:rPr>
              <w:t>Most</w:t>
            </w:r>
            <w:proofErr w:type="spellEnd"/>
            <w:r w:rsidRPr="003A1E8D">
              <w:rPr>
                <w:rFonts w:eastAsia="Times New Roman" w:cs="Times New Roman"/>
                <w:b w:val="0"/>
                <w:bCs w:val="0"/>
                <w:szCs w:val="24"/>
                <w:lang w:val="es-ES" w:eastAsia="es-ES"/>
              </w:rPr>
              <w:t xml:space="preserve"> </w:t>
            </w:r>
            <w:proofErr w:type="spellStart"/>
            <w:r w:rsidRPr="003A1E8D">
              <w:rPr>
                <w:rFonts w:eastAsia="Times New Roman" w:cs="Times New Roman"/>
                <w:b w:val="0"/>
                <w:bCs w:val="0"/>
                <w:szCs w:val="24"/>
                <w:lang w:val="es-ES" w:eastAsia="es-ES"/>
              </w:rPr>
              <w:t>recurrent</w:t>
            </w:r>
            <w:proofErr w:type="spellEnd"/>
            <w:r w:rsidRPr="003A1E8D">
              <w:rPr>
                <w:rFonts w:eastAsia="Times New Roman" w:cs="Times New Roman"/>
                <w:b w:val="0"/>
                <w:bCs w:val="0"/>
                <w:szCs w:val="24"/>
                <w:lang w:val="es-ES" w:eastAsia="es-ES"/>
              </w:rPr>
              <w:t xml:space="preserve"> </w:t>
            </w:r>
            <w:proofErr w:type="spellStart"/>
            <w:r w:rsidRPr="003A1E8D">
              <w:rPr>
                <w:rFonts w:eastAsia="Times New Roman" w:cs="Times New Roman"/>
                <w:b w:val="0"/>
                <w:bCs w:val="0"/>
                <w:szCs w:val="24"/>
                <w:lang w:val="es-ES" w:eastAsia="es-ES"/>
              </w:rPr>
              <w:t>author</w:t>
            </w:r>
            <w:proofErr w:type="spellEnd"/>
            <w:r w:rsidRPr="003A1E8D">
              <w:rPr>
                <w:rFonts w:eastAsia="Times New Roman" w:cs="Times New Roman"/>
                <w:b w:val="0"/>
                <w:bCs w:val="0"/>
                <w:szCs w:val="24"/>
                <w:lang w:val="es-ES" w:eastAsia="es-ES"/>
              </w:rPr>
              <w:t xml:space="preserve"> </w:t>
            </w:r>
            <w:proofErr w:type="spellStart"/>
            <w:r w:rsidRPr="003A1E8D">
              <w:rPr>
                <w:rFonts w:eastAsia="Times New Roman" w:cs="Times New Roman"/>
                <w:b w:val="0"/>
                <w:bCs w:val="0"/>
                <w:szCs w:val="24"/>
                <w:lang w:val="es-ES" w:eastAsia="es-ES"/>
              </w:rPr>
              <w:t>keywords</w:t>
            </w:r>
            <w:proofErr w:type="spellEnd"/>
          </w:p>
        </w:tc>
        <w:tc>
          <w:tcPr>
            <w:tcW w:w="5006" w:type="dxa"/>
            <w:tcBorders>
              <w:top w:val="nil"/>
              <w:bottom w:val="nil"/>
            </w:tcBorders>
            <w:hideMark/>
          </w:tcPr>
          <w:p w14:paraId="68426FF3" w14:textId="77777777" w:rsidR="00790957" w:rsidRPr="003A1E8D" w:rsidRDefault="00790957" w:rsidP="00F4158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GB" w:eastAsia="es-ES"/>
              </w:rPr>
            </w:pPr>
            <w:r w:rsidRPr="003A1E8D">
              <w:rPr>
                <w:rFonts w:eastAsia="Times New Roman" w:cs="Times New Roman"/>
                <w:i/>
                <w:iCs/>
                <w:szCs w:val="24"/>
                <w:lang w:val="en-GB" w:eastAsia="es-ES"/>
              </w:rPr>
              <w:t>technology acceptance model</w:t>
            </w:r>
            <w:r w:rsidRPr="003A1E8D">
              <w:rPr>
                <w:rFonts w:eastAsia="Times New Roman" w:cs="Times New Roman"/>
                <w:szCs w:val="24"/>
                <w:lang w:val="en-GB" w:eastAsia="es-ES"/>
              </w:rPr>
              <w:t xml:space="preserve"> (88); </w:t>
            </w:r>
            <w:r w:rsidRPr="003A1E8D">
              <w:rPr>
                <w:rFonts w:eastAsia="Times New Roman" w:cs="Times New Roman"/>
                <w:i/>
                <w:iCs/>
                <w:szCs w:val="24"/>
                <w:lang w:val="en-GB" w:eastAsia="es-ES"/>
              </w:rPr>
              <w:t>technology acceptance</w:t>
            </w:r>
            <w:r w:rsidRPr="003A1E8D">
              <w:rPr>
                <w:rFonts w:eastAsia="Times New Roman" w:cs="Times New Roman"/>
                <w:szCs w:val="24"/>
                <w:lang w:val="en-GB" w:eastAsia="es-ES"/>
              </w:rPr>
              <w:t xml:space="preserve"> (73); </w:t>
            </w:r>
            <w:r w:rsidRPr="003A1E8D">
              <w:rPr>
                <w:rFonts w:eastAsia="Times New Roman" w:cs="Times New Roman"/>
                <w:i/>
                <w:iCs/>
                <w:szCs w:val="24"/>
                <w:lang w:val="en-GB" w:eastAsia="es-ES"/>
              </w:rPr>
              <w:t>UTAUT</w:t>
            </w:r>
            <w:r w:rsidRPr="003A1E8D">
              <w:rPr>
                <w:rFonts w:eastAsia="Times New Roman" w:cs="Times New Roman"/>
                <w:szCs w:val="24"/>
                <w:lang w:val="en-GB" w:eastAsia="es-ES"/>
              </w:rPr>
              <w:t xml:space="preserve"> (50); </w:t>
            </w:r>
            <w:r w:rsidRPr="003A1E8D">
              <w:rPr>
                <w:rFonts w:eastAsia="Times New Roman" w:cs="Times New Roman"/>
                <w:i/>
                <w:iCs/>
                <w:szCs w:val="24"/>
                <w:lang w:val="en-GB" w:eastAsia="es-ES"/>
              </w:rPr>
              <w:t>sustainability</w:t>
            </w:r>
            <w:r w:rsidRPr="003A1E8D">
              <w:rPr>
                <w:rFonts w:eastAsia="Times New Roman" w:cs="Times New Roman"/>
                <w:szCs w:val="24"/>
                <w:lang w:val="en-GB" w:eastAsia="es-ES"/>
              </w:rPr>
              <w:t xml:space="preserve"> (43); </w:t>
            </w:r>
            <w:r w:rsidRPr="003A1E8D">
              <w:rPr>
                <w:rFonts w:eastAsia="Times New Roman" w:cs="Times New Roman"/>
                <w:i/>
                <w:iCs/>
                <w:szCs w:val="24"/>
                <w:lang w:val="en-GB" w:eastAsia="es-ES"/>
              </w:rPr>
              <w:t>UTAUT2</w:t>
            </w:r>
            <w:r w:rsidRPr="003A1E8D">
              <w:rPr>
                <w:rFonts w:eastAsia="Times New Roman" w:cs="Times New Roman"/>
                <w:szCs w:val="24"/>
                <w:lang w:val="en-GB" w:eastAsia="es-ES"/>
              </w:rPr>
              <w:t xml:space="preserve"> (36); </w:t>
            </w:r>
            <w:r w:rsidRPr="003A1E8D">
              <w:rPr>
                <w:rFonts w:eastAsia="Times New Roman" w:cs="Times New Roman"/>
                <w:i/>
                <w:iCs/>
                <w:szCs w:val="24"/>
                <w:lang w:val="en-GB" w:eastAsia="es-ES"/>
              </w:rPr>
              <w:t>technology adoption</w:t>
            </w:r>
            <w:r w:rsidRPr="003A1E8D">
              <w:rPr>
                <w:rFonts w:eastAsia="Times New Roman" w:cs="Times New Roman"/>
                <w:szCs w:val="24"/>
                <w:lang w:val="en-GB" w:eastAsia="es-ES"/>
              </w:rPr>
              <w:t xml:space="preserve"> (33); </w:t>
            </w:r>
            <w:r w:rsidRPr="003A1E8D">
              <w:rPr>
                <w:rFonts w:eastAsia="Times New Roman" w:cs="Times New Roman"/>
                <w:i/>
                <w:iCs/>
                <w:szCs w:val="24"/>
                <w:lang w:val="en-GB" w:eastAsia="es-ES"/>
              </w:rPr>
              <w:t>higher education</w:t>
            </w:r>
            <w:r w:rsidRPr="003A1E8D">
              <w:rPr>
                <w:rFonts w:eastAsia="Times New Roman" w:cs="Times New Roman"/>
                <w:szCs w:val="24"/>
                <w:lang w:val="en-GB" w:eastAsia="es-ES"/>
              </w:rPr>
              <w:t xml:space="preserve"> (31); </w:t>
            </w:r>
            <w:r w:rsidRPr="003A1E8D">
              <w:rPr>
                <w:rFonts w:eastAsia="Times New Roman" w:cs="Times New Roman"/>
                <w:i/>
                <w:iCs/>
                <w:szCs w:val="24"/>
                <w:lang w:val="en-GB" w:eastAsia="es-ES"/>
              </w:rPr>
              <w:t>artificial intelligence</w:t>
            </w:r>
            <w:r w:rsidRPr="003A1E8D">
              <w:rPr>
                <w:rFonts w:eastAsia="Times New Roman" w:cs="Times New Roman"/>
                <w:szCs w:val="24"/>
                <w:lang w:val="en-GB" w:eastAsia="es-ES"/>
              </w:rPr>
              <w:t xml:space="preserve"> (30); </w:t>
            </w:r>
            <w:r w:rsidRPr="003A1E8D">
              <w:rPr>
                <w:rFonts w:eastAsia="Times New Roman" w:cs="Times New Roman"/>
                <w:i/>
                <w:iCs/>
                <w:szCs w:val="24"/>
                <w:lang w:val="en-GB" w:eastAsia="es-ES"/>
              </w:rPr>
              <w:t>behavioural intention</w:t>
            </w:r>
            <w:r w:rsidRPr="003A1E8D">
              <w:rPr>
                <w:rFonts w:eastAsia="Times New Roman" w:cs="Times New Roman"/>
                <w:szCs w:val="24"/>
                <w:lang w:val="en-GB" w:eastAsia="es-ES"/>
              </w:rPr>
              <w:t xml:space="preserve"> (29); </w:t>
            </w:r>
            <w:r w:rsidRPr="003A1E8D">
              <w:rPr>
                <w:rFonts w:eastAsia="Times New Roman" w:cs="Times New Roman"/>
                <w:i/>
                <w:iCs/>
                <w:szCs w:val="24"/>
                <w:lang w:val="en-GB" w:eastAsia="es-ES"/>
              </w:rPr>
              <w:t>structural equation modelling</w:t>
            </w:r>
            <w:r w:rsidRPr="003A1E8D">
              <w:rPr>
                <w:rFonts w:eastAsia="Times New Roman" w:cs="Times New Roman"/>
                <w:szCs w:val="24"/>
                <w:lang w:val="en-GB" w:eastAsia="es-ES"/>
              </w:rPr>
              <w:t xml:space="preserve"> (24)</w:t>
            </w:r>
          </w:p>
        </w:tc>
        <w:tc>
          <w:tcPr>
            <w:tcW w:w="1719" w:type="dxa"/>
            <w:tcBorders>
              <w:top w:val="nil"/>
              <w:bottom w:val="nil"/>
            </w:tcBorders>
            <w:hideMark/>
          </w:tcPr>
          <w:p w14:paraId="57CDB3F6" w14:textId="77777777" w:rsidR="00790957" w:rsidRPr="003A1E8D" w:rsidRDefault="00790957" w:rsidP="00F4158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s-ES" w:eastAsia="es-ES"/>
              </w:rPr>
            </w:pPr>
            <w:r w:rsidRPr="003A1E8D">
              <w:rPr>
                <w:rFonts w:eastAsia="Times New Roman" w:cs="Times New Roman"/>
                <w:szCs w:val="24"/>
                <w:lang w:val="es-ES" w:eastAsia="es-ES"/>
              </w:rPr>
              <w:t>—</w:t>
            </w:r>
          </w:p>
        </w:tc>
      </w:tr>
      <w:tr w:rsidR="00790957" w:rsidRPr="003A1E8D" w14:paraId="57D982C2" w14:textId="77777777" w:rsidTr="00F41589">
        <w:trPr>
          <w:trHeight w:val="392"/>
        </w:trPr>
        <w:tc>
          <w:tcPr>
            <w:cnfStyle w:val="001000000000" w:firstRow="0" w:lastRow="0" w:firstColumn="1" w:lastColumn="0" w:oddVBand="0" w:evenVBand="0" w:oddHBand="0" w:evenHBand="0" w:firstRowFirstColumn="0" w:firstRowLastColumn="0" w:lastRowFirstColumn="0" w:lastRowLastColumn="0"/>
            <w:tcW w:w="2932" w:type="dxa"/>
            <w:tcBorders>
              <w:top w:val="nil"/>
            </w:tcBorders>
            <w:hideMark/>
          </w:tcPr>
          <w:p w14:paraId="3C189956" w14:textId="77777777" w:rsidR="00790957" w:rsidRPr="003A1E8D" w:rsidRDefault="00790957" w:rsidP="00F41589">
            <w:pPr>
              <w:spacing w:before="100" w:beforeAutospacing="1" w:after="100" w:afterAutospacing="1"/>
              <w:rPr>
                <w:rFonts w:eastAsia="Times New Roman" w:cs="Times New Roman"/>
                <w:b w:val="0"/>
                <w:bCs w:val="0"/>
                <w:szCs w:val="24"/>
                <w:lang w:val="es-ES" w:eastAsia="es-ES"/>
              </w:rPr>
            </w:pPr>
            <w:proofErr w:type="spellStart"/>
            <w:r w:rsidRPr="003A1E8D">
              <w:rPr>
                <w:rFonts w:eastAsia="Times New Roman" w:cs="Times New Roman"/>
                <w:b w:val="0"/>
                <w:bCs w:val="0"/>
                <w:szCs w:val="24"/>
                <w:lang w:val="es-ES" w:eastAsia="es-ES"/>
              </w:rPr>
              <w:t>Language</w:t>
            </w:r>
            <w:proofErr w:type="spellEnd"/>
          </w:p>
        </w:tc>
        <w:tc>
          <w:tcPr>
            <w:tcW w:w="5006" w:type="dxa"/>
            <w:tcBorders>
              <w:top w:val="nil"/>
            </w:tcBorders>
            <w:hideMark/>
          </w:tcPr>
          <w:p w14:paraId="16BF3D41" w14:textId="77777777" w:rsidR="00790957" w:rsidRPr="003A1E8D" w:rsidRDefault="00790957" w:rsidP="00F4158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eastAsia="es-ES"/>
              </w:rPr>
            </w:pPr>
            <w:proofErr w:type="spellStart"/>
            <w:r w:rsidRPr="003A1E8D">
              <w:rPr>
                <w:rFonts w:eastAsia="Times New Roman" w:cs="Times New Roman"/>
                <w:szCs w:val="24"/>
                <w:lang w:val="es-ES" w:eastAsia="es-ES"/>
              </w:rPr>
              <w:t>Articles</w:t>
            </w:r>
            <w:proofErr w:type="spellEnd"/>
            <w:r w:rsidRPr="003A1E8D">
              <w:rPr>
                <w:rFonts w:eastAsia="Times New Roman" w:cs="Times New Roman"/>
                <w:szCs w:val="24"/>
                <w:lang w:val="es-ES" w:eastAsia="es-ES"/>
              </w:rPr>
              <w:t xml:space="preserve"> </w:t>
            </w:r>
            <w:proofErr w:type="spellStart"/>
            <w:r w:rsidRPr="003A1E8D">
              <w:rPr>
                <w:rFonts w:eastAsia="Times New Roman" w:cs="Times New Roman"/>
                <w:szCs w:val="24"/>
                <w:lang w:val="es-ES" w:eastAsia="es-ES"/>
              </w:rPr>
              <w:t>written</w:t>
            </w:r>
            <w:proofErr w:type="spellEnd"/>
            <w:r w:rsidRPr="003A1E8D">
              <w:rPr>
                <w:rFonts w:eastAsia="Times New Roman" w:cs="Times New Roman"/>
                <w:szCs w:val="24"/>
                <w:lang w:val="es-ES" w:eastAsia="es-ES"/>
              </w:rPr>
              <w:t xml:space="preserve"> in English</w:t>
            </w:r>
          </w:p>
        </w:tc>
        <w:tc>
          <w:tcPr>
            <w:tcW w:w="1719" w:type="dxa"/>
            <w:tcBorders>
              <w:top w:val="nil"/>
            </w:tcBorders>
            <w:hideMark/>
          </w:tcPr>
          <w:p w14:paraId="419DA541" w14:textId="77777777" w:rsidR="00790957" w:rsidRPr="003A1E8D" w:rsidRDefault="00790957" w:rsidP="00F4158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s-ES" w:eastAsia="es-ES"/>
              </w:rPr>
            </w:pPr>
            <w:r w:rsidRPr="003A1E8D">
              <w:rPr>
                <w:rFonts w:eastAsia="Times New Roman" w:cs="Times New Roman"/>
                <w:szCs w:val="24"/>
                <w:lang w:val="es-ES" w:eastAsia="es-ES"/>
              </w:rPr>
              <w:t>100 %</w:t>
            </w:r>
          </w:p>
        </w:tc>
      </w:tr>
    </w:tbl>
    <w:p w14:paraId="4E7A25A4" w14:textId="52E7E44A" w:rsidR="00790957" w:rsidRPr="003A1E8D" w:rsidRDefault="00790957" w:rsidP="00790957">
      <w:pPr>
        <w:spacing w:before="100" w:beforeAutospacing="1" w:after="100" w:afterAutospacing="1"/>
        <w:rPr>
          <w:rFonts w:eastAsia="Times New Roman" w:cs="Times New Roman"/>
          <w:szCs w:val="24"/>
          <w:lang w:val="en-GB" w:eastAsia="es-ES"/>
        </w:rPr>
      </w:pPr>
      <w:r w:rsidRPr="003A1E8D">
        <w:rPr>
          <w:rFonts w:eastAsia="Times New Roman" w:cs="Times New Roman"/>
          <w:i/>
          <w:iCs/>
          <w:szCs w:val="24"/>
          <w:lang w:val="en-GB" w:eastAsia="es-ES"/>
        </w:rPr>
        <w:t xml:space="preserve">Source: </w:t>
      </w:r>
      <w:r w:rsidR="00FE0AFB" w:rsidRPr="00FE0AFB">
        <w:rPr>
          <w:rFonts w:eastAsia="Times New Roman" w:cs="Times New Roman"/>
          <w:i/>
          <w:iCs/>
          <w:szCs w:val="24"/>
          <w:lang w:eastAsia="es-ES"/>
        </w:rPr>
        <w:t>authors’ elaboration based on Scopus data (retrieved October 2025).</w:t>
      </w:r>
    </w:p>
    <w:p w14:paraId="1C8A454F" w14:textId="77777777" w:rsidR="00FE0AFB" w:rsidRDefault="00FE0AFB" w:rsidP="00FE0AFB">
      <w:pPr>
        <w:pStyle w:val="NormalWeb"/>
      </w:pPr>
      <w:r>
        <w:t>Keyword frequencies further underscore the central position of the Technology Acceptance Model within the corpus, which appeared 88 times in author keywords, alongside closely related constructs such as technology acceptance (73 occurrences), UTAUT (50), and sustainability (43). The recurrence of application-oriented terms, including artificial intelligence, higher education, and behavioural intention, points to an increasing diversification of empirical domains and analytical perspectives in which technology acceptance frameworks are being applied.</w:t>
      </w:r>
    </w:p>
    <w:p w14:paraId="7F919F98" w14:textId="2567453A" w:rsidR="00FE0AFB" w:rsidRDefault="00FE0AFB" w:rsidP="00FE0AFB">
      <w:pPr>
        <w:pStyle w:val="NormalWeb"/>
      </w:pPr>
      <w:r>
        <w:t>Additional descriptive patterns, covering annual publication trends, journal distribution, keyword frequencies, and country-level contributions, are provided in Supplementary Figures S1-S4. These materials complement the overview presented in this section and support the bibliometric and analytical interpretation developed in the subsequent section.</w:t>
      </w:r>
    </w:p>
    <w:p w14:paraId="6BC0DDCC" w14:textId="4E6B5795" w:rsidR="0097502E" w:rsidRDefault="0097502E" w:rsidP="0097502E">
      <w:pPr>
        <w:pStyle w:val="Ttulo1"/>
      </w:pPr>
      <w:r>
        <w:t>Conceptual and analytical finding</w:t>
      </w:r>
    </w:p>
    <w:p w14:paraId="332D23CE" w14:textId="77777777" w:rsidR="00962EF4" w:rsidRDefault="00962EF4" w:rsidP="00962EF4">
      <w:r>
        <w:lastRenderedPageBreak/>
        <w:t>This section presents the conceptual and analytical findings derived from the bibliometric mapping and structured expert elicitation procedures outlined in the previous section. Rather than reporting empirical results or statistically validated relationships, the analysis focuses on identifying recurrent thematic configurations, conceptual associations, and expert-based analytical emphases that characterise the contemporary literature on green technology adoption.</w:t>
      </w:r>
    </w:p>
    <w:p w14:paraId="65C37179" w14:textId="77777777" w:rsidR="00962EF4" w:rsidRDefault="00962EF4" w:rsidP="00962EF4">
      <w:r>
        <w:t>The findings are organised following a progressive analytical logic. First, keyword co-occurrence patterns are examined to outline the thematic structure of the field and to identify how behavioural, institutional, and contextual constructs cluster within the literature. Second, the Analytic Hierarchy Process (AHP) is employed as a structured expert elicitation tool to organise and comparatively reflect on the relative analytical prominence of key behavioural and institutional dimensions emerging from the bibliometric analysis. Taken together, these approaches provide a conceptually grounded basis for interpreting the extended Technology Acceptance Model (TAM) proposed in this study.</w:t>
      </w:r>
    </w:p>
    <w:p w14:paraId="15E50E6B" w14:textId="77777777" w:rsidR="00962EF4" w:rsidRDefault="00962EF4" w:rsidP="00962EF4">
      <w:r>
        <w:t>Importantly, the analyses presented in this section are interpreted descriptively and conceptually. Co-occurrence structures and expert-based weightings are not treated as evidence of causal effects or predictive relationships, but as indicators of conceptual convergence and analytical orientation within the literature. This perspective allows the findings to inform theory development and framework consolidation while remaining consistent with the exploratory and theory-building objectives of the study.</w:t>
      </w:r>
    </w:p>
    <w:p w14:paraId="1A0400CA" w14:textId="4904D000" w:rsidR="002F744D" w:rsidRPr="00376CC5" w:rsidRDefault="00711B4B" w:rsidP="0097502E">
      <w:pPr>
        <w:pStyle w:val="Ttulo2"/>
      </w:pPr>
      <w:r>
        <w:t xml:space="preserve">Keyword </w:t>
      </w:r>
      <w:r w:rsidR="0097502E">
        <w:t>c</w:t>
      </w:r>
      <w:r>
        <w:t>o-occurrence</w:t>
      </w:r>
      <w:r w:rsidR="004504B0">
        <w:t xml:space="preserve"> and thematic</w:t>
      </w:r>
      <w:r>
        <w:t xml:space="preserve"> </w:t>
      </w:r>
      <w:r w:rsidR="0097502E">
        <w:t>s</w:t>
      </w:r>
      <w:r>
        <w:t>tructure</w:t>
      </w:r>
      <w:r w:rsidR="00117666" w:rsidRPr="00376CC5">
        <w:t xml:space="preserve"> </w:t>
      </w:r>
    </w:p>
    <w:p w14:paraId="751A71B5" w14:textId="77777777" w:rsidR="004504B0" w:rsidRDefault="004504B0" w:rsidP="004504B0">
      <w:r>
        <w:t xml:space="preserve">The keyword co-occurrence analysis offers a descriptive overview of the main thematic patterns emerging from the 789 articles included in the literature corpus. Using </w:t>
      </w:r>
      <w:proofErr w:type="spellStart"/>
      <w:r>
        <w:t>VOSviewer</w:t>
      </w:r>
      <w:proofErr w:type="spellEnd"/>
      <w:r>
        <w:t xml:space="preserve"> (version 1.6.20), a co-occurrence network was generated based on author-provided keywords, applying a minimum occurrence threshold to ensure conceptual clarity while retaining the diversity of perspectives represented in the field.</w:t>
      </w:r>
    </w:p>
    <w:p w14:paraId="1C00B801" w14:textId="77777777" w:rsidR="00962EF4" w:rsidRDefault="00962EF4" w:rsidP="00711B4B">
      <w:r w:rsidRPr="00962EF4">
        <w:t xml:space="preserve">As shown in </w:t>
      </w:r>
      <w:r w:rsidRPr="00962EF4">
        <w:rPr>
          <w:b/>
          <w:bCs/>
        </w:rPr>
        <w:t>Figure 4</w:t>
      </w:r>
      <w:r w:rsidRPr="00962EF4">
        <w:t xml:space="preserve">, each node corresponds to an author keyword, with node size indicating relative frequency and spatial proximity reflecting the strength of co-occurrence relationships. The resulting network reveals a structured configuration of interconnected thematic areas rather than isolated research streams. Four </w:t>
      </w:r>
      <w:proofErr w:type="spellStart"/>
      <w:r w:rsidRPr="00962EF4">
        <w:t>colour</w:t>
      </w:r>
      <w:proofErr w:type="spellEnd"/>
      <w:r w:rsidRPr="00962EF4">
        <w:t>-coded clusters can be distinguished, each representing a dominant orientation within the contemporary literature on green technology adoption.</w:t>
      </w:r>
    </w:p>
    <w:p w14:paraId="308D0E93" w14:textId="1C32AC7C" w:rsidR="00630601" w:rsidRDefault="00630601" w:rsidP="00711B4B">
      <w:pPr>
        <w:rPr>
          <w:b/>
          <w:bCs/>
          <w:i/>
          <w:iCs/>
        </w:rPr>
      </w:pPr>
      <w:r w:rsidRPr="00630601">
        <w:rPr>
          <w:b/>
          <w:bCs/>
        </w:rPr>
        <w:t xml:space="preserve">Figure </w:t>
      </w:r>
      <w:r w:rsidR="005C6FC9">
        <w:rPr>
          <w:b/>
          <w:bCs/>
        </w:rPr>
        <w:t>4</w:t>
      </w:r>
      <w:r w:rsidRPr="00630601">
        <w:rPr>
          <w:b/>
          <w:bCs/>
        </w:rPr>
        <w:t xml:space="preserve">. </w:t>
      </w:r>
      <w:r w:rsidRPr="00630601">
        <w:t xml:space="preserve">Co-occurrence network of author keywords (minimum 20 occurrences) generated using </w:t>
      </w:r>
      <w:proofErr w:type="spellStart"/>
      <w:r w:rsidRPr="00630601">
        <w:t>VOSviewer</w:t>
      </w:r>
      <w:proofErr w:type="spellEnd"/>
      <w:r w:rsidRPr="00630601">
        <w:t xml:space="preserve">. </w:t>
      </w:r>
      <w:r w:rsidRPr="00630601">
        <w:rPr>
          <w:i/>
          <w:iCs/>
        </w:rPr>
        <w:t>Source: authors’ elaboration based on Scopus data (n = 789, retrieved October 2025).</w:t>
      </w:r>
    </w:p>
    <w:p w14:paraId="59F2AC58" w14:textId="77777777" w:rsidR="00513A65" w:rsidRDefault="00513A65" w:rsidP="00513A65">
      <w:r>
        <w:t xml:space="preserve">The first cluster (red) </w:t>
      </w:r>
      <w:proofErr w:type="spellStart"/>
      <w:r>
        <w:t>centres</w:t>
      </w:r>
      <w:proofErr w:type="spellEnd"/>
      <w:r>
        <w:t xml:space="preserve"> on behavioural and technological adoption frameworks, with a strong emphasis on the Technology Acceptance Model (TAM), UTAUT, behavioural intention, and processes of digital transformation. This cluster reflects the longstanding analytical focus on individual-level cognitive evaluations within technology acceptance research, consistent with cumulative evidence from TAM-based meta-analytical syntheses (Or, 2023).</w:t>
      </w:r>
    </w:p>
    <w:p w14:paraId="6827E49B" w14:textId="24B0C49B" w:rsidR="00561085" w:rsidRDefault="00561085" w:rsidP="00513A65">
      <w:r w:rsidRPr="00561085">
        <w:t>Recent contributions in this area also highlight the psychosocial implications of emerging digital technologies, particularly artificial intelligence, within educational contexts. Studies focusing on students’ cognitive, emotional, and social responses to AI-driven systems underline the relevance of acceptance models that go beyond instrumental performance and address broader psychological dimensions (</w:t>
      </w:r>
      <w:proofErr w:type="spellStart"/>
      <w:r w:rsidRPr="00561085">
        <w:t>Jardón</w:t>
      </w:r>
      <w:proofErr w:type="spellEnd"/>
      <w:r w:rsidRPr="00561085">
        <w:t xml:space="preserve"> Gallegos et al., 2024).</w:t>
      </w:r>
    </w:p>
    <w:p w14:paraId="4DCAA341" w14:textId="77777777" w:rsidR="00513A65" w:rsidRDefault="00513A65" w:rsidP="00513A65">
      <w:r>
        <w:lastRenderedPageBreak/>
        <w:t>The second cluster (green) is oriented towards sustainability and environmental perception, encompassing keywords related to green technology, environmental behaviour, sustainable development, and climate change. This thematic grouping highlights the increasing integration of environmental objectives into technology adoption studies, situating acceptance processes within broader sustainability and policy discourses.</w:t>
      </w:r>
    </w:p>
    <w:p w14:paraId="71E5D50B" w14:textId="77777777" w:rsidR="00513A65" w:rsidRDefault="00513A65" w:rsidP="00513A65">
      <w:r>
        <w:t>The third cluster (blue) brings together psychosocial and institutional dimensions, including trust, attitudes, perception, legitimacy, and institutional quality. The proximity of these concepts within the network suggests a growing analytical emphasis on the institutional and normative contexts in which technology adoption decisions are embedded, particularly in governance-intensive and public policy settings.</w:t>
      </w:r>
    </w:p>
    <w:p w14:paraId="192AFE6F" w14:textId="77777777" w:rsidR="00513A65" w:rsidRDefault="00513A65" w:rsidP="00513A65">
      <w:r>
        <w:t>The fourth cluster (yellow) relates to educational and applied contexts, with a concentration of keywords associated with higher education, e-learning, artificial intelligence, and digital literacy. This cluster reflects the prominence of educational environments as applied domains for examining technology acceptance and as testing grounds for conceptual extensions of behavioural models.</w:t>
      </w:r>
    </w:p>
    <w:p w14:paraId="216FB07B" w14:textId="77777777" w:rsidR="00513A65" w:rsidRDefault="00513A65" w:rsidP="00513A65">
      <w:r>
        <w:t>Taken together, the co-occurrence structure delineates a multidimensional conceptual landscape in which behavioural, environmental, and institutional perspectives intersect. Rather than indicating causal relationships, the observed clustering patterns point to areas of thematic convergence and analytical emphasis within the literature. In particular, the recurrent proximity between cognitive constructs (such as perceived usefulness and perceived ease of use) and institutional concepts (such as trust and legitimacy) signals an ongoing shift towards more integrative approaches to understanding sustainable technology adoption.</w:t>
      </w:r>
    </w:p>
    <w:p w14:paraId="54D23573" w14:textId="77777777" w:rsidR="00513A65" w:rsidRDefault="00513A65" w:rsidP="00513A65">
      <w:r>
        <w:t>These thematic patterns informed the subsequent use of structured expert elicitation, where the Analytic Hierarchy Process was employed as an organisational tool to comparatively examine the positioning of key behavioural and institutional dimensions within the extended TAM framework.</w:t>
      </w:r>
    </w:p>
    <w:p w14:paraId="3B5C25FE" w14:textId="0DC680A1" w:rsidR="002F744D" w:rsidRDefault="005C1088" w:rsidP="007D78B2">
      <w:pPr>
        <w:pStyle w:val="Ttulo2"/>
      </w:pPr>
      <w:r>
        <w:t>Structured expert perspectives from the Analytic Hierarchy Process</w:t>
      </w:r>
    </w:p>
    <w:p w14:paraId="1AA61585" w14:textId="77777777" w:rsidR="00513A65" w:rsidRDefault="005C1088" w:rsidP="00513A65">
      <w:pPr>
        <w:rPr>
          <w:b/>
          <w:bCs/>
          <w:lang w:val="en-GB" w:eastAsia="es-ES"/>
        </w:rPr>
      </w:pPr>
      <w:r>
        <w:t>The Analytic Hierarchy Process (AHP) was employed as a structured expert elicitation tool to organise and comparatively assess the positioning of key behavioural and institutional dimensions identified through the bibliometric and semantic analyses. Rather than serving as a method for empirical validation or parameter estimation, AHP was used to facilitate transparent and systematic articulation of expert perspectives in a complex, multi-dimensional conceptual setting (Tavana et al., 2023).</w:t>
      </w:r>
      <w:r w:rsidR="00513A65" w:rsidRPr="00513A65">
        <w:rPr>
          <w:b/>
          <w:bCs/>
          <w:lang w:val="en-GB" w:eastAsia="es-ES"/>
        </w:rPr>
        <w:t xml:space="preserve"> </w:t>
      </w:r>
    </w:p>
    <w:p w14:paraId="5FF96015" w14:textId="500B13A4" w:rsidR="00513A65" w:rsidRDefault="00513A65" w:rsidP="00513A65">
      <w:pPr>
        <w:rPr>
          <w:i/>
          <w:iCs/>
          <w:lang w:eastAsia="es-ES"/>
        </w:rPr>
      </w:pPr>
      <w:r w:rsidRPr="00233D4F">
        <w:rPr>
          <w:b/>
          <w:bCs/>
          <w:lang w:val="en-GB" w:eastAsia="es-ES"/>
        </w:rPr>
        <w:t>Figure 5.</w:t>
      </w:r>
      <w:r w:rsidRPr="00233D4F">
        <w:rPr>
          <w:lang w:val="en-GB" w:eastAsia="es-ES"/>
        </w:rPr>
        <w:t xml:space="preserve"> </w:t>
      </w:r>
      <w:r w:rsidRPr="00513A65">
        <w:rPr>
          <w:lang w:eastAsia="es-ES"/>
        </w:rPr>
        <w:t>Analytical Hierarchy Process (AHP) structure of the extended Technology Acceptance Model (TAM), integrating behavioural and institutional dimensions.</w:t>
      </w:r>
      <w:r>
        <w:rPr>
          <w:lang w:eastAsia="es-ES"/>
        </w:rPr>
        <w:t xml:space="preserve"> </w:t>
      </w:r>
      <w:r w:rsidRPr="005C1088">
        <w:rPr>
          <w:i/>
          <w:iCs/>
          <w:lang w:eastAsia="es-ES"/>
        </w:rPr>
        <w:t xml:space="preserve">Source: </w:t>
      </w:r>
      <w:r w:rsidRPr="00513A65">
        <w:rPr>
          <w:i/>
          <w:iCs/>
          <w:lang w:eastAsia="es-ES"/>
        </w:rPr>
        <w:t>authors’ elaboration (Scopus data and expert elicitation, October 2025).</w:t>
      </w:r>
    </w:p>
    <w:p w14:paraId="792400FD" w14:textId="77777777" w:rsidR="00513A65" w:rsidRPr="00513A65" w:rsidRDefault="00513A65" w:rsidP="00513A65">
      <w:pPr>
        <w:rPr>
          <w:lang w:val="en-GB"/>
        </w:rPr>
      </w:pPr>
      <w:r w:rsidRPr="00513A65">
        <w:rPr>
          <w:lang w:val="en-GB"/>
        </w:rPr>
        <w:t xml:space="preserve">As illustrated in </w:t>
      </w:r>
      <w:r w:rsidRPr="00513A65">
        <w:rPr>
          <w:b/>
          <w:bCs/>
          <w:lang w:val="en-GB"/>
        </w:rPr>
        <w:t>Figure 5</w:t>
      </w:r>
      <w:r w:rsidRPr="00513A65">
        <w:rPr>
          <w:lang w:val="en-GB"/>
        </w:rPr>
        <w:t>, the analytical structure was organised into three hierarchical levels. The upper level represents the overarching analytical focus on citizens’ acceptance of green technologies. The second level distinguishes between two broad dimensions derived from the extended Technology Acceptance Model (TAM): behavioural determinants, represented by perceived usefulness and perceived ease of use, and institutional determinants, encompassing trust, transparency, legitimacy, and community support. The third level comprises the specific constructs considered within each dimension, as evaluated by a panel of six experts with backgrounds in environmental psychology, governance, and behavioural public policy.</w:t>
      </w:r>
    </w:p>
    <w:p w14:paraId="7546D98D" w14:textId="77777777" w:rsidR="00513A65" w:rsidRPr="00513A65" w:rsidRDefault="00513A65" w:rsidP="00513A65">
      <w:pPr>
        <w:rPr>
          <w:lang w:val="en-GB"/>
        </w:rPr>
      </w:pPr>
      <w:r w:rsidRPr="00513A65">
        <w:rPr>
          <w:lang w:val="en-GB"/>
        </w:rPr>
        <w:lastRenderedPageBreak/>
        <w:t>This hierarchical configuration does not seek to quantify behavioural effects or establish causal relationships. Instead, it provides an analytical representation of how experts conceptually differentiate, relate, and prioritise behavioural and institutional considerations when reflecting on sustainable technology adoption. In this sense, the AHP framework functions primarily as an organisational and interpretative device, supporting conceptual clarity and comparative reflection across dimensions that are difficult to assess jointly using purely descriptive or narrative approaches.</w:t>
      </w:r>
    </w:p>
    <w:p w14:paraId="3A14E8F0" w14:textId="77777777" w:rsidR="00513A65" w:rsidRPr="00513A65" w:rsidRDefault="00513A65" w:rsidP="00513A65">
      <w:pPr>
        <w:rPr>
          <w:lang w:val="en-GB"/>
        </w:rPr>
      </w:pPr>
      <w:r w:rsidRPr="00513A65">
        <w:rPr>
          <w:lang w:val="en-GB"/>
        </w:rPr>
        <w:t>Expert judgements were elicited through pairwise comparisons using the standard AHP scale, and internal coherence was assessed using the consistency ratio criterion (CR &lt; 0.1), ensuring acceptable logical consistency across expert evaluations. The resulting comparative patterns are summarised in Table 2, which reports the normalised weights assigned to each institutional construct within the proposed framework.</w:t>
      </w:r>
    </w:p>
    <w:p w14:paraId="61C442D7" w14:textId="372790D0" w:rsidR="00D0097C" w:rsidRPr="00D0097C" w:rsidRDefault="00D0097C" w:rsidP="00D0097C">
      <w:pPr>
        <w:rPr>
          <w:lang w:val="en-GB" w:eastAsia="es-ES"/>
        </w:rPr>
      </w:pPr>
      <w:r w:rsidRPr="00D0097C">
        <w:rPr>
          <w:b/>
          <w:bCs/>
          <w:lang w:val="en-GB" w:eastAsia="es-ES"/>
        </w:rPr>
        <w:t>Table 2.</w:t>
      </w:r>
      <w:r w:rsidRPr="00D0097C">
        <w:rPr>
          <w:lang w:val="en-GB" w:eastAsia="es-ES"/>
        </w:rPr>
        <w:t xml:space="preserve"> </w:t>
      </w:r>
      <w:r w:rsidR="009C2860" w:rsidRPr="009C2860">
        <w:rPr>
          <w:i/>
          <w:iCs/>
          <w:lang w:eastAsia="es-ES"/>
        </w:rPr>
        <w:t xml:space="preserve">Normalized AHP weights of the mediating variables in the extended TAM framework. </w:t>
      </w:r>
    </w:p>
    <w:tbl>
      <w:tblPr>
        <w:tblStyle w:val="Tablaconcuadrculaclara"/>
        <w:tblW w:w="0" w:type="auto"/>
        <w:tblLook w:val="04A0" w:firstRow="1" w:lastRow="0" w:firstColumn="1" w:lastColumn="0" w:noHBand="0" w:noVBand="1"/>
      </w:tblPr>
      <w:tblGrid>
        <w:gridCol w:w="2143"/>
        <w:gridCol w:w="1826"/>
        <w:gridCol w:w="2410"/>
        <w:gridCol w:w="2693"/>
      </w:tblGrid>
      <w:tr w:rsidR="00D0097C" w:rsidRPr="00326C3A" w14:paraId="6C571CFE" w14:textId="77777777" w:rsidTr="00326C3A">
        <w:trPr>
          <w:trHeight w:val="633"/>
        </w:trPr>
        <w:tc>
          <w:tcPr>
            <w:tcW w:w="0" w:type="auto"/>
            <w:tcBorders>
              <w:top w:val="single" w:sz="4" w:space="0" w:color="auto"/>
              <w:left w:val="nil"/>
              <w:bottom w:val="single" w:sz="4" w:space="0" w:color="auto"/>
              <w:right w:val="nil"/>
            </w:tcBorders>
            <w:shd w:val="clear" w:color="auto" w:fill="F2F2F2" w:themeFill="background1" w:themeFillShade="F2"/>
            <w:hideMark/>
          </w:tcPr>
          <w:p w14:paraId="41451EFA" w14:textId="77777777" w:rsidR="00D0097C" w:rsidRPr="00D0097C" w:rsidRDefault="00D0097C" w:rsidP="00326C3A">
            <w:pPr>
              <w:spacing w:after="0"/>
              <w:rPr>
                <w:b/>
                <w:bCs/>
                <w:lang w:val="es-ES" w:eastAsia="es-ES"/>
              </w:rPr>
            </w:pPr>
            <w:proofErr w:type="spellStart"/>
            <w:r w:rsidRPr="00D0097C">
              <w:rPr>
                <w:b/>
                <w:bCs/>
                <w:lang w:val="es-ES" w:eastAsia="es-ES"/>
              </w:rPr>
              <w:t>Construct</w:t>
            </w:r>
            <w:proofErr w:type="spellEnd"/>
          </w:p>
        </w:tc>
        <w:tc>
          <w:tcPr>
            <w:tcW w:w="1826" w:type="dxa"/>
            <w:tcBorders>
              <w:top w:val="single" w:sz="4" w:space="0" w:color="auto"/>
              <w:left w:val="nil"/>
              <w:bottom w:val="single" w:sz="4" w:space="0" w:color="auto"/>
              <w:right w:val="nil"/>
            </w:tcBorders>
            <w:shd w:val="clear" w:color="auto" w:fill="F2F2F2" w:themeFill="background1" w:themeFillShade="F2"/>
            <w:hideMark/>
          </w:tcPr>
          <w:p w14:paraId="13C233BD" w14:textId="77777777" w:rsidR="00D0097C" w:rsidRPr="00D0097C" w:rsidRDefault="00D0097C" w:rsidP="00326C3A">
            <w:pPr>
              <w:spacing w:after="0"/>
              <w:rPr>
                <w:b/>
                <w:bCs/>
                <w:lang w:val="es-ES" w:eastAsia="es-ES"/>
              </w:rPr>
            </w:pPr>
            <w:proofErr w:type="spellStart"/>
            <w:r w:rsidRPr="00D0097C">
              <w:rPr>
                <w:b/>
                <w:bCs/>
                <w:lang w:val="es-ES" w:eastAsia="es-ES"/>
              </w:rPr>
              <w:t>Category</w:t>
            </w:r>
            <w:proofErr w:type="spellEnd"/>
          </w:p>
        </w:tc>
        <w:tc>
          <w:tcPr>
            <w:tcW w:w="2410" w:type="dxa"/>
            <w:tcBorders>
              <w:top w:val="single" w:sz="4" w:space="0" w:color="auto"/>
              <w:left w:val="nil"/>
              <w:bottom w:val="single" w:sz="4" w:space="0" w:color="auto"/>
              <w:right w:val="nil"/>
            </w:tcBorders>
            <w:shd w:val="clear" w:color="auto" w:fill="F2F2F2" w:themeFill="background1" w:themeFillShade="F2"/>
            <w:hideMark/>
          </w:tcPr>
          <w:p w14:paraId="1C47A81D" w14:textId="77777777" w:rsidR="00D0097C" w:rsidRPr="00D0097C" w:rsidRDefault="00D0097C" w:rsidP="00513A65">
            <w:pPr>
              <w:spacing w:after="0"/>
              <w:jc w:val="center"/>
              <w:rPr>
                <w:b/>
                <w:bCs/>
                <w:lang w:val="es-ES" w:eastAsia="es-ES"/>
              </w:rPr>
            </w:pPr>
            <w:proofErr w:type="spellStart"/>
            <w:r w:rsidRPr="00D0097C">
              <w:rPr>
                <w:b/>
                <w:bCs/>
                <w:lang w:val="es-ES" w:eastAsia="es-ES"/>
              </w:rPr>
              <w:t>Normalised</w:t>
            </w:r>
            <w:proofErr w:type="spellEnd"/>
            <w:r w:rsidRPr="00D0097C">
              <w:rPr>
                <w:b/>
                <w:bCs/>
                <w:lang w:val="es-ES" w:eastAsia="es-ES"/>
              </w:rPr>
              <w:t xml:space="preserve"> </w:t>
            </w:r>
            <w:proofErr w:type="spellStart"/>
            <w:r w:rsidRPr="00D0097C">
              <w:rPr>
                <w:b/>
                <w:bCs/>
                <w:lang w:val="es-ES" w:eastAsia="es-ES"/>
              </w:rPr>
              <w:t>Weight</w:t>
            </w:r>
            <w:proofErr w:type="spellEnd"/>
          </w:p>
        </w:tc>
        <w:tc>
          <w:tcPr>
            <w:tcW w:w="2693" w:type="dxa"/>
            <w:tcBorders>
              <w:top w:val="single" w:sz="4" w:space="0" w:color="auto"/>
              <w:left w:val="nil"/>
              <w:bottom w:val="single" w:sz="4" w:space="0" w:color="auto"/>
              <w:right w:val="nil"/>
            </w:tcBorders>
            <w:shd w:val="clear" w:color="auto" w:fill="F2F2F2" w:themeFill="background1" w:themeFillShade="F2"/>
            <w:hideMark/>
          </w:tcPr>
          <w:p w14:paraId="04091AD5" w14:textId="77777777" w:rsidR="00D0097C" w:rsidRPr="00D0097C" w:rsidRDefault="00D0097C" w:rsidP="00513A65">
            <w:pPr>
              <w:spacing w:after="0"/>
              <w:jc w:val="center"/>
              <w:rPr>
                <w:b/>
                <w:bCs/>
                <w:lang w:val="es-ES" w:eastAsia="es-ES"/>
              </w:rPr>
            </w:pPr>
            <w:proofErr w:type="spellStart"/>
            <w:r w:rsidRPr="00D0097C">
              <w:rPr>
                <w:b/>
                <w:bCs/>
                <w:lang w:val="es-ES" w:eastAsia="es-ES"/>
              </w:rPr>
              <w:t>Consistency</w:t>
            </w:r>
            <w:proofErr w:type="spellEnd"/>
            <w:r w:rsidRPr="00D0097C">
              <w:rPr>
                <w:b/>
                <w:bCs/>
                <w:lang w:val="es-ES" w:eastAsia="es-ES"/>
              </w:rPr>
              <w:t xml:space="preserve"> Ratio (CR)</w:t>
            </w:r>
          </w:p>
        </w:tc>
      </w:tr>
      <w:tr w:rsidR="00326C3A" w:rsidRPr="00D0097C" w14:paraId="7AE7BA97" w14:textId="77777777" w:rsidTr="00326C3A">
        <w:trPr>
          <w:trHeight w:val="557"/>
        </w:trPr>
        <w:tc>
          <w:tcPr>
            <w:tcW w:w="0" w:type="auto"/>
            <w:tcBorders>
              <w:top w:val="single" w:sz="4" w:space="0" w:color="auto"/>
              <w:left w:val="nil"/>
              <w:bottom w:val="nil"/>
              <w:right w:val="nil"/>
            </w:tcBorders>
            <w:hideMark/>
          </w:tcPr>
          <w:p w14:paraId="65001E47" w14:textId="77777777" w:rsidR="00D0097C" w:rsidRPr="00D0097C" w:rsidRDefault="00D0097C" w:rsidP="00326C3A">
            <w:pPr>
              <w:spacing w:after="0"/>
              <w:rPr>
                <w:lang w:val="es-ES" w:eastAsia="es-ES"/>
              </w:rPr>
            </w:pPr>
            <w:r w:rsidRPr="00D0097C">
              <w:rPr>
                <w:lang w:val="es-ES" w:eastAsia="es-ES"/>
              </w:rPr>
              <w:t>Trust</w:t>
            </w:r>
          </w:p>
        </w:tc>
        <w:tc>
          <w:tcPr>
            <w:tcW w:w="1826" w:type="dxa"/>
            <w:tcBorders>
              <w:top w:val="single" w:sz="4" w:space="0" w:color="auto"/>
              <w:left w:val="nil"/>
              <w:bottom w:val="nil"/>
              <w:right w:val="nil"/>
            </w:tcBorders>
            <w:hideMark/>
          </w:tcPr>
          <w:p w14:paraId="50967A1C" w14:textId="77777777" w:rsidR="00D0097C" w:rsidRPr="00D0097C" w:rsidRDefault="00D0097C" w:rsidP="00326C3A">
            <w:pPr>
              <w:spacing w:after="0"/>
              <w:rPr>
                <w:lang w:val="es-ES" w:eastAsia="es-ES"/>
              </w:rPr>
            </w:pPr>
            <w:proofErr w:type="spellStart"/>
            <w:r w:rsidRPr="00D0097C">
              <w:rPr>
                <w:lang w:val="es-ES" w:eastAsia="es-ES"/>
              </w:rPr>
              <w:t>Institutional</w:t>
            </w:r>
            <w:proofErr w:type="spellEnd"/>
          </w:p>
        </w:tc>
        <w:tc>
          <w:tcPr>
            <w:tcW w:w="2410" w:type="dxa"/>
            <w:tcBorders>
              <w:top w:val="single" w:sz="4" w:space="0" w:color="auto"/>
              <w:left w:val="nil"/>
              <w:bottom w:val="nil"/>
              <w:right w:val="nil"/>
            </w:tcBorders>
            <w:hideMark/>
          </w:tcPr>
          <w:p w14:paraId="37D768BA" w14:textId="77777777" w:rsidR="00D0097C" w:rsidRPr="00D0097C" w:rsidRDefault="00D0097C" w:rsidP="00513A65">
            <w:pPr>
              <w:spacing w:after="0"/>
              <w:jc w:val="center"/>
              <w:rPr>
                <w:lang w:val="es-ES" w:eastAsia="es-ES"/>
              </w:rPr>
            </w:pPr>
            <w:r w:rsidRPr="00D0097C">
              <w:rPr>
                <w:lang w:val="es-ES" w:eastAsia="es-ES"/>
              </w:rPr>
              <w:t>0.34</w:t>
            </w:r>
          </w:p>
        </w:tc>
        <w:tc>
          <w:tcPr>
            <w:tcW w:w="2693" w:type="dxa"/>
            <w:tcBorders>
              <w:top w:val="single" w:sz="4" w:space="0" w:color="auto"/>
              <w:left w:val="nil"/>
              <w:bottom w:val="nil"/>
              <w:right w:val="nil"/>
            </w:tcBorders>
            <w:hideMark/>
          </w:tcPr>
          <w:p w14:paraId="5DD97844" w14:textId="77777777" w:rsidR="00D0097C" w:rsidRPr="00D0097C" w:rsidRDefault="00D0097C" w:rsidP="00513A65">
            <w:pPr>
              <w:spacing w:after="0"/>
              <w:jc w:val="center"/>
              <w:rPr>
                <w:lang w:val="es-ES" w:eastAsia="es-ES"/>
              </w:rPr>
            </w:pPr>
            <w:r w:rsidRPr="00D0097C">
              <w:rPr>
                <w:lang w:val="es-ES" w:eastAsia="es-ES"/>
              </w:rPr>
              <w:t>&lt; 0.1</w:t>
            </w:r>
          </w:p>
        </w:tc>
      </w:tr>
      <w:tr w:rsidR="00D0097C" w:rsidRPr="00D0097C" w14:paraId="522BB8DC" w14:textId="77777777" w:rsidTr="00326C3A">
        <w:trPr>
          <w:trHeight w:val="574"/>
        </w:trPr>
        <w:tc>
          <w:tcPr>
            <w:tcW w:w="0" w:type="auto"/>
            <w:tcBorders>
              <w:top w:val="nil"/>
              <w:left w:val="nil"/>
              <w:bottom w:val="nil"/>
              <w:right w:val="nil"/>
            </w:tcBorders>
            <w:hideMark/>
          </w:tcPr>
          <w:p w14:paraId="26EE36A8" w14:textId="77777777" w:rsidR="00D0097C" w:rsidRPr="00D0097C" w:rsidRDefault="00D0097C" w:rsidP="00326C3A">
            <w:pPr>
              <w:spacing w:after="0"/>
              <w:rPr>
                <w:lang w:val="es-ES" w:eastAsia="es-ES"/>
              </w:rPr>
            </w:pPr>
            <w:proofErr w:type="spellStart"/>
            <w:r w:rsidRPr="00D0097C">
              <w:rPr>
                <w:lang w:val="es-ES" w:eastAsia="es-ES"/>
              </w:rPr>
              <w:t>Legitimacy</w:t>
            </w:r>
            <w:proofErr w:type="spellEnd"/>
          </w:p>
        </w:tc>
        <w:tc>
          <w:tcPr>
            <w:tcW w:w="1826" w:type="dxa"/>
            <w:tcBorders>
              <w:top w:val="nil"/>
              <w:left w:val="nil"/>
              <w:bottom w:val="nil"/>
              <w:right w:val="nil"/>
            </w:tcBorders>
            <w:hideMark/>
          </w:tcPr>
          <w:p w14:paraId="1BB391FE" w14:textId="77777777" w:rsidR="00D0097C" w:rsidRPr="00D0097C" w:rsidRDefault="00D0097C" w:rsidP="00326C3A">
            <w:pPr>
              <w:spacing w:after="0"/>
              <w:rPr>
                <w:lang w:val="es-ES" w:eastAsia="es-ES"/>
              </w:rPr>
            </w:pPr>
            <w:proofErr w:type="spellStart"/>
            <w:r w:rsidRPr="00D0097C">
              <w:rPr>
                <w:lang w:val="es-ES" w:eastAsia="es-ES"/>
              </w:rPr>
              <w:t>Institutional</w:t>
            </w:r>
            <w:proofErr w:type="spellEnd"/>
          </w:p>
        </w:tc>
        <w:tc>
          <w:tcPr>
            <w:tcW w:w="2410" w:type="dxa"/>
            <w:tcBorders>
              <w:top w:val="nil"/>
              <w:left w:val="nil"/>
              <w:bottom w:val="nil"/>
              <w:right w:val="nil"/>
            </w:tcBorders>
            <w:hideMark/>
          </w:tcPr>
          <w:p w14:paraId="52F47146" w14:textId="77777777" w:rsidR="00D0097C" w:rsidRPr="00D0097C" w:rsidRDefault="00D0097C" w:rsidP="00513A65">
            <w:pPr>
              <w:spacing w:after="0"/>
              <w:jc w:val="center"/>
              <w:rPr>
                <w:lang w:val="es-ES" w:eastAsia="es-ES"/>
              </w:rPr>
            </w:pPr>
            <w:r w:rsidRPr="00D0097C">
              <w:rPr>
                <w:lang w:val="es-ES" w:eastAsia="es-ES"/>
              </w:rPr>
              <w:t>0.28</w:t>
            </w:r>
          </w:p>
        </w:tc>
        <w:tc>
          <w:tcPr>
            <w:tcW w:w="2693" w:type="dxa"/>
            <w:tcBorders>
              <w:top w:val="nil"/>
              <w:left w:val="nil"/>
              <w:bottom w:val="nil"/>
              <w:right w:val="nil"/>
            </w:tcBorders>
            <w:hideMark/>
          </w:tcPr>
          <w:p w14:paraId="06AA6685" w14:textId="77777777" w:rsidR="00D0097C" w:rsidRPr="00D0097C" w:rsidRDefault="00D0097C" w:rsidP="00513A65">
            <w:pPr>
              <w:spacing w:after="0"/>
              <w:jc w:val="center"/>
              <w:rPr>
                <w:lang w:val="es-ES" w:eastAsia="es-ES"/>
              </w:rPr>
            </w:pPr>
            <w:r w:rsidRPr="00D0097C">
              <w:rPr>
                <w:lang w:val="es-ES" w:eastAsia="es-ES"/>
              </w:rPr>
              <w:t>&lt; 0.1</w:t>
            </w:r>
          </w:p>
        </w:tc>
      </w:tr>
      <w:tr w:rsidR="00D0097C" w:rsidRPr="00D0097C" w14:paraId="20C33B67" w14:textId="77777777" w:rsidTr="00326C3A">
        <w:trPr>
          <w:trHeight w:val="568"/>
        </w:trPr>
        <w:tc>
          <w:tcPr>
            <w:tcW w:w="0" w:type="auto"/>
            <w:tcBorders>
              <w:top w:val="nil"/>
              <w:left w:val="nil"/>
              <w:bottom w:val="nil"/>
              <w:right w:val="nil"/>
            </w:tcBorders>
            <w:hideMark/>
          </w:tcPr>
          <w:p w14:paraId="725FA0C4" w14:textId="77777777" w:rsidR="00D0097C" w:rsidRPr="00D0097C" w:rsidRDefault="00D0097C" w:rsidP="00326C3A">
            <w:pPr>
              <w:spacing w:after="0"/>
              <w:rPr>
                <w:lang w:val="es-ES" w:eastAsia="es-ES"/>
              </w:rPr>
            </w:pPr>
            <w:proofErr w:type="spellStart"/>
            <w:r w:rsidRPr="00D0097C">
              <w:rPr>
                <w:lang w:val="es-ES" w:eastAsia="es-ES"/>
              </w:rPr>
              <w:t>Transparency</w:t>
            </w:r>
            <w:proofErr w:type="spellEnd"/>
          </w:p>
        </w:tc>
        <w:tc>
          <w:tcPr>
            <w:tcW w:w="1826" w:type="dxa"/>
            <w:tcBorders>
              <w:top w:val="nil"/>
              <w:left w:val="nil"/>
              <w:bottom w:val="nil"/>
              <w:right w:val="nil"/>
            </w:tcBorders>
            <w:hideMark/>
          </w:tcPr>
          <w:p w14:paraId="59A77F08" w14:textId="77777777" w:rsidR="00D0097C" w:rsidRPr="00D0097C" w:rsidRDefault="00D0097C" w:rsidP="00326C3A">
            <w:pPr>
              <w:spacing w:after="0"/>
              <w:rPr>
                <w:lang w:val="es-ES" w:eastAsia="es-ES"/>
              </w:rPr>
            </w:pPr>
            <w:proofErr w:type="spellStart"/>
            <w:r w:rsidRPr="00D0097C">
              <w:rPr>
                <w:lang w:val="es-ES" w:eastAsia="es-ES"/>
              </w:rPr>
              <w:t>Institutional</w:t>
            </w:r>
            <w:proofErr w:type="spellEnd"/>
          </w:p>
        </w:tc>
        <w:tc>
          <w:tcPr>
            <w:tcW w:w="2410" w:type="dxa"/>
            <w:tcBorders>
              <w:top w:val="nil"/>
              <w:left w:val="nil"/>
              <w:bottom w:val="nil"/>
              <w:right w:val="nil"/>
            </w:tcBorders>
            <w:hideMark/>
          </w:tcPr>
          <w:p w14:paraId="09C12B41" w14:textId="77777777" w:rsidR="00D0097C" w:rsidRPr="00D0097C" w:rsidRDefault="00D0097C" w:rsidP="00513A65">
            <w:pPr>
              <w:spacing w:after="0"/>
              <w:jc w:val="center"/>
              <w:rPr>
                <w:lang w:val="es-ES" w:eastAsia="es-ES"/>
              </w:rPr>
            </w:pPr>
            <w:r w:rsidRPr="00D0097C">
              <w:rPr>
                <w:lang w:val="es-ES" w:eastAsia="es-ES"/>
              </w:rPr>
              <w:t>0.22</w:t>
            </w:r>
          </w:p>
        </w:tc>
        <w:tc>
          <w:tcPr>
            <w:tcW w:w="2693" w:type="dxa"/>
            <w:tcBorders>
              <w:top w:val="nil"/>
              <w:left w:val="nil"/>
              <w:bottom w:val="nil"/>
              <w:right w:val="nil"/>
            </w:tcBorders>
            <w:hideMark/>
          </w:tcPr>
          <w:p w14:paraId="52A50BD1" w14:textId="77777777" w:rsidR="00D0097C" w:rsidRPr="00D0097C" w:rsidRDefault="00D0097C" w:rsidP="00513A65">
            <w:pPr>
              <w:spacing w:after="0"/>
              <w:jc w:val="center"/>
              <w:rPr>
                <w:lang w:val="es-ES" w:eastAsia="es-ES"/>
              </w:rPr>
            </w:pPr>
            <w:r w:rsidRPr="00D0097C">
              <w:rPr>
                <w:lang w:val="es-ES" w:eastAsia="es-ES"/>
              </w:rPr>
              <w:t>&lt; 0.1</w:t>
            </w:r>
          </w:p>
        </w:tc>
      </w:tr>
      <w:tr w:rsidR="00326C3A" w:rsidRPr="00D0097C" w14:paraId="119F0296" w14:textId="77777777" w:rsidTr="00326C3A">
        <w:trPr>
          <w:trHeight w:val="227"/>
        </w:trPr>
        <w:tc>
          <w:tcPr>
            <w:tcW w:w="0" w:type="auto"/>
            <w:tcBorders>
              <w:top w:val="nil"/>
              <w:left w:val="nil"/>
              <w:bottom w:val="nil"/>
              <w:right w:val="nil"/>
            </w:tcBorders>
            <w:hideMark/>
          </w:tcPr>
          <w:p w14:paraId="7CCA9629" w14:textId="77777777" w:rsidR="00D0097C" w:rsidRPr="00D0097C" w:rsidRDefault="00D0097C" w:rsidP="00326C3A">
            <w:pPr>
              <w:spacing w:after="0"/>
              <w:rPr>
                <w:lang w:val="es-ES" w:eastAsia="es-ES"/>
              </w:rPr>
            </w:pPr>
            <w:proofErr w:type="spellStart"/>
            <w:r w:rsidRPr="00D0097C">
              <w:rPr>
                <w:lang w:val="es-ES" w:eastAsia="es-ES"/>
              </w:rPr>
              <w:t>Community</w:t>
            </w:r>
            <w:proofErr w:type="spellEnd"/>
            <w:r w:rsidRPr="00D0097C">
              <w:rPr>
                <w:lang w:val="es-ES" w:eastAsia="es-ES"/>
              </w:rPr>
              <w:t xml:space="preserve"> </w:t>
            </w:r>
            <w:proofErr w:type="spellStart"/>
            <w:r w:rsidRPr="00D0097C">
              <w:rPr>
                <w:lang w:val="es-ES" w:eastAsia="es-ES"/>
              </w:rPr>
              <w:t>support</w:t>
            </w:r>
            <w:proofErr w:type="spellEnd"/>
          </w:p>
        </w:tc>
        <w:tc>
          <w:tcPr>
            <w:tcW w:w="1826" w:type="dxa"/>
            <w:tcBorders>
              <w:top w:val="nil"/>
              <w:left w:val="nil"/>
              <w:bottom w:val="nil"/>
              <w:right w:val="nil"/>
            </w:tcBorders>
            <w:hideMark/>
          </w:tcPr>
          <w:p w14:paraId="02EFA87F" w14:textId="77777777" w:rsidR="00D0097C" w:rsidRPr="00D0097C" w:rsidRDefault="00D0097C" w:rsidP="00326C3A">
            <w:pPr>
              <w:spacing w:after="0"/>
              <w:rPr>
                <w:lang w:val="es-ES" w:eastAsia="es-ES"/>
              </w:rPr>
            </w:pPr>
            <w:proofErr w:type="spellStart"/>
            <w:r w:rsidRPr="00D0097C">
              <w:rPr>
                <w:lang w:val="es-ES" w:eastAsia="es-ES"/>
              </w:rPr>
              <w:t>Institutional</w:t>
            </w:r>
            <w:proofErr w:type="spellEnd"/>
          </w:p>
        </w:tc>
        <w:tc>
          <w:tcPr>
            <w:tcW w:w="2410" w:type="dxa"/>
            <w:tcBorders>
              <w:top w:val="nil"/>
              <w:left w:val="nil"/>
              <w:bottom w:val="nil"/>
              <w:right w:val="nil"/>
            </w:tcBorders>
            <w:hideMark/>
          </w:tcPr>
          <w:p w14:paraId="3F1FBE85" w14:textId="77777777" w:rsidR="00D0097C" w:rsidRPr="00D0097C" w:rsidRDefault="00D0097C" w:rsidP="00513A65">
            <w:pPr>
              <w:spacing w:after="0"/>
              <w:jc w:val="center"/>
              <w:rPr>
                <w:lang w:val="es-ES" w:eastAsia="es-ES"/>
              </w:rPr>
            </w:pPr>
            <w:r w:rsidRPr="00D0097C">
              <w:rPr>
                <w:lang w:val="es-ES" w:eastAsia="es-ES"/>
              </w:rPr>
              <w:t>0.16</w:t>
            </w:r>
          </w:p>
        </w:tc>
        <w:tc>
          <w:tcPr>
            <w:tcW w:w="2693" w:type="dxa"/>
            <w:tcBorders>
              <w:top w:val="nil"/>
              <w:left w:val="nil"/>
              <w:bottom w:val="nil"/>
              <w:right w:val="nil"/>
            </w:tcBorders>
            <w:hideMark/>
          </w:tcPr>
          <w:p w14:paraId="3FDCB881" w14:textId="77777777" w:rsidR="00D0097C" w:rsidRPr="00D0097C" w:rsidRDefault="00D0097C" w:rsidP="00513A65">
            <w:pPr>
              <w:spacing w:after="0"/>
              <w:jc w:val="center"/>
              <w:rPr>
                <w:lang w:val="es-ES" w:eastAsia="es-ES"/>
              </w:rPr>
            </w:pPr>
            <w:r w:rsidRPr="00D0097C">
              <w:rPr>
                <w:lang w:val="es-ES" w:eastAsia="es-ES"/>
              </w:rPr>
              <w:t>&lt; 0.1</w:t>
            </w:r>
          </w:p>
        </w:tc>
      </w:tr>
      <w:tr w:rsidR="00326C3A" w:rsidRPr="00D0097C" w14:paraId="7FF1F272" w14:textId="77777777" w:rsidTr="00326C3A">
        <w:trPr>
          <w:trHeight w:val="227"/>
        </w:trPr>
        <w:tc>
          <w:tcPr>
            <w:tcW w:w="0" w:type="auto"/>
            <w:tcBorders>
              <w:top w:val="nil"/>
              <w:left w:val="nil"/>
              <w:bottom w:val="single" w:sz="4" w:space="0" w:color="auto"/>
              <w:right w:val="nil"/>
            </w:tcBorders>
          </w:tcPr>
          <w:p w14:paraId="3325CEC6" w14:textId="77777777" w:rsidR="00326C3A" w:rsidRPr="00D0097C" w:rsidRDefault="00326C3A" w:rsidP="00326C3A">
            <w:pPr>
              <w:spacing w:after="0"/>
              <w:rPr>
                <w:lang w:val="es-ES" w:eastAsia="es-ES"/>
              </w:rPr>
            </w:pPr>
          </w:p>
        </w:tc>
        <w:tc>
          <w:tcPr>
            <w:tcW w:w="1826" w:type="dxa"/>
            <w:tcBorders>
              <w:top w:val="nil"/>
              <w:left w:val="nil"/>
              <w:bottom w:val="single" w:sz="4" w:space="0" w:color="auto"/>
              <w:right w:val="nil"/>
            </w:tcBorders>
          </w:tcPr>
          <w:p w14:paraId="4C7A4B82" w14:textId="77777777" w:rsidR="00326C3A" w:rsidRPr="00D0097C" w:rsidRDefault="00326C3A" w:rsidP="00326C3A">
            <w:pPr>
              <w:spacing w:after="0"/>
              <w:rPr>
                <w:lang w:val="es-ES" w:eastAsia="es-ES"/>
              </w:rPr>
            </w:pPr>
          </w:p>
        </w:tc>
        <w:tc>
          <w:tcPr>
            <w:tcW w:w="2410" w:type="dxa"/>
            <w:tcBorders>
              <w:top w:val="nil"/>
              <w:left w:val="nil"/>
              <w:bottom w:val="single" w:sz="4" w:space="0" w:color="auto"/>
              <w:right w:val="nil"/>
            </w:tcBorders>
          </w:tcPr>
          <w:p w14:paraId="0AAFA24E" w14:textId="77777777" w:rsidR="00326C3A" w:rsidRPr="00D0097C" w:rsidRDefault="00326C3A" w:rsidP="00513A65">
            <w:pPr>
              <w:spacing w:after="0"/>
              <w:jc w:val="center"/>
              <w:rPr>
                <w:lang w:val="es-ES" w:eastAsia="es-ES"/>
              </w:rPr>
            </w:pPr>
          </w:p>
        </w:tc>
        <w:tc>
          <w:tcPr>
            <w:tcW w:w="2693" w:type="dxa"/>
            <w:tcBorders>
              <w:top w:val="nil"/>
              <w:left w:val="nil"/>
              <w:bottom w:val="single" w:sz="4" w:space="0" w:color="auto"/>
              <w:right w:val="nil"/>
            </w:tcBorders>
          </w:tcPr>
          <w:p w14:paraId="0EF24947" w14:textId="77777777" w:rsidR="00326C3A" w:rsidRPr="00D0097C" w:rsidRDefault="00326C3A" w:rsidP="00513A65">
            <w:pPr>
              <w:spacing w:after="0"/>
              <w:jc w:val="center"/>
              <w:rPr>
                <w:lang w:val="es-ES" w:eastAsia="es-ES"/>
              </w:rPr>
            </w:pPr>
          </w:p>
        </w:tc>
      </w:tr>
    </w:tbl>
    <w:p w14:paraId="1C32E02E" w14:textId="77777777" w:rsidR="00D0097C" w:rsidRPr="00D0097C" w:rsidRDefault="00D0097C" w:rsidP="00D0097C">
      <w:pPr>
        <w:rPr>
          <w:lang w:val="en-GB" w:eastAsia="es-ES"/>
        </w:rPr>
      </w:pPr>
      <w:r w:rsidRPr="00D0097C">
        <w:rPr>
          <w:i/>
          <w:iCs/>
          <w:lang w:val="en-GB" w:eastAsia="es-ES"/>
        </w:rPr>
        <w:t>Source: authors’ elaboration based on expert evaluations (n = 6).</w:t>
      </w:r>
    </w:p>
    <w:p w14:paraId="2DA702D9" w14:textId="77777777" w:rsidR="00513A65" w:rsidRDefault="00513A65" w:rsidP="00513A65">
      <w:pPr>
        <w:pStyle w:val="NormalWeb"/>
      </w:pPr>
      <w:r>
        <w:t>The distribution of weights indicates that experts consistently attributed greater analytical prominence to trust and legitimacy, followed by transparency and community support. These values should not be interpreted as empirically validated effect sizes or predictive parameters. Rather, they reflect how experts conceptually prioritise institutional dimensions when considering the conditions under which behavioural acceptance of green technologies is likely to occur.</w:t>
      </w:r>
    </w:p>
    <w:p w14:paraId="7B2519DE" w14:textId="77777777" w:rsidR="00513A65" w:rsidRDefault="00513A65" w:rsidP="00513A65">
      <w:pPr>
        <w:pStyle w:val="NormalWeb"/>
      </w:pPr>
      <w:r>
        <w:t>Taken together, the structured expert perspectives derived from the AHP reinforce the conceptual relevance of institutional conditions in discussions of green technology acceptance. By explicitly foregrounding trust, legitimacy, transparency, and community support alongside classical behavioural constructs, this analytical step contributes to the consolidation of the extended TAM framework developed in this study. Importantly, it does so without implying statistical validation or behavioural prediction, instead providing an interpretative bridge between the thematic convergence identified in the literature and the integrative conceptual model presented in the following section.</w:t>
      </w:r>
    </w:p>
    <w:p w14:paraId="717A3A53" w14:textId="08058040" w:rsidR="007D78B2" w:rsidRDefault="005C1088" w:rsidP="00F9469C">
      <w:pPr>
        <w:pStyle w:val="Ttulo2"/>
      </w:pPr>
      <w:r>
        <w:t>Conceptual consolidation of the extended Technology Acceptance Model</w:t>
      </w:r>
    </w:p>
    <w:p w14:paraId="0BFBC9BA" w14:textId="77777777" w:rsidR="00513A65" w:rsidRDefault="00513A65" w:rsidP="00513A65">
      <w:r>
        <w:t xml:space="preserve">Building on the thematic regularities identified through bibliometric mapping and the structured perspectives elicited via the Analytic Hierarchy Process, this section consolidates the extended Technology Acceptance Model (TAM) developed in this study. The proposed framework integrates </w:t>
      </w:r>
      <w:r>
        <w:lastRenderedPageBreak/>
        <w:t>behavioural, institutional, and normative dimensions into a single conceptual structure designed to reflect the complexity of green technology adoption in sustainability-oriented contexts.</w:t>
      </w:r>
    </w:p>
    <w:p w14:paraId="5576AB3A" w14:textId="77777777" w:rsidR="00513A65" w:rsidRDefault="00513A65" w:rsidP="00513A65">
      <w:r>
        <w:t>Rather than expanding the model through additional explanatory variables or engaging in empirical testing, the extended TAM repositions the classical cognitive constructs—perceived usefulness and perceived ease of use—within a broader institutional environment characterised by trust, legitimacy, transparency, and community support. These institutional dimensions are not conceptualised as statistical mediators or causal mechanisms. Instead, they operate as contextual conditions that shape how technological attributes are interpreted, evaluated, and translated into behavioural intention.</w:t>
      </w:r>
    </w:p>
    <w:p w14:paraId="4493B4ED" w14:textId="77777777" w:rsidR="00513A65" w:rsidRDefault="00513A65" w:rsidP="00513A65">
      <w:r>
        <w:t>Within this consolidated framework, two analytically distinct yet interdependent dimensions can be identified. The behavioural dimension captures individual-level cognitive assessments that have traditionally formed the core of technology acceptance research. In parallel, the institutional dimension reflects collective-level conditions linked to governance arrangements, institutional credibility, and social endorsement. Together, these dimensions define the interpretative space within which adoption decisions are formed, particularly in policy-relevant and environmentally sensitive domains.</w:t>
      </w:r>
    </w:p>
    <w:p w14:paraId="7190AE4E" w14:textId="77777777" w:rsidR="00513A65" w:rsidRDefault="00513A65" w:rsidP="00513A65">
      <w:r>
        <w:t>By explicitly linking cognitive evaluations to institutional context, the extended TAM shifts the analytical focus away from narrow assumptions of isolated rational choice. Technology acceptance is instead conceptualised as a socially embedded process, in which individual judgements about usefulness or usability are inseparable from broader perceptions of institutional reliability, normative alignment, and procedural fairness. In sustainability transitions, such perceptions condition not only willingness to adopt technologies, but also the legitimacy attributed to the actors and policies promoting them.</w:t>
      </w:r>
    </w:p>
    <w:p w14:paraId="567BC7BE" w14:textId="77777777" w:rsidR="00513A65" w:rsidRDefault="00513A65" w:rsidP="00513A65">
      <w:r>
        <w:t>The framework proposed here does not claim predictive validity or empirical generalisation. Its contribution lies in offering a conceptually integrated lens capable of organising dispersed insights from behavioural psychology, technology acceptance research, and governance studies into a coherent analytical structure. This consolidation provides a structured point of departure for future empirical work and prepares the ground for the interpretative discussion that follows, where the theoretical implications and policy relevance of the extended TAM are examined in greater depth.</w:t>
      </w:r>
    </w:p>
    <w:p w14:paraId="14CECAF1" w14:textId="6A712827" w:rsidR="00C74C80" w:rsidRDefault="00C74C80" w:rsidP="00B53EAE">
      <w:pPr>
        <w:pStyle w:val="Ttulo1"/>
        <w:rPr>
          <w:lang w:val="en-GB"/>
        </w:rPr>
      </w:pPr>
      <w:r>
        <w:rPr>
          <w:lang w:val="en-GB"/>
        </w:rPr>
        <w:t>Discussion</w:t>
      </w:r>
    </w:p>
    <w:p w14:paraId="22827539" w14:textId="48BC91E6" w:rsidR="00BB2F4A" w:rsidRPr="00BB2F4A" w:rsidRDefault="00BB2F4A" w:rsidP="00BB2F4A">
      <w:pPr>
        <w:rPr>
          <w:rFonts w:eastAsia="Cambria" w:cs="Times New Roman"/>
          <w:b/>
          <w:szCs w:val="24"/>
        </w:rPr>
      </w:pPr>
      <w:r w:rsidRPr="00BB2F4A">
        <w:t xml:space="preserve">This section examines the implications of the findings derived from the bibliometric mapping, structured expert elicitation, and conceptual </w:t>
      </w:r>
      <w:r w:rsidR="00E61165">
        <w:t>structure</w:t>
      </w:r>
      <w:r w:rsidRPr="00BB2F4A">
        <w:t xml:space="preserve"> developed in the preceding sections. Rather than treating these findings as empirical validation of causal relationships, the discussion situates them within the broader debates of environmental psychology, behavioural public policy, and sustainability transitions. The purpose is to clarify how behavioural and institutional determinants jointly shape citizens’ acceptance of green technologies, to assess the contribution of extending the Technology Acceptance Model (TAM) to institutionally complex contexts, and to reflect on the theoretical and policy-relevant insights that emerge from this integrative framework. Throughout the discussion, emphasis is placed on conceptual coherence, interpretive consistency, and relevance for future empirical research and policy design.</w:t>
      </w:r>
    </w:p>
    <w:p w14:paraId="64911726" w14:textId="7ADD9AA4" w:rsidR="00D40857" w:rsidRPr="00D40857" w:rsidRDefault="00D40857" w:rsidP="00D40857">
      <w:pPr>
        <w:pStyle w:val="Ttulo2"/>
      </w:pPr>
      <w:r w:rsidRPr="00D40857">
        <w:t xml:space="preserve">Integration of </w:t>
      </w:r>
      <w:r w:rsidR="00B53EAE">
        <w:t>b</w:t>
      </w:r>
      <w:r w:rsidRPr="00D40857">
        <w:t xml:space="preserve">ehavioural and </w:t>
      </w:r>
      <w:r w:rsidR="00B53EAE">
        <w:t>i</w:t>
      </w:r>
      <w:r w:rsidRPr="00D40857">
        <w:t xml:space="preserve">nstitutional </w:t>
      </w:r>
      <w:r w:rsidR="00B53EAE">
        <w:t>d</w:t>
      </w:r>
      <w:r w:rsidRPr="00D40857">
        <w:t>eterminants</w:t>
      </w:r>
    </w:p>
    <w:p w14:paraId="768471AF" w14:textId="1065CA1D" w:rsidR="00BB2F4A" w:rsidRDefault="00BB2F4A" w:rsidP="00BB2F4A">
      <w:pPr>
        <w:pStyle w:val="NormalWeb"/>
      </w:pPr>
      <w:r>
        <w:t xml:space="preserve">The findings of this study indicate that behavioural intention and perceived usefulness, core constructs of the original Technology Acceptance Model (TAM), are insufficient to fully account for </w:t>
      </w:r>
      <w:r>
        <w:lastRenderedPageBreak/>
        <w:t>the acceptance of sustainable technologies when considered independently of their institutional and normative context. Evidence from both the Analytical Hierarchy Process (AHP) and the bibliometric co-occurrence analysis points to the central role of institutional variables, particularly trust, legitimacy, and transparency, in structuring contemporary understandings of green technology adoption. This pattern is consistent with comparative research showing that institutional quality and environmental governance arrangements shape sustainability-related outcomes across diverse socio-political settings (Hussain &amp; Dogan, 2021).</w:t>
      </w:r>
    </w:p>
    <w:p w14:paraId="520A4414" w14:textId="72A0336C" w:rsidR="00BB2F4A" w:rsidRDefault="00BB2F4A" w:rsidP="00BB2F4A">
      <w:pPr>
        <w:pStyle w:val="NormalWeb"/>
      </w:pPr>
      <w:r>
        <w:t xml:space="preserve">Within the extended TAM proposed in this study, institutional determinants do not displace individual cognitive evaluations. Instead, they condition the environment in which such evaluations acquire behavioural significance. </w:t>
      </w:r>
      <w:r w:rsidRPr="00BB2F4A">
        <w:t>Trust and legitimacy, in particular, operate as contextual anchors, reinforcing perceptions of credibility, fairness, and reliability in both technological solutions and the institutions that promote them</w:t>
      </w:r>
      <w:r>
        <w:t>. This interpretation aligns with research in environmental psychology emphasising the role of institutional credibility and procedural justice in motivating pro-environmental behaviour (Janmaimool, 2021). Similarly, governance-focused studies have shown that transparency contributes to acceptance by reducing uncertainty and signalling accountability in public decision-making processes (Han et al., 2022).</w:t>
      </w:r>
    </w:p>
    <w:p w14:paraId="6EE296B1" w14:textId="0556311D" w:rsidR="00BB2F4A" w:rsidRDefault="00BB2F4A" w:rsidP="00BB2F4A">
      <w:pPr>
        <w:pStyle w:val="NormalWeb"/>
      </w:pPr>
      <w:r>
        <w:t>From an integrative standpoint, the extended TAM captures a dual structure of technology acceptance. On the one hand, behavioural determinants rooted in individual cognition, such as perceived usefulness and perceived ease of use, remain important drivers of adoption. On the other hand, institutional determinants operate at a collective level, shaping the interpretive frame through which individuals evaluate technological innovations. As a result, acceptance emerges as a socially embedded process, less dependent on isolated rational choice and more closely tied to perceptions of institutional legitimacy, transparency, and trustworthiness in the context of sustainability transitions.</w:t>
      </w:r>
    </w:p>
    <w:p w14:paraId="569AB95D" w14:textId="5A8BFEF4" w:rsidR="00D40857" w:rsidRPr="00D40857" w:rsidRDefault="00B53EAE" w:rsidP="00D40857">
      <w:pPr>
        <w:pStyle w:val="Ttulo2"/>
        <w:rPr>
          <w:bCs/>
          <w:lang w:val="en-GB"/>
        </w:rPr>
      </w:pPr>
      <w:r>
        <w:t>Conceptual convergence and robustness of the extended TAM</w:t>
      </w:r>
    </w:p>
    <w:p w14:paraId="11E1F3D3" w14:textId="77777777" w:rsidR="00BB2F4A" w:rsidRPr="00BB2F4A" w:rsidRDefault="00BB2F4A" w:rsidP="00BB2F4A">
      <w:pPr>
        <w:spacing w:before="100" w:beforeAutospacing="1" w:after="100" w:afterAutospacing="1"/>
        <w:rPr>
          <w:rFonts w:eastAsia="Times New Roman" w:cs="Times New Roman"/>
          <w:szCs w:val="24"/>
          <w:lang w:val="en-GB" w:eastAsia="es-ES"/>
        </w:rPr>
      </w:pPr>
      <w:r w:rsidRPr="00BB2F4A">
        <w:rPr>
          <w:rFonts w:eastAsia="Times New Roman" w:cs="Times New Roman"/>
          <w:szCs w:val="24"/>
          <w:lang w:val="en-GB" w:eastAsia="es-ES"/>
        </w:rPr>
        <w:t>This subsection examines the internal coherence of the extended Technology Acceptance Model (TAM) by analysing convergence patterns observed across bibliometric co-occurrence structures and the analytical synthesis developed in this study. Rather than serving as statistical validation, this analysis seeks to assess whether the proposed integration of behavioural and institutional dimensions aligns with the dominant ways in which green technology adoption is currently framed in the literature.</w:t>
      </w:r>
    </w:p>
    <w:p w14:paraId="2453A4AB" w14:textId="38BA44CD" w:rsidR="00BB2F4A" w:rsidRPr="00BB2F4A" w:rsidRDefault="00BB2F4A" w:rsidP="00BB2F4A">
      <w:pPr>
        <w:spacing w:before="100" w:beforeAutospacing="1" w:after="100" w:afterAutospacing="1"/>
        <w:rPr>
          <w:rFonts w:eastAsia="Times New Roman" w:cs="Times New Roman"/>
          <w:szCs w:val="24"/>
          <w:lang w:val="en-GB" w:eastAsia="es-ES"/>
        </w:rPr>
      </w:pPr>
      <w:r w:rsidRPr="00BB2F4A">
        <w:rPr>
          <w:rFonts w:eastAsia="Times New Roman" w:cs="Times New Roman"/>
          <w:szCs w:val="24"/>
          <w:lang w:val="en-GB" w:eastAsia="es-ES"/>
        </w:rPr>
        <w:t>As shown in Figure 6, the heatmap derived from the most frequently used author keywords in the 2021</w:t>
      </w:r>
      <w:r w:rsidR="00E61165">
        <w:rPr>
          <w:rFonts w:eastAsia="Times New Roman" w:cs="Times New Roman"/>
          <w:szCs w:val="24"/>
          <w:lang w:val="en-GB" w:eastAsia="es-ES"/>
        </w:rPr>
        <w:t>-</w:t>
      </w:r>
      <w:r w:rsidRPr="00BB2F4A">
        <w:rPr>
          <w:rFonts w:eastAsia="Times New Roman" w:cs="Times New Roman"/>
          <w:szCs w:val="24"/>
          <w:lang w:val="en-GB" w:eastAsia="es-ES"/>
        </w:rPr>
        <w:t>2025 Scopus corpus highlights recurrent associations between classical TAM constructs</w:t>
      </w:r>
      <w:r w:rsidR="00E61165">
        <w:rPr>
          <w:rFonts w:eastAsia="Times New Roman" w:cs="Times New Roman"/>
          <w:szCs w:val="24"/>
          <w:lang w:val="en-GB" w:eastAsia="es-ES"/>
        </w:rPr>
        <w:t xml:space="preserve">, </w:t>
      </w:r>
      <w:r w:rsidRPr="00BB2F4A">
        <w:rPr>
          <w:rFonts w:eastAsia="Times New Roman" w:cs="Times New Roman"/>
          <w:szCs w:val="24"/>
          <w:lang w:val="en-GB" w:eastAsia="es-ES"/>
        </w:rPr>
        <w:t>such as perceived usefulness, perceived ease of use, and behavioural intention</w:t>
      </w:r>
      <w:r w:rsidR="00E61165">
        <w:rPr>
          <w:rFonts w:eastAsia="Times New Roman" w:cs="Times New Roman"/>
          <w:szCs w:val="24"/>
          <w:lang w:val="en-GB" w:eastAsia="es-ES"/>
        </w:rPr>
        <w:t xml:space="preserve">, </w:t>
      </w:r>
      <w:r w:rsidRPr="00BB2F4A">
        <w:rPr>
          <w:rFonts w:eastAsia="Times New Roman" w:cs="Times New Roman"/>
          <w:szCs w:val="24"/>
          <w:lang w:val="en-GB" w:eastAsia="es-ES"/>
        </w:rPr>
        <w:t>and institutional concepts including trust, legitimacy, transparency, and community support. The density and proximity of these associations indicate that technology acceptance in sustainability-oriented contexts is rarely conceptualised as a purely individual or cognitive process. Instead, it is consistently situated within broader institutional and normative frameworks.</w:t>
      </w:r>
    </w:p>
    <w:p w14:paraId="37E104BF" w14:textId="60AD1643" w:rsidR="00BB2F4A" w:rsidRPr="00BB2F4A" w:rsidRDefault="00BB2F4A" w:rsidP="00BB2F4A">
      <w:pPr>
        <w:spacing w:before="100" w:beforeAutospacing="1" w:after="100" w:afterAutospacing="1"/>
        <w:rPr>
          <w:rFonts w:eastAsia="Times New Roman" w:cs="Times New Roman"/>
          <w:szCs w:val="24"/>
          <w:lang w:val="en-GB" w:eastAsia="es-ES"/>
        </w:rPr>
      </w:pPr>
      <w:r w:rsidRPr="00BB2F4A">
        <w:rPr>
          <w:rFonts w:eastAsia="Times New Roman" w:cs="Times New Roman"/>
          <w:b/>
          <w:bCs/>
          <w:szCs w:val="24"/>
          <w:lang w:val="en-GB" w:eastAsia="es-ES"/>
        </w:rPr>
        <w:t>Figure 6.</w:t>
      </w:r>
      <w:r w:rsidRPr="00BB2F4A">
        <w:rPr>
          <w:rFonts w:eastAsia="Times New Roman" w:cs="Times New Roman"/>
          <w:szCs w:val="24"/>
          <w:lang w:val="en-GB" w:eastAsia="es-ES"/>
        </w:rPr>
        <w:t xml:space="preserve"> Heatmap of the twenty most frequent co-occurring author keywords in the 2021–2025 Scopus corpus.</w:t>
      </w:r>
      <w:r>
        <w:rPr>
          <w:rFonts w:eastAsia="Times New Roman" w:cs="Times New Roman"/>
          <w:szCs w:val="24"/>
          <w:lang w:val="en-GB" w:eastAsia="es-ES"/>
        </w:rPr>
        <w:t xml:space="preserve"> </w:t>
      </w:r>
      <w:r w:rsidRPr="00BB2F4A">
        <w:rPr>
          <w:rFonts w:eastAsia="Times New Roman" w:cs="Times New Roman"/>
          <w:i/>
          <w:iCs/>
          <w:szCs w:val="24"/>
          <w:lang w:val="en-GB" w:eastAsia="es-ES"/>
        </w:rPr>
        <w:t>Source: authors’ elaboration based on Scopus data (retrieved October 2025).</w:t>
      </w:r>
    </w:p>
    <w:p w14:paraId="4E7FD7F2" w14:textId="21787A7B" w:rsidR="00BB2F4A" w:rsidRPr="00BB2F4A" w:rsidRDefault="00BB2F4A" w:rsidP="00BB2F4A">
      <w:pPr>
        <w:spacing w:before="100" w:beforeAutospacing="1" w:after="100" w:afterAutospacing="1"/>
        <w:rPr>
          <w:rFonts w:eastAsia="Times New Roman" w:cs="Times New Roman"/>
          <w:szCs w:val="24"/>
          <w:lang w:val="en-GB" w:eastAsia="es-ES"/>
        </w:rPr>
      </w:pPr>
      <w:r w:rsidRPr="00BB2F4A">
        <w:rPr>
          <w:rFonts w:eastAsia="Times New Roman" w:cs="Times New Roman"/>
          <w:szCs w:val="24"/>
          <w:lang w:val="en-GB" w:eastAsia="es-ES"/>
        </w:rPr>
        <w:t>This pattern is further supported by the quantitative descriptors reported in Table 3, which summarises keyword frequencies and total link strength values for the twenty most interconnected concepts in the corpus. Institutional constructs</w:t>
      </w:r>
      <w:r>
        <w:rPr>
          <w:rFonts w:eastAsia="Times New Roman" w:cs="Times New Roman"/>
          <w:szCs w:val="24"/>
          <w:lang w:val="en-GB" w:eastAsia="es-ES"/>
        </w:rPr>
        <w:t xml:space="preserve">, </w:t>
      </w:r>
      <w:r w:rsidRPr="00BB2F4A">
        <w:rPr>
          <w:rFonts w:eastAsia="Times New Roman" w:cs="Times New Roman"/>
          <w:szCs w:val="24"/>
          <w:lang w:val="en-GB" w:eastAsia="es-ES"/>
        </w:rPr>
        <w:t>most notably trust and legitimacy</w:t>
      </w:r>
      <w:r>
        <w:rPr>
          <w:rFonts w:eastAsia="Times New Roman" w:cs="Times New Roman"/>
          <w:szCs w:val="24"/>
          <w:lang w:val="en-GB" w:eastAsia="es-ES"/>
        </w:rPr>
        <w:t xml:space="preserve">, </w:t>
      </w:r>
      <w:r w:rsidRPr="00BB2F4A">
        <w:rPr>
          <w:rFonts w:eastAsia="Times New Roman" w:cs="Times New Roman"/>
          <w:szCs w:val="24"/>
          <w:lang w:val="en-GB" w:eastAsia="es-ES"/>
        </w:rPr>
        <w:t xml:space="preserve">display both high </w:t>
      </w:r>
      <w:r w:rsidRPr="00BB2F4A">
        <w:rPr>
          <w:rFonts w:eastAsia="Times New Roman" w:cs="Times New Roman"/>
          <w:szCs w:val="24"/>
          <w:lang w:val="en-GB" w:eastAsia="es-ES"/>
        </w:rPr>
        <w:lastRenderedPageBreak/>
        <w:t>frequency and strong levels of interconnectedness, comparable to or exceeding those of traditional behavioural variables. These indicators should not be interpreted as evidence of causal influence or predictive hierarchy. Rather, they reflect the central and integrative position that institutional dimensions occupy within contemporary research on sustainable technology adoption.</w:t>
      </w:r>
    </w:p>
    <w:p w14:paraId="198C4079" w14:textId="007ED0D9" w:rsidR="00BB2F4A" w:rsidRPr="00BB2F4A" w:rsidRDefault="00BB2F4A" w:rsidP="00BB2F4A">
      <w:pPr>
        <w:spacing w:before="100" w:beforeAutospacing="1" w:after="100" w:afterAutospacing="1"/>
        <w:rPr>
          <w:rFonts w:eastAsia="Times New Roman" w:cs="Times New Roman"/>
          <w:szCs w:val="24"/>
          <w:lang w:val="en-GB" w:eastAsia="es-ES"/>
        </w:rPr>
      </w:pPr>
      <w:r w:rsidRPr="00BB2F4A">
        <w:rPr>
          <w:rFonts w:eastAsia="Times New Roman" w:cs="Times New Roman"/>
          <w:b/>
          <w:bCs/>
          <w:szCs w:val="24"/>
          <w:lang w:val="en-GB" w:eastAsia="es-ES"/>
        </w:rPr>
        <w:t>Table 3.</w:t>
      </w:r>
      <w:r w:rsidRPr="00BB2F4A">
        <w:rPr>
          <w:rFonts w:eastAsia="Times New Roman" w:cs="Times New Roman"/>
          <w:szCs w:val="24"/>
          <w:lang w:val="en-GB" w:eastAsia="es-ES"/>
        </w:rPr>
        <w:t xml:space="preserve"> Top twenty author keywords by frequency and total link strength in the 2021–2025 Scopus corpus.</w:t>
      </w:r>
    </w:p>
    <w:tbl>
      <w:tblPr>
        <w:tblW w:w="978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686"/>
        <w:gridCol w:w="1276"/>
        <w:gridCol w:w="1842"/>
        <w:gridCol w:w="2977"/>
      </w:tblGrid>
      <w:tr w:rsidR="00F304BD" w:rsidRPr="00842094" w14:paraId="229FA466" w14:textId="77777777" w:rsidTr="00224E48">
        <w:trPr>
          <w:trHeight w:val="227"/>
          <w:tblHeader/>
          <w:tblCellSpacing w:w="15" w:type="dxa"/>
        </w:trPr>
        <w:tc>
          <w:tcPr>
            <w:tcW w:w="3641" w:type="dxa"/>
            <w:tcBorders>
              <w:top w:val="single" w:sz="4" w:space="0" w:color="auto"/>
              <w:bottom w:val="single" w:sz="4" w:space="0" w:color="auto"/>
            </w:tcBorders>
            <w:shd w:val="clear" w:color="auto" w:fill="F2F2F2" w:themeFill="background1" w:themeFillShade="F2"/>
            <w:vAlign w:val="center"/>
            <w:hideMark/>
          </w:tcPr>
          <w:p w14:paraId="312F936C" w14:textId="77777777" w:rsidR="00F304BD" w:rsidRPr="00842094" w:rsidRDefault="00F304BD" w:rsidP="00F304BD">
            <w:pPr>
              <w:spacing w:after="0"/>
              <w:jc w:val="center"/>
              <w:rPr>
                <w:b/>
                <w:bCs/>
                <w:lang w:val="es-ES" w:eastAsia="es-ES"/>
              </w:rPr>
            </w:pPr>
            <w:proofErr w:type="spellStart"/>
            <w:r w:rsidRPr="00842094">
              <w:rPr>
                <w:b/>
                <w:bCs/>
                <w:lang w:val="es-ES" w:eastAsia="es-ES"/>
              </w:rPr>
              <w:t>Keyword</w:t>
            </w:r>
            <w:proofErr w:type="spellEnd"/>
          </w:p>
        </w:tc>
        <w:tc>
          <w:tcPr>
            <w:tcW w:w="1246" w:type="dxa"/>
            <w:tcBorders>
              <w:top w:val="single" w:sz="4" w:space="0" w:color="auto"/>
              <w:bottom w:val="single" w:sz="4" w:space="0" w:color="auto"/>
            </w:tcBorders>
            <w:shd w:val="clear" w:color="auto" w:fill="F2F2F2" w:themeFill="background1" w:themeFillShade="F2"/>
            <w:vAlign w:val="center"/>
            <w:hideMark/>
          </w:tcPr>
          <w:p w14:paraId="09377625" w14:textId="77777777" w:rsidR="00F304BD" w:rsidRPr="00842094" w:rsidRDefault="00F304BD" w:rsidP="00F304BD">
            <w:pPr>
              <w:spacing w:after="0"/>
              <w:jc w:val="center"/>
              <w:rPr>
                <w:b/>
                <w:bCs/>
                <w:lang w:val="es-ES" w:eastAsia="es-ES"/>
              </w:rPr>
            </w:pPr>
            <w:proofErr w:type="spellStart"/>
            <w:r w:rsidRPr="00842094">
              <w:rPr>
                <w:b/>
                <w:bCs/>
                <w:lang w:val="es-ES" w:eastAsia="es-ES"/>
              </w:rPr>
              <w:t>Frequency</w:t>
            </w:r>
            <w:proofErr w:type="spellEnd"/>
          </w:p>
        </w:tc>
        <w:tc>
          <w:tcPr>
            <w:tcW w:w="1812" w:type="dxa"/>
            <w:tcBorders>
              <w:top w:val="single" w:sz="4" w:space="0" w:color="auto"/>
              <w:bottom w:val="single" w:sz="4" w:space="0" w:color="auto"/>
            </w:tcBorders>
            <w:shd w:val="clear" w:color="auto" w:fill="F2F2F2" w:themeFill="background1" w:themeFillShade="F2"/>
            <w:vAlign w:val="center"/>
            <w:hideMark/>
          </w:tcPr>
          <w:p w14:paraId="2FBC301A" w14:textId="77777777" w:rsidR="00F304BD" w:rsidRPr="00842094" w:rsidRDefault="00F304BD" w:rsidP="00F304BD">
            <w:pPr>
              <w:spacing w:after="0"/>
              <w:jc w:val="center"/>
              <w:rPr>
                <w:b/>
                <w:bCs/>
                <w:lang w:val="es-ES" w:eastAsia="es-ES"/>
              </w:rPr>
            </w:pPr>
            <w:r w:rsidRPr="00842094">
              <w:rPr>
                <w:b/>
                <w:bCs/>
                <w:lang w:val="es-ES" w:eastAsia="es-ES"/>
              </w:rPr>
              <w:t xml:space="preserve">Total Link </w:t>
            </w:r>
            <w:proofErr w:type="spellStart"/>
            <w:r w:rsidRPr="00842094">
              <w:rPr>
                <w:b/>
                <w:bCs/>
                <w:lang w:val="es-ES" w:eastAsia="es-ES"/>
              </w:rPr>
              <w:t>Strength</w:t>
            </w:r>
            <w:proofErr w:type="spellEnd"/>
          </w:p>
        </w:tc>
        <w:tc>
          <w:tcPr>
            <w:tcW w:w="2932" w:type="dxa"/>
            <w:tcBorders>
              <w:top w:val="single" w:sz="4" w:space="0" w:color="auto"/>
              <w:bottom w:val="single" w:sz="4" w:space="0" w:color="auto"/>
            </w:tcBorders>
            <w:shd w:val="clear" w:color="auto" w:fill="F2F2F2" w:themeFill="background1" w:themeFillShade="F2"/>
            <w:vAlign w:val="center"/>
            <w:hideMark/>
          </w:tcPr>
          <w:p w14:paraId="618E13EF" w14:textId="77777777" w:rsidR="00F304BD" w:rsidRPr="00842094" w:rsidRDefault="00F304BD" w:rsidP="00F304BD">
            <w:pPr>
              <w:spacing w:after="0"/>
              <w:jc w:val="center"/>
              <w:rPr>
                <w:b/>
                <w:bCs/>
                <w:lang w:val="es-ES" w:eastAsia="es-ES"/>
              </w:rPr>
            </w:pPr>
            <w:proofErr w:type="spellStart"/>
            <w:r w:rsidRPr="00842094">
              <w:rPr>
                <w:b/>
                <w:bCs/>
                <w:lang w:val="es-ES" w:eastAsia="es-ES"/>
              </w:rPr>
              <w:t>Cluster</w:t>
            </w:r>
            <w:proofErr w:type="spellEnd"/>
            <w:r w:rsidRPr="00842094">
              <w:rPr>
                <w:b/>
                <w:bCs/>
                <w:lang w:val="es-ES" w:eastAsia="es-ES"/>
              </w:rPr>
              <w:t xml:space="preserve"> / </w:t>
            </w:r>
            <w:proofErr w:type="spellStart"/>
            <w:r w:rsidRPr="00842094">
              <w:rPr>
                <w:b/>
                <w:bCs/>
                <w:lang w:val="es-ES" w:eastAsia="es-ES"/>
              </w:rPr>
              <w:t>Thematic</w:t>
            </w:r>
            <w:proofErr w:type="spellEnd"/>
            <w:r w:rsidRPr="00842094">
              <w:rPr>
                <w:b/>
                <w:bCs/>
                <w:lang w:val="es-ES" w:eastAsia="es-ES"/>
              </w:rPr>
              <w:t xml:space="preserve"> </w:t>
            </w:r>
            <w:proofErr w:type="spellStart"/>
            <w:r w:rsidRPr="00842094">
              <w:rPr>
                <w:b/>
                <w:bCs/>
                <w:lang w:val="es-ES" w:eastAsia="es-ES"/>
              </w:rPr>
              <w:t>Domain</w:t>
            </w:r>
            <w:proofErr w:type="spellEnd"/>
          </w:p>
        </w:tc>
      </w:tr>
      <w:tr w:rsidR="00F304BD" w:rsidRPr="00842094" w14:paraId="7977FE12" w14:textId="77777777" w:rsidTr="00224E48">
        <w:trPr>
          <w:trHeight w:val="227"/>
          <w:tblCellSpacing w:w="15" w:type="dxa"/>
        </w:trPr>
        <w:tc>
          <w:tcPr>
            <w:tcW w:w="3641" w:type="dxa"/>
            <w:vAlign w:val="center"/>
            <w:hideMark/>
          </w:tcPr>
          <w:p w14:paraId="61729819" w14:textId="77777777" w:rsidR="00F304BD" w:rsidRPr="00842094" w:rsidRDefault="00F304BD" w:rsidP="00224E48">
            <w:pPr>
              <w:spacing w:after="0"/>
              <w:rPr>
                <w:lang w:val="es-ES" w:eastAsia="es-ES"/>
              </w:rPr>
            </w:pPr>
            <w:r w:rsidRPr="00842094">
              <w:rPr>
                <w:lang w:val="es-ES" w:eastAsia="es-ES"/>
              </w:rPr>
              <w:t>Trust</w:t>
            </w:r>
          </w:p>
        </w:tc>
        <w:tc>
          <w:tcPr>
            <w:tcW w:w="1246" w:type="dxa"/>
            <w:vAlign w:val="center"/>
            <w:hideMark/>
          </w:tcPr>
          <w:p w14:paraId="0441D605" w14:textId="77777777" w:rsidR="00F304BD" w:rsidRPr="00842094" w:rsidRDefault="00F304BD" w:rsidP="00F304BD">
            <w:pPr>
              <w:spacing w:after="0"/>
              <w:jc w:val="center"/>
              <w:rPr>
                <w:lang w:val="es-ES" w:eastAsia="es-ES"/>
              </w:rPr>
            </w:pPr>
            <w:r w:rsidRPr="00842094">
              <w:rPr>
                <w:lang w:val="es-ES" w:eastAsia="es-ES"/>
              </w:rPr>
              <w:t>58</w:t>
            </w:r>
          </w:p>
        </w:tc>
        <w:tc>
          <w:tcPr>
            <w:tcW w:w="1812" w:type="dxa"/>
            <w:vAlign w:val="center"/>
            <w:hideMark/>
          </w:tcPr>
          <w:p w14:paraId="6CBC369C" w14:textId="77777777" w:rsidR="00F304BD" w:rsidRPr="00842094" w:rsidRDefault="00F304BD" w:rsidP="00F304BD">
            <w:pPr>
              <w:spacing w:after="0"/>
              <w:jc w:val="center"/>
              <w:rPr>
                <w:lang w:val="es-ES" w:eastAsia="es-ES"/>
              </w:rPr>
            </w:pPr>
            <w:r w:rsidRPr="00842094">
              <w:rPr>
                <w:lang w:val="es-ES" w:eastAsia="es-ES"/>
              </w:rPr>
              <w:t>249.2</w:t>
            </w:r>
          </w:p>
        </w:tc>
        <w:tc>
          <w:tcPr>
            <w:tcW w:w="2932" w:type="dxa"/>
            <w:vAlign w:val="center"/>
            <w:hideMark/>
          </w:tcPr>
          <w:p w14:paraId="0B87F2BD" w14:textId="77777777" w:rsidR="00F304BD" w:rsidRPr="00842094" w:rsidRDefault="00F304BD" w:rsidP="00224E48">
            <w:pPr>
              <w:spacing w:after="0"/>
              <w:rPr>
                <w:lang w:val="es-ES" w:eastAsia="es-ES"/>
              </w:rPr>
            </w:pPr>
            <w:proofErr w:type="spellStart"/>
            <w:r w:rsidRPr="00842094">
              <w:rPr>
                <w:lang w:val="es-ES" w:eastAsia="es-ES"/>
              </w:rPr>
              <w:t>Institutional</w:t>
            </w:r>
            <w:proofErr w:type="spellEnd"/>
            <w:r w:rsidRPr="00842094">
              <w:rPr>
                <w:lang w:val="es-ES" w:eastAsia="es-ES"/>
              </w:rPr>
              <w:t xml:space="preserve"> </w:t>
            </w:r>
            <w:proofErr w:type="spellStart"/>
            <w:r w:rsidRPr="00842094">
              <w:rPr>
                <w:lang w:val="es-ES" w:eastAsia="es-ES"/>
              </w:rPr>
              <w:t>confidence</w:t>
            </w:r>
            <w:proofErr w:type="spellEnd"/>
          </w:p>
        </w:tc>
      </w:tr>
      <w:tr w:rsidR="00F304BD" w:rsidRPr="00842094" w14:paraId="1AD59602" w14:textId="77777777" w:rsidTr="00224E48">
        <w:trPr>
          <w:trHeight w:val="227"/>
          <w:tblCellSpacing w:w="15" w:type="dxa"/>
        </w:trPr>
        <w:tc>
          <w:tcPr>
            <w:tcW w:w="3641" w:type="dxa"/>
            <w:vAlign w:val="center"/>
            <w:hideMark/>
          </w:tcPr>
          <w:p w14:paraId="0B5AE856" w14:textId="77777777" w:rsidR="00F304BD" w:rsidRPr="00842094" w:rsidRDefault="00F304BD" w:rsidP="00224E48">
            <w:pPr>
              <w:spacing w:after="0"/>
              <w:rPr>
                <w:lang w:val="es-ES" w:eastAsia="es-ES"/>
              </w:rPr>
            </w:pPr>
            <w:proofErr w:type="spellStart"/>
            <w:r w:rsidRPr="00842094">
              <w:rPr>
                <w:lang w:val="es-ES" w:eastAsia="es-ES"/>
              </w:rPr>
              <w:t>Technology</w:t>
            </w:r>
            <w:proofErr w:type="spellEnd"/>
            <w:r w:rsidRPr="00842094">
              <w:rPr>
                <w:lang w:val="es-ES" w:eastAsia="es-ES"/>
              </w:rPr>
              <w:t xml:space="preserve"> </w:t>
            </w:r>
            <w:proofErr w:type="spellStart"/>
            <w:r w:rsidRPr="00842094">
              <w:rPr>
                <w:lang w:val="es-ES" w:eastAsia="es-ES"/>
              </w:rPr>
              <w:t>Acceptance</w:t>
            </w:r>
            <w:proofErr w:type="spellEnd"/>
            <w:r w:rsidRPr="00842094">
              <w:rPr>
                <w:lang w:val="es-ES" w:eastAsia="es-ES"/>
              </w:rPr>
              <w:t xml:space="preserve"> </w:t>
            </w:r>
            <w:proofErr w:type="spellStart"/>
            <w:r w:rsidRPr="00842094">
              <w:rPr>
                <w:lang w:val="es-ES" w:eastAsia="es-ES"/>
              </w:rPr>
              <w:t>Model</w:t>
            </w:r>
            <w:proofErr w:type="spellEnd"/>
            <w:r w:rsidRPr="00842094">
              <w:rPr>
                <w:lang w:val="es-ES" w:eastAsia="es-ES"/>
              </w:rPr>
              <w:t xml:space="preserve"> (TAM)</w:t>
            </w:r>
          </w:p>
        </w:tc>
        <w:tc>
          <w:tcPr>
            <w:tcW w:w="1246" w:type="dxa"/>
            <w:vAlign w:val="center"/>
            <w:hideMark/>
          </w:tcPr>
          <w:p w14:paraId="398FDF05" w14:textId="77777777" w:rsidR="00F304BD" w:rsidRPr="00842094" w:rsidRDefault="00F304BD" w:rsidP="00F304BD">
            <w:pPr>
              <w:spacing w:after="0"/>
              <w:jc w:val="center"/>
              <w:rPr>
                <w:lang w:val="es-ES" w:eastAsia="es-ES"/>
              </w:rPr>
            </w:pPr>
            <w:r w:rsidRPr="00842094">
              <w:rPr>
                <w:lang w:val="es-ES" w:eastAsia="es-ES"/>
              </w:rPr>
              <w:t>88</w:t>
            </w:r>
          </w:p>
        </w:tc>
        <w:tc>
          <w:tcPr>
            <w:tcW w:w="1812" w:type="dxa"/>
            <w:vAlign w:val="center"/>
            <w:hideMark/>
          </w:tcPr>
          <w:p w14:paraId="5F6B89FF" w14:textId="77777777" w:rsidR="00F304BD" w:rsidRPr="00842094" w:rsidRDefault="00F304BD" w:rsidP="00F304BD">
            <w:pPr>
              <w:spacing w:after="0"/>
              <w:jc w:val="center"/>
              <w:rPr>
                <w:lang w:val="es-ES" w:eastAsia="es-ES"/>
              </w:rPr>
            </w:pPr>
            <w:r w:rsidRPr="00842094">
              <w:rPr>
                <w:lang w:val="es-ES" w:eastAsia="es-ES"/>
              </w:rPr>
              <w:t>244.8</w:t>
            </w:r>
          </w:p>
        </w:tc>
        <w:tc>
          <w:tcPr>
            <w:tcW w:w="2932" w:type="dxa"/>
            <w:vAlign w:val="center"/>
            <w:hideMark/>
          </w:tcPr>
          <w:p w14:paraId="3B99EAE8" w14:textId="77777777" w:rsidR="00F304BD" w:rsidRPr="00842094" w:rsidRDefault="00F304BD" w:rsidP="00224E48">
            <w:pPr>
              <w:spacing w:after="0"/>
              <w:rPr>
                <w:lang w:val="es-ES" w:eastAsia="es-ES"/>
              </w:rPr>
            </w:pPr>
            <w:r w:rsidRPr="00842094">
              <w:rPr>
                <w:lang w:val="es-ES" w:eastAsia="es-ES"/>
              </w:rPr>
              <w:t xml:space="preserve">Behavioural </w:t>
            </w:r>
            <w:proofErr w:type="spellStart"/>
            <w:r w:rsidRPr="00842094">
              <w:rPr>
                <w:lang w:val="es-ES" w:eastAsia="es-ES"/>
              </w:rPr>
              <w:t>theory</w:t>
            </w:r>
            <w:proofErr w:type="spellEnd"/>
          </w:p>
        </w:tc>
      </w:tr>
      <w:tr w:rsidR="00F304BD" w:rsidRPr="00842094" w14:paraId="1CDCAD56" w14:textId="77777777" w:rsidTr="00224E48">
        <w:trPr>
          <w:trHeight w:val="227"/>
          <w:tblCellSpacing w:w="15" w:type="dxa"/>
        </w:trPr>
        <w:tc>
          <w:tcPr>
            <w:tcW w:w="3641" w:type="dxa"/>
            <w:vAlign w:val="center"/>
            <w:hideMark/>
          </w:tcPr>
          <w:p w14:paraId="0EE88865" w14:textId="77777777" w:rsidR="00F304BD" w:rsidRPr="00842094" w:rsidRDefault="00F304BD" w:rsidP="00224E48">
            <w:pPr>
              <w:spacing w:after="0"/>
              <w:rPr>
                <w:lang w:val="es-ES" w:eastAsia="es-ES"/>
              </w:rPr>
            </w:pPr>
            <w:r w:rsidRPr="00842094">
              <w:rPr>
                <w:lang w:val="es-ES" w:eastAsia="es-ES"/>
              </w:rPr>
              <w:t xml:space="preserve">Perceived </w:t>
            </w:r>
            <w:proofErr w:type="spellStart"/>
            <w:r w:rsidRPr="00842094">
              <w:rPr>
                <w:lang w:val="es-ES" w:eastAsia="es-ES"/>
              </w:rPr>
              <w:t>Usefulness</w:t>
            </w:r>
            <w:proofErr w:type="spellEnd"/>
          </w:p>
        </w:tc>
        <w:tc>
          <w:tcPr>
            <w:tcW w:w="1246" w:type="dxa"/>
            <w:vAlign w:val="center"/>
            <w:hideMark/>
          </w:tcPr>
          <w:p w14:paraId="09C550FA" w14:textId="77777777" w:rsidR="00F304BD" w:rsidRPr="00842094" w:rsidRDefault="00F304BD" w:rsidP="00F304BD">
            <w:pPr>
              <w:spacing w:after="0"/>
              <w:jc w:val="center"/>
              <w:rPr>
                <w:lang w:val="es-ES" w:eastAsia="es-ES"/>
              </w:rPr>
            </w:pPr>
            <w:r w:rsidRPr="00842094">
              <w:rPr>
                <w:lang w:val="es-ES" w:eastAsia="es-ES"/>
              </w:rPr>
              <w:t>52</w:t>
            </w:r>
          </w:p>
        </w:tc>
        <w:tc>
          <w:tcPr>
            <w:tcW w:w="1812" w:type="dxa"/>
            <w:vAlign w:val="center"/>
            <w:hideMark/>
          </w:tcPr>
          <w:p w14:paraId="71C048D4" w14:textId="77777777" w:rsidR="00F304BD" w:rsidRPr="00842094" w:rsidRDefault="00F304BD" w:rsidP="00F304BD">
            <w:pPr>
              <w:spacing w:after="0"/>
              <w:jc w:val="center"/>
              <w:rPr>
                <w:lang w:val="es-ES" w:eastAsia="es-ES"/>
              </w:rPr>
            </w:pPr>
            <w:r w:rsidRPr="00842094">
              <w:rPr>
                <w:lang w:val="es-ES" w:eastAsia="es-ES"/>
              </w:rPr>
              <w:t>236.7</w:t>
            </w:r>
          </w:p>
        </w:tc>
        <w:tc>
          <w:tcPr>
            <w:tcW w:w="2932" w:type="dxa"/>
            <w:vAlign w:val="center"/>
            <w:hideMark/>
          </w:tcPr>
          <w:p w14:paraId="78B6EE30" w14:textId="77777777" w:rsidR="00F304BD" w:rsidRPr="00842094" w:rsidRDefault="00F304BD" w:rsidP="00224E48">
            <w:pPr>
              <w:spacing w:after="0"/>
              <w:rPr>
                <w:lang w:val="es-ES" w:eastAsia="es-ES"/>
              </w:rPr>
            </w:pPr>
            <w:r w:rsidRPr="00842094">
              <w:rPr>
                <w:lang w:val="es-ES" w:eastAsia="es-ES"/>
              </w:rPr>
              <w:t xml:space="preserve">Cognitive </w:t>
            </w:r>
            <w:proofErr w:type="spellStart"/>
            <w:r w:rsidRPr="00842094">
              <w:rPr>
                <w:lang w:val="es-ES" w:eastAsia="es-ES"/>
              </w:rPr>
              <w:t>beliefs</w:t>
            </w:r>
            <w:proofErr w:type="spellEnd"/>
          </w:p>
        </w:tc>
      </w:tr>
      <w:tr w:rsidR="00F304BD" w:rsidRPr="00842094" w14:paraId="3B372BF6" w14:textId="77777777" w:rsidTr="00224E48">
        <w:trPr>
          <w:trHeight w:val="227"/>
          <w:tblCellSpacing w:w="15" w:type="dxa"/>
        </w:trPr>
        <w:tc>
          <w:tcPr>
            <w:tcW w:w="3641" w:type="dxa"/>
            <w:vAlign w:val="center"/>
            <w:hideMark/>
          </w:tcPr>
          <w:p w14:paraId="58F2867F" w14:textId="77777777" w:rsidR="00F304BD" w:rsidRPr="00842094" w:rsidRDefault="00F304BD" w:rsidP="00224E48">
            <w:pPr>
              <w:spacing w:after="0"/>
              <w:rPr>
                <w:lang w:val="es-ES" w:eastAsia="es-ES"/>
              </w:rPr>
            </w:pPr>
            <w:proofErr w:type="spellStart"/>
            <w:r w:rsidRPr="00842094">
              <w:rPr>
                <w:lang w:val="es-ES" w:eastAsia="es-ES"/>
              </w:rPr>
              <w:t>Ease</w:t>
            </w:r>
            <w:proofErr w:type="spellEnd"/>
            <w:r w:rsidRPr="00842094">
              <w:rPr>
                <w:lang w:val="es-ES" w:eastAsia="es-ES"/>
              </w:rPr>
              <w:t xml:space="preserve"> of Use</w:t>
            </w:r>
          </w:p>
        </w:tc>
        <w:tc>
          <w:tcPr>
            <w:tcW w:w="1246" w:type="dxa"/>
            <w:vAlign w:val="center"/>
            <w:hideMark/>
          </w:tcPr>
          <w:p w14:paraId="6B1E9033" w14:textId="77777777" w:rsidR="00F304BD" w:rsidRPr="00842094" w:rsidRDefault="00F304BD" w:rsidP="00F304BD">
            <w:pPr>
              <w:spacing w:after="0"/>
              <w:jc w:val="center"/>
              <w:rPr>
                <w:lang w:val="es-ES" w:eastAsia="es-ES"/>
              </w:rPr>
            </w:pPr>
            <w:r w:rsidRPr="00842094">
              <w:rPr>
                <w:lang w:val="es-ES" w:eastAsia="es-ES"/>
              </w:rPr>
              <w:t>47</w:t>
            </w:r>
          </w:p>
        </w:tc>
        <w:tc>
          <w:tcPr>
            <w:tcW w:w="1812" w:type="dxa"/>
            <w:vAlign w:val="center"/>
            <w:hideMark/>
          </w:tcPr>
          <w:p w14:paraId="0E8EDB1C" w14:textId="77777777" w:rsidR="00F304BD" w:rsidRPr="00842094" w:rsidRDefault="00F304BD" w:rsidP="00F304BD">
            <w:pPr>
              <w:spacing w:after="0"/>
              <w:jc w:val="center"/>
              <w:rPr>
                <w:lang w:val="es-ES" w:eastAsia="es-ES"/>
              </w:rPr>
            </w:pPr>
            <w:r w:rsidRPr="00842094">
              <w:rPr>
                <w:lang w:val="es-ES" w:eastAsia="es-ES"/>
              </w:rPr>
              <w:t>225.3</w:t>
            </w:r>
          </w:p>
        </w:tc>
        <w:tc>
          <w:tcPr>
            <w:tcW w:w="2932" w:type="dxa"/>
            <w:vAlign w:val="center"/>
            <w:hideMark/>
          </w:tcPr>
          <w:p w14:paraId="197867EA" w14:textId="77777777" w:rsidR="00F304BD" w:rsidRPr="00842094" w:rsidRDefault="00F304BD" w:rsidP="00224E48">
            <w:pPr>
              <w:spacing w:after="0"/>
              <w:rPr>
                <w:lang w:val="es-ES" w:eastAsia="es-ES"/>
              </w:rPr>
            </w:pPr>
            <w:r w:rsidRPr="00842094">
              <w:rPr>
                <w:lang w:val="es-ES" w:eastAsia="es-ES"/>
              </w:rPr>
              <w:t xml:space="preserve">Cognitive </w:t>
            </w:r>
            <w:proofErr w:type="spellStart"/>
            <w:r w:rsidRPr="00842094">
              <w:rPr>
                <w:lang w:val="es-ES" w:eastAsia="es-ES"/>
              </w:rPr>
              <w:t>beliefs</w:t>
            </w:r>
            <w:proofErr w:type="spellEnd"/>
          </w:p>
        </w:tc>
      </w:tr>
      <w:tr w:rsidR="00F304BD" w:rsidRPr="00842094" w14:paraId="2DD3B233" w14:textId="77777777" w:rsidTr="00224E48">
        <w:trPr>
          <w:trHeight w:val="227"/>
          <w:tblCellSpacing w:w="15" w:type="dxa"/>
        </w:trPr>
        <w:tc>
          <w:tcPr>
            <w:tcW w:w="3641" w:type="dxa"/>
            <w:vAlign w:val="center"/>
            <w:hideMark/>
          </w:tcPr>
          <w:p w14:paraId="4E9E5FCC" w14:textId="77777777" w:rsidR="00F304BD" w:rsidRPr="00842094" w:rsidRDefault="00F304BD" w:rsidP="00224E48">
            <w:pPr>
              <w:spacing w:after="0"/>
              <w:rPr>
                <w:lang w:val="es-ES" w:eastAsia="es-ES"/>
              </w:rPr>
            </w:pPr>
            <w:proofErr w:type="spellStart"/>
            <w:r w:rsidRPr="00842094">
              <w:rPr>
                <w:lang w:val="es-ES" w:eastAsia="es-ES"/>
              </w:rPr>
              <w:t>Legitimacy</w:t>
            </w:r>
            <w:proofErr w:type="spellEnd"/>
          </w:p>
        </w:tc>
        <w:tc>
          <w:tcPr>
            <w:tcW w:w="1246" w:type="dxa"/>
            <w:vAlign w:val="center"/>
            <w:hideMark/>
          </w:tcPr>
          <w:p w14:paraId="2CCDF060" w14:textId="77777777" w:rsidR="00F304BD" w:rsidRPr="00842094" w:rsidRDefault="00F304BD" w:rsidP="00F304BD">
            <w:pPr>
              <w:spacing w:after="0"/>
              <w:jc w:val="center"/>
              <w:rPr>
                <w:lang w:val="es-ES" w:eastAsia="es-ES"/>
              </w:rPr>
            </w:pPr>
            <w:r w:rsidRPr="00842094">
              <w:rPr>
                <w:lang w:val="es-ES" w:eastAsia="es-ES"/>
              </w:rPr>
              <w:t>42</w:t>
            </w:r>
          </w:p>
        </w:tc>
        <w:tc>
          <w:tcPr>
            <w:tcW w:w="1812" w:type="dxa"/>
            <w:vAlign w:val="center"/>
            <w:hideMark/>
          </w:tcPr>
          <w:p w14:paraId="738B4F7D" w14:textId="77777777" w:rsidR="00F304BD" w:rsidRPr="00842094" w:rsidRDefault="00F304BD" w:rsidP="00F304BD">
            <w:pPr>
              <w:spacing w:after="0"/>
              <w:jc w:val="center"/>
              <w:rPr>
                <w:lang w:val="es-ES" w:eastAsia="es-ES"/>
              </w:rPr>
            </w:pPr>
            <w:r w:rsidRPr="00842094">
              <w:rPr>
                <w:lang w:val="es-ES" w:eastAsia="es-ES"/>
              </w:rPr>
              <w:t>214.6</w:t>
            </w:r>
          </w:p>
        </w:tc>
        <w:tc>
          <w:tcPr>
            <w:tcW w:w="2932" w:type="dxa"/>
            <w:vAlign w:val="center"/>
            <w:hideMark/>
          </w:tcPr>
          <w:p w14:paraId="42756C97" w14:textId="77777777" w:rsidR="00F304BD" w:rsidRPr="00842094" w:rsidRDefault="00F304BD" w:rsidP="00224E48">
            <w:pPr>
              <w:spacing w:after="0"/>
              <w:rPr>
                <w:lang w:val="es-ES" w:eastAsia="es-ES"/>
              </w:rPr>
            </w:pPr>
            <w:proofErr w:type="spellStart"/>
            <w:r w:rsidRPr="00842094">
              <w:rPr>
                <w:lang w:val="es-ES" w:eastAsia="es-ES"/>
              </w:rPr>
              <w:t>Institutional</w:t>
            </w:r>
            <w:proofErr w:type="spellEnd"/>
            <w:r w:rsidRPr="00842094">
              <w:rPr>
                <w:lang w:val="es-ES" w:eastAsia="es-ES"/>
              </w:rPr>
              <w:t xml:space="preserve"> </w:t>
            </w:r>
            <w:proofErr w:type="spellStart"/>
            <w:r w:rsidRPr="00842094">
              <w:rPr>
                <w:lang w:val="es-ES" w:eastAsia="es-ES"/>
              </w:rPr>
              <w:t>perception</w:t>
            </w:r>
            <w:proofErr w:type="spellEnd"/>
          </w:p>
        </w:tc>
      </w:tr>
      <w:tr w:rsidR="00F304BD" w:rsidRPr="00842094" w14:paraId="2B8B2169" w14:textId="77777777" w:rsidTr="00224E48">
        <w:trPr>
          <w:trHeight w:val="227"/>
          <w:tblCellSpacing w:w="15" w:type="dxa"/>
        </w:trPr>
        <w:tc>
          <w:tcPr>
            <w:tcW w:w="3641" w:type="dxa"/>
            <w:vAlign w:val="center"/>
            <w:hideMark/>
          </w:tcPr>
          <w:p w14:paraId="2D682419" w14:textId="77777777" w:rsidR="00F304BD" w:rsidRPr="00842094" w:rsidRDefault="00F304BD" w:rsidP="00224E48">
            <w:pPr>
              <w:spacing w:after="0"/>
              <w:rPr>
                <w:lang w:val="es-ES" w:eastAsia="es-ES"/>
              </w:rPr>
            </w:pPr>
            <w:proofErr w:type="spellStart"/>
            <w:r w:rsidRPr="00842094">
              <w:rPr>
                <w:lang w:val="es-ES" w:eastAsia="es-ES"/>
              </w:rPr>
              <w:t>Transparency</w:t>
            </w:r>
            <w:proofErr w:type="spellEnd"/>
          </w:p>
        </w:tc>
        <w:tc>
          <w:tcPr>
            <w:tcW w:w="1246" w:type="dxa"/>
            <w:vAlign w:val="center"/>
            <w:hideMark/>
          </w:tcPr>
          <w:p w14:paraId="0F3D9732" w14:textId="77777777" w:rsidR="00F304BD" w:rsidRPr="00842094" w:rsidRDefault="00F304BD" w:rsidP="00F304BD">
            <w:pPr>
              <w:spacing w:after="0"/>
              <w:jc w:val="center"/>
              <w:rPr>
                <w:lang w:val="es-ES" w:eastAsia="es-ES"/>
              </w:rPr>
            </w:pPr>
            <w:r w:rsidRPr="00842094">
              <w:rPr>
                <w:lang w:val="es-ES" w:eastAsia="es-ES"/>
              </w:rPr>
              <w:t>39</w:t>
            </w:r>
          </w:p>
        </w:tc>
        <w:tc>
          <w:tcPr>
            <w:tcW w:w="1812" w:type="dxa"/>
            <w:vAlign w:val="center"/>
            <w:hideMark/>
          </w:tcPr>
          <w:p w14:paraId="48DE10E9" w14:textId="77777777" w:rsidR="00F304BD" w:rsidRPr="00842094" w:rsidRDefault="00F304BD" w:rsidP="00F304BD">
            <w:pPr>
              <w:spacing w:after="0"/>
              <w:jc w:val="center"/>
              <w:rPr>
                <w:lang w:val="es-ES" w:eastAsia="es-ES"/>
              </w:rPr>
            </w:pPr>
            <w:r w:rsidRPr="00842094">
              <w:rPr>
                <w:lang w:val="es-ES" w:eastAsia="es-ES"/>
              </w:rPr>
              <w:t>202.9</w:t>
            </w:r>
          </w:p>
        </w:tc>
        <w:tc>
          <w:tcPr>
            <w:tcW w:w="2932" w:type="dxa"/>
            <w:vAlign w:val="center"/>
            <w:hideMark/>
          </w:tcPr>
          <w:p w14:paraId="0A3B99E2" w14:textId="77777777" w:rsidR="00F304BD" w:rsidRPr="00842094" w:rsidRDefault="00F304BD" w:rsidP="00224E48">
            <w:pPr>
              <w:spacing w:after="0"/>
              <w:rPr>
                <w:lang w:val="es-ES" w:eastAsia="es-ES"/>
              </w:rPr>
            </w:pPr>
            <w:proofErr w:type="spellStart"/>
            <w:r w:rsidRPr="00842094">
              <w:rPr>
                <w:lang w:val="es-ES" w:eastAsia="es-ES"/>
              </w:rPr>
              <w:t>Governance</w:t>
            </w:r>
            <w:proofErr w:type="spellEnd"/>
            <w:r w:rsidRPr="00842094">
              <w:rPr>
                <w:lang w:val="es-ES" w:eastAsia="es-ES"/>
              </w:rPr>
              <w:t xml:space="preserve"> and </w:t>
            </w:r>
            <w:proofErr w:type="spellStart"/>
            <w:r w:rsidRPr="00842094">
              <w:rPr>
                <w:lang w:val="es-ES" w:eastAsia="es-ES"/>
              </w:rPr>
              <w:t>ethics</w:t>
            </w:r>
            <w:proofErr w:type="spellEnd"/>
          </w:p>
        </w:tc>
      </w:tr>
      <w:tr w:rsidR="00F304BD" w:rsidRPr="00842094" w14:paraId="268B537A" w14:textId="77777777" w:rsidTr="00224E48">
        <w:trPr>
          <w:trHeight w:val="227"/>
          <w:tblCellSpacing w:w="15" w:type="dxa"/>
        </w:trPr>
        <w:tc>
          <w:tcPr>
            <w:tcW w:w="3641" w:type="dxa"/>
            <w:vAlign w:val="center"/>
            <w:hideMark/>
          </w:tcPr>
          <w:p w14:paraId="138D765D" w14:textId="77777777" w:rsidR="00F304BD" w:rsidRPr="00842094" w:rsidRDefault="00F304BD" w:rsidP="00224E48">
            <w:pPr>
              <w:spacing w:after="0"/>
              <w:rPr>
                <w:lang w:val="es-ES" w:eastAsia="es-ES"/>
              </w:rPr>
            </w:pPr>
            <w:proofErr w:type="spellStart"/>
            <w:r w:rsidRPr="00842094">
              <w:rPr>
                <w:lang w:val="es-ES" w:eastAsia="es-ES"/>
              </w:rPr>
              <w:t>Community</w:t>
            </w:r>
            <w:proofErr w:type="spellEnd"/>
            <w:r w:rsidRPr="00842094">
              <w:rPr>
                <w:lang w:val="es-ES" w:eastAsia="es-ES"/>
              </w:rPr>
              <w:t xml:space="preserve"> </w:t>
            </w:r>
            <w:proofErr w:type="spellStart"/>
            <w:r w:rsidRPr="00842094">
              <w:rPr>
                <w:lang w:val="es-ES" w:eastAsia="es-ES"/>
              </w:rPr>
              <w:t>Support</w:t>
            </w:r>
            <w:proofErr w:type="spellEnd"/>
          </w:p>
        </w:tc>
        <w:tc>
          <w:tcPr>
            <w:tcW w:w="1246" w:type="dxa"/>
            <w:vAlign w:val="center"/>
            <w:hideMark/>
          </w:tcPr>
          <w:p w14:paraId="3502909F" w14:textId="77777777" w:rsidR="00F304BD" w:rsidRPr="00842094" w:rsidRDefault="00F304BD" w:rsidP="00F304BD">
            <w:pPr>
              <w:spacing w:after="0"/>
              <w:jc w:val="center"/>
              <w:rPr>
                <w:lang w:val="es-ES" w:eastAsia="es-ES"/>
              </w:rPr>
            </w:pPr>
            <w:r w:rsidRPr="00842094">
              <w:rPr>
                <w:lang w:val="es-ES" w:eastAsia="es-ES"/>
              </w:rPr>
              <w:t>35</w:t>
            </w:r>
          </w:p>
        </w:tc>
        <w:tc>
          <w:tcPr>
            <w:tcW w:w="1812" w:type="dxa"/>
            <w:vAlign w:val="center"/>
            <w:hideMark/>
          </w:tcPr>
          <w:p w14:paraId="3E72FE80" w14:textId="77777777" w:rsidR="00F304BD" w:rsidRPr="00842094" w:rsidRDefault="00F304BD" w:rsidP="00F304BD">
            <w:pPr>
              <w:spacing w:after="0"/>
              <w:jc w:val="center"/>
              <w:rPr>
                <w:lang w:val="es-ES" w:eastAsia="es-ES"/>
              </w:rPr>
            </w:pPr>
            <w:r w:rsidRPr="00842094">
              <w:rPr>
                <w:lang w:val="es-ES" w:eastAsia="es-ES"/>
              </w:rPr>
              <w:t>197.4</w:t>
            </w:r>
          </w:p>
        </w:tc>
        <w:tc>
          <w:tcPr>
            <w:tcW w:w="2932" w:type="dxa"/>
            <w:vAlign w:val="center"/>
            <w:hideMark/>
          </w:tcPr>
          <w:p w14:paraId="5C9A4D10" w14:textId="77777777" w:rsidR="00F304BD" w:rsidRPr="00842094" w:rsidRDefault="00F304BD" w:rsidP="00224E48">
            <w:pPr>
              <w:spacing w:after="0"/>
              <w:rPr>
                <w:lang w:val="es-ES" w:eastAsia="es-ES"/>
              </w:rPr>
            </w:pPr>
            <w:r w:rsidRPr="00842094">
              <w:rPr>
                <w:lang w:val="es-ES" w:eastAsia="es-ES"/>
              </w:rPr>
              <w:t xml:space="preserve">Social </w:t>
            </w:r>
            <w:proofErr w:type="spellStart"/>
            <w:r w:rsidRPr="00842094">
              <w:rPr>
                <w:lang w:val="es-ES" w:eastAsia="es-ES"/>
              </w:rPr>
              <w:t>endorsement</w:t>
            </w:r>
            <w:proofErr w:type="spellEnd"/>
          </w:p>
        </w:tc>
      </w:tr>
      <w:tr w:rsidR="00F304BD" w:rsidRPr="00842094" w14:paraId="715D9C30" w14:textId="77777777" w:rsidTr="00224E48">
        <w:trPr>
          <w:trHeight w:val="227"/>
          <w:tblCellSpacing w:w="15" w:type="dxa"/>
        </w:trPr>
        <w:tc>
          <w:tcPr>
            <w:tcW w:w="3641" w:type="dxa"/>
            <w:vAlign w:val="center"/>
            <w:hideMark/>
          </w:tcPr>
          <w:p w14:paraId="4A0E420A" w14:textId="77777777" w:rsidR="00F304BD" w:rsidRPr="00842094" w:rsidRDefault="00F304BD" w:rsidP="00224E48">
            <w:pPr>
              <w:spacing w:after="0"/>
              <w:rPr>
                <w:lang w:val="es-ES" w:eastAsia="es-ES"/>
              </w:rPr>
            </w:pPr>
            <w:r w:rsidRPr="00842094">
              <w:rPr>
                <w:lang w:val="es-ES" w:eastAsia="es-ES"/>
              </w:rPr>
              <w:t xml:space="preserve">Behavioural </w:t>
            </w:r>
            <w:proofErr w:type="spellStart"/>
            <w:r w:rsidRPr="00842094">
              <w:rPr>
                <w:lang w:val="es-ES" w:eastAsia="es-ES"/>
              </w:rPr>
              <w:t>Intention</w:t>
            </w:r>
            <w:proofErr w:type="spellEnd"/>
          </w:p>
        </w:tc>
        <w:tc>
          <w:tcPr>
            <w:tcW w:w="1246" w:type="dxa"/>
            <w:vAlign w:val="center"/>
            <w:hideMark/>
          </w:tcPr>
          <w:p w14:paraId="200867DB" w14:textId="77777777" w:rsidR="00F304BD" w:rsidRPr="00842094" w:rsidRDefault="00F304BD" w:rsidP="00F304BD">
            <w:pPr>
              <w:spacing w:after="0"/>
              <w:jc w:val="center"/>
              <w:rPr>
                <w:lang w:val="es-ES" w:eastAsia="es-ES"/>
              </w:rPr>
            </w:pPr>
            <w:r w:rsidRPr="00842094">
              <w:rPr>
                <w:lang w:val="es-ES" w:eastAsia="es-ES"/>
              </w:rPr>
              <w:t>31</w:t>
            </w:r>
          </w:p>
        </w:tc>
        <w:tc>
          <w:tcPr>
            <w:tcW w:w="1812" w:type="dxa"/>
            <w:vAlign w:val="center"/>
            <w:hideMark/>
          </w:tcPr>
          <w:p w14:paraId="7D84F773" w14:textId="77777777" w:rsidR="00F304BD" w:rsidRPr="00842094" w:rsidRDefault="00F304BD" w:rsidP="00F304BD">
            <w:pPr>
              <w:spacing w:after="0"/>
              <w:jc w:val="center"/>
              <w:rPr>
                <w:lang w:val="es-ES" w:eastAsia="es-ES"/>
              </w:rPr>
            </w:pPr>
            <w:r w:rsidRPr="00842094">
              <w:rPr>
                <w:lang w:val="es-ES" w:eastAsia="es-ES"/>
              </w:rPr>
              <w:t>186.2</w:t>
            </w:r>
          </w:p>
        </w:tc>
        <w:tc>
          <w:tcPr>
            <w:tcW w:w="2932" w:type="dxa"/>
            <w:vAlign w:val="center"/>
            <w:hideMark/>
          </w:tcPr>
          <w:p w14:paraId="7115EE23" w14:textId="77777777" w:rsidR="00F304BD" w:rsidRPr="00842094" w:rsidRDefault="00F304BD" w:rsidP="00224E48">
            <w:pPr>
              <w:spacing w:after="0"/>
              <w:rPr>
                <w:lang w:val="es-ES" w:eastAsia="es-ES"/>
              </w:rPr>
            </w:pPr>
            <w:r w:rsidRPr="00842094">
              <w:rPr>
                <w:lang w:val="es-ES" w:eastAsia="es-ES"/>
              </w:rPr>
              <w:t xml:space="preserve">Behavioural </w:t>
            </w:r>
            <w:proofErr w:type="spellStart"/>
            <w:r w:rsidRPr="00842094">
              <w:rPr>
                <w:lang w:val="es-ES" w:eastAsia="es-ES"/>
              </w:rPr>
              <w:t>outcome</w:t>
            </w:r>
            <w:proofErr w:type="spellEnd"/>
          </w:p>
        </w:tc>
      </w:tr>
      <w:tr w:rsidR="00F304BD" w:rsidRPr="00842094" w14:paraId="7ACDEF02" w14:textId="77777777" w:rsidTr="00224E48">
        <w:trPr>
          <w:trHeight w:val="227"/>
          <w:tblCellSpacing w:w="15" w:type="dxa"/>
        </w:trPr>
        <w:tc>
          <w:tcPr>
            <w:tcW w:w="3641" w:type="dxa"/>
            <w:vAlign w:val="center"/>
            <w:hideMark/>
          </w:tcPr>
          <w:p w14:paraId="2F3DD7CC" w14:textId="77777777" w:rsidR="00F304BD" w:rsidRPr="00842094" w:rsidRDefault="00F304BD" w:rsidP="00224E48">
            <w:pPr>
              <w:spacing w:after="0"/>
              <w:rPr>
                <w:lang w:val="es-ES" w:eastAsia="es-ES"/>
              </w:rPr>
            </w:pPr>
            <w:proofErr w:type="spellStart"/>
            <w:r w:rsidRPr="00842094">
              <w:rPr>
                <w:lang w:val="es-ES" w:eastAsia="es-ES"/>
              </w:rPr>
              <w:t>Sustainability</w:t>
            </w:r>
            <w:proofErr w:type="spellEnd"/>
          </w:p>
        </w:tc>
        <w:tc>
          <w:tcPr>
            <w:tcW w:w="1246" w:type="dxa"/>
            <w:vAlign w:val="center"/>
            <w:hideMark/>
          </w:tcPr>
          <w:p w14:paraId="728C7869" w14:textId="77777777" w:rsidR="00F304BD" w:rsidRPr="00842094" w:rsidRDefault="00F304BD" w:rsidP="00F304BD">
            <w:pPr>
              <w:spacing w:after="0"/>
              <w:jc w:val="center"/>
              <w:rPr>
                <w:lang w:val="es-ES" w:eastAsia="es-ES"/>
              </w:rPr>
            </w:pPr>
            <w:r w:rsidRPr="00842094">
              <w:rPr>
                <w:lang w:val="es-ES" w:eastAsia="es-ES"/>
              </w:rPr>
              <w:t>43</w:t>
            </w:r>
          </w:p>
        </w:tc>
        <w:tc>
          <w:tcPr>
            <w:tcW w:w="1812" w:type="dxa"/>
            <w:vAlign w:val="center"/>
            <w:hideMark/>
          </w:tcPr>
          <w:p w14:paraId="11F4430B" w14:textId="77777777" w:rsidR="00F304BD" w:rsidRPr="00842094" w:rsidRDefault="00F304BD" w:rsidP="00F304BD">
            <w:pPr>
              <w:spacing w:after="0"/>
              <w:jc w:val="center"/>
              <w:rPr>
                <w:lang w:val="es-ES" w:eastAsia="es-ES"/>
              </w:rPr>
            </w:pPr>
            <w:r w:rsidRPr="00842094">
              <w:rPr>
                <w:lang w:val="es-ES" w:eastAsia="es-ES"/>
              </w:rPr>
              <w:t>175.9</w:t>
            </w:r>
          </w:p>
        </w:tc>
        <w:tc>
          <w:tcPr>
            <w:tcW w:w="2932" w:type="dxa"/>
            <w:vAlign w:val="center"/>
            <w:hideMark/>
          </w:tcPr>
          <w:p w14:paraId="62BCA9E0" w14:textId="77777777" w:rsidR="00F304BD" w:rsidRPr="00842094" w:rsidRDefault="00F304BD" w:rsidP="00224E48">
            <w:pPr>
              <w:spacing w:after="0"/>
              <w:rPr>
                <w:lang w:val="es-ES" w:eastAsia="es-ES"/>
              </w:rPr>
            </w:pPr>
            <w:r w:rsidRPr="00842094">
              <w:rPr>
                <w:lang w:val="es-ES" w:eastAsia="es-ES"/>
              </w:rPr>
              <w:t xml:space="preserve">Environmental </w:t>
            </w:r>
            <w:proofErr w:type="spellStart"/>
            <w:r w:rsidRPr="00842094">
              <w:rPr>
                <w:lang w:val="es-ES" w:eastAsia="es-ES"/>
              </w:rPr>
              <w:t>orientation</w:t>
            </w:r>
            <w:proofErr w:type="spellEnd"/>
          </w:p>
        </w:tc>
      </w:tr>
      <w:tr w:rsidR="00F304BD" w:rsidRPr="00842094" w14:paraId="6EA9D6AC" w14:textId="77777777" w:rsidTr="00224E48">
        <w:trPr>
          <w:trHeight w:val="227"/>
          <w:tblCellSpacing w:w="15" w:type="dxa"/>
        </w:trPr>
        <w:tc>
          <w:tcPr>
            <w:tcW w:w="3641" w:type="dxa"/>
            <w:vAlign w:val="center"/>
            <w:hideMark/>
          </w:tcPr>
          <w:p w14:paraId="49570A80" w14:textId="77777777" w:rsidR="00F304BD" w:rsidRPr="00842094" w:rsidRDefault="00F304BD" w:rsidP="00224E48">
            <w:pPr>
              <w:spacing w:after="0"/>
              <w:rPr>
                <w:lang w:val="es-ES" w:eastAsia="es-ES"/>
              </w:rPr>
            </w:pPr>
            <w:r w:rsidRPr="00842094">
              <w:rPr>
                <w:lang w:val="es-ES" w:eastAsia="es-ES"/>
              </w:rPr>
              <w:t xml:space="preserve">Green </w:t>
            </w:r>
            <w:proofErr w:type="spellStart"/>
            <w:r w:rsidRPr="00842094">
              <w:rPr>
                <w:lang w:val="es-ES" w:eastAsia="es-ES"/>
              </w:rPr>
              <w:t>Technology</w:t>
            </w:r>
            <w:proofErr w:type="spellEnd"/>
          </w:p>
        </w:tc>
        <w:tc>
          <w:tcPr>
            <w:tcW w:w="1246" w:type="dxa"/>
            <w:vAlign w:val="center"/>
            <w:hideMark/>
          </w:tcPr>
          <w:p w14:paraId="2B3AA432" w14:textId="77777777" w:rsidR="00F304BD" w:rsidRPr="00842094" w:rsidRDefault="00F304BD" w:rsidP="00F304BD">
            <w:pPr>
              <w:spacing w:after="0"/>
              <w:jc w:val="center"/>
              <w:rPr>
                <w:lang w:val="es-ES" w:eastAsia="es-ES"/>
              </w:rPr>
            </w:pPr>
            <w:r w:rsidRPr="00842094">
              <w:rPr>
                <w:lang w:val="es-ES" w:eastAsia="es-ES"/>
              </w:rPr>
              <w:t>41</w:t>
            </w:r>
          </w:p>
        </w:tc>
        <w:tc>
          <w:tcPr>
            <w:tcW w:w="1812" w:type="dxa"/>
            <w:vAlign w:val="center"/>
            <w:hideMark/>
          </w:tcPr>
          <w:p w14:paraId="03B9E7E3" w14:textId="77777777" w:rsidR="00F304BD" w:rsidRPr="00842094" w:rsidRDefault="00F304BD" w:rsidP="00F304BD">
            <w:pPr>
              <w:spacing w:after="0"/>
              <w:jc w:val="center"/>
              <w:rPr>
                <w:lang w:val="es-ES" w:eastAsia="es-ES"/>
              </w:rPr>
            </w:pPr>
            <w:r w:rsidRPr="00842094">
              <w:rPr>
                <w:lang w:val="es-ES" w:eastAsia="es-ES"/>
              </w:rPr>
              <w:t>170.4</w:t>
            </w:r>
          </w:p>
        </w:tc>
        <w:tc>
          <w:tcPr>
            <w:tcW w:w="2932" w:type="dxa"/>
            <w:vAlign w:val="center"/>
            <w:hideMark/>
          </w:tcPr>
          <w:p w14:paraId="0E019B27" w14:textId="77777777" w:rsidR="00F304BD" w:rsidRPr="00842094" w:rsidRDefault="00F304BD" w:rsidP="00224E48">
            <w:pPr>
              <w:spacing w:after="0"/>
              <w:rPr>
                <w:lang w:val="es-ES" w:eastAsia="es-ES"/>
              </w:rPr>
            </w:pPr>
            <w:r w:rsidRPr="00842094">
              <w:rPr>
                <w:lang w:val="es-ES" w:eastAsia="es-ES"/>
              </w:rPr>
              <w:t xml:space="preserve">Environmental </w:t>
            </w:r>
            <w:proofErr w:type="spellStart"/>
            <w:r w:rsidRPr="00842094">
              <w:rPr>
                <w:lang w:val="es-ES" w:eastAsia="es-ES"/>
              </w:rPr>
              <w:t>innovation</w:t>
            </w:r>
            <w:proofErr w:type="spellEnd"/>
          </w:p>
        </w:tc>
      </w:tr>
      <w:tr w:rsidR="00F304BD" w:rsidRPr="00842094" w14:paraId="147301FF" w14:textId="77777777" w:rsidTr="00224E48">
        <w:trPr>
          <w:trHeight w:val="227"/>
          <w:tblCellSpacing w:w="15" w:type="dxa"/>
        </w:trPr>
        <w:tc>
          <w:tcPr>
            <w:tcW w:w="3641" w:type="dxa"/>
            <w:vAlign w:val="center"/>
            <w:hideMark/>
          </w:tcPr>
          <w:p w14:paraId="049D6479" w14:textId="77777777" w:rsidR="00F304BD" w:rsidRPr="00842094" w:rsidRDefault="00F304BD" w:rsidP="00224E48">
            <w:pPr>
              <w:spacing w:after="0"/>
              <w:rPr>
                <w:lang w:val="es-ES" w:eastAsia="es-ES"/>
              </w:rPr>
            </w:pPr>
            <w:r w:rsidRPr="00842094">
              <w:rPr>
                <w:lang w:val="es-ES" w:eastAsia="es-ES"/>
              </w:rPr>
              <w:t xml:space="preserve">Artificial </w:t>
            </w:r>
            <w:proofErr w:type="spellStart"/>
            <w:r w:rsidRPr="00842094">
              <w:rPr>
                <w:lang w:val="es-ES" w:eastAsia="es-ES"/>
              </w:rPr>
              <w:t>Intelligence</w:t>
            </w:r>
            <w:proofErr w:type="spellEnd"/>
          </w:p>
        </w:tc>
        <w:tc>
          <w:tcPr>
            <w:tcW w:w="1246" w:type="dxa"/>
            <w:vAlign w:val="center"/>
            <w:hideMark/>
          </w:tcPr>
          <w:p w14:paraId="25241D4C" w14:textId="77777777" w:rsidR="00F304BD" w:rsidRPr="00842094" w:rsidRDefault="00F304BD" w:rsidP="00F304BD">
            <w:pPr>
              <w:spacing w:after="0"/>
              <w:jc w:val="center"/>
              <w:rPr>
                <w:lang w:val="es-ES" w:eastAsia="es-ES"/>
              </w:rPr>
            </w:pPr>
            <w:r w:rsidRPr="00842094">
              <w:rPr>
                <w:lang w:val="es-ES" w:eastAsia="es-ES"/>
              </w:rPr>
              <w:t>30</w:t>
            </w:r>
          </w:p>
        </w:tc>
        <w:tc>
          <w:tcPr>
            <w:tcW w:w="1812" w:type="dxa"/>
            <w:vAlign w:val="center"/>
            <w:hideMark/>
          </w:tcPr>
          <w:p w14:paraId="7584ADF2" w14:textId="77777777" w:rsidR="00F304BD" w:rsidRPr="00842094" w:rsidRDefault="00F304BD" w:rsidP="00F304BD">
            <w:pPr>
              <w:spacing w:after="0"/>
              <w:jc w:val="center"/>
              <w:rPr>
                <w:lang w:val="es-ES" w:eastAsia="es-ES"/>
              </w:rPr>
            </w:pPr>
            <w:r w:rsidRPr="00842094">
              <w:rPr>
                <w:lang w:val="es-ES" w:eastAsia="es-ES"/>
              </w:rPr>
              <w:t>158.7</w:t>
            </w:r>
          </w:p>
        </w:tc>
        <w:tc>
          <w:tcPr>
            <w:tcW w:w="2932" w:type="dxa"/>
            <w:vAlign w:val="center"/>
            <w:hideMark/>
          </w:tcPr>
          <w:p w14:paraId="7E1205BC" w14:textId="77777777" w:rsidR="00F304BD" w:rsidRPr="00842094" w:rsidRDefault="00F304BD" w:rsidP="00224E48">
            <w:pPr>
              <w:spacing w:after="0"/>
              <w:rPr>
                <w:lang w:val="es-ES" w:eastAsia="es-ES"/>
              </w:rPr>
            </w:pPr>
            <w:proofErr w:type="spellStart"/>
            <w:r w:rsidRPr="00842094">
              <w:rPr>
                <w:lang w:val="es-ES" w:eastAsia="es-ES"/>
              </w:rPr>
              <w:t>Technological</w:t>
            </w:r>
            <w:proofErr w:type="spellEnd"/>
            <w:r w:rsidRPr="00842094">
              <w:rPr>
                <w:lang w:val="es-ES" w:eastAsia="es-ES"/>
              </w:rPr>
              <w:t xml:space="preserve"> </w:t>
            </w:r>
            <w:proofErr w:type="spellStart"/>
            <w:r w:rsidRPr="00842094">
              <w:rPr>
                <w:lang w:val="es-ES" w:eastAsia="es-ES"/>
              </w:rPr>
              <w:t>application</w:t>
            </w:r>
            <w:proofErr w:type="spellEnd"/>
          </w:p>
        </w:tc>
      </w:tr>
      <w:tr w:rsidR="00F304BD" w:rsidRPr="00842094" w14:paraId="09932A44" w14:textId="77777777" w:rsidTr="00224E48">
        <w:trPr>
          <w:trHeight w:val="227"/>
          <w:tblCellSpacing w:w="15" w:type="dxa"/>
        </w:trPr>
        <w:tc>
          <w:tcPr>
            <w:tcW w:w="3641" w:type="dxa"/>
            <w:vAlign w:val="center"/>
            <w:hideMark/>
          </w:tcPr>
          <w:p w14:paraId="1B20617D" w14:textId="77777777" w:rsidR="00F304BD" w:rsidRPr="00842094" w:rsidRDefault="00F304BD" w:rsidP="00224E48">
            <w:pPr>
              <w:spacing w:after="0"/>
              <w:rPr>
                <w:lang w:val="es-ES" w:eastAsia="es-ES"/>
              </w:rPr>
            </w:pPr>
            <w:proofErr w:type="spellStart"/>
            <w:r w:rsidRPr="00842094">
              <w:rPr>
                <w:lang w:val="es-ES" w:eastAsia="es-ES"/>
              </w:rPr>
              <w:t>Higher</w:t>
            </w:r>
            <w:proofErr w:type="spellEnd"/>
            <w:r w:rsidRPr="00842094">
              <w:rPr>
                <w:lang w:val="es-ES" w:eastAsia="es-ES"/>
              </w:rPr>
              <w:t xml:space="preserve"> </w:t>
            </w:r>
            <w:proofErr w:type="spellStart"/>
            <w:r w:rsidRPr="00842094">
              <w:rPr>
                <w:lang w:val="es-ES" w:eastAsia="es-ES"/>
              </w:rPr>
              <w:t>Education</w:t>
            </w:r>
            <w:proofErr w:type="spellEnd"/>
          </w:p>
        </w:tc>
        <w:tc>
          <w:tcPr>
            <w:tcW w:w="1246" w:type="dxa"/>
            <w:vAlign w:val="center"/>
            <w:hideMark/>
          </w:tcPr>
          <w:p w14:paraId="4448C7AF" w14:textId="77777777" w:rsidR="00F304BD" w:rsidRPr="00842094" w:rsidRDefault="00F304BD" w:rsidP="00F304BD">
            <w:pPr>
              <w:spacing w:after="0"/>
              <w:jc w:val="center"/>
              <w:rPr>
                <w:lang w:val="es-ES" w:eastAsia="es-ES"/>
              </w:rPr>
            </w:pPr>
            <w:r w:rsidRPr="00842094">
              <w:rPr>
                <w:lang w:val="es-ES" w:eastAsia="es-ES"/>
              </w:rPr>
              <w:t>31</w:t>
            </w:r>
          </w:p>
        </w:tc>
        <w:tc>
          <w:tcPr>
            <w:tcW w:w="1812" w:type="dxa"/>
            <w:vAlign w:val="center"/>
            <w:hideMark/>
          </w:tcPr>
          <w:p w14:paraId="37216528" w14:textId="77777777" w:rsidR="00F304BD" w:rsidRPr="00842094" w:rsidRDefault="00F304BD" w:rsidP="00F304BD">
            <w:pPr>
              <w:spacing w:after="0"/>
              <w:jc w:val="center"/>
              <w:rPr>
                <w:lang w:val="es-ES" w:eastAsia="es-ES"/>
              </w:rPr>
            </w:pPr>
            <w:r w:rsidRPr="00842094">
              <w:rPr>
                <w:lang w:val="es-ES" w:eastAsia="es-ES"/>
              </w:rPr>
              <w:t>154.2</w:t>
            </w:r>
          </w:p>
        </w:tc>
        <w:tc>
          <w:tcPr>
            <w:tcW w:w="2932" w:type="dxa"/>
            <w:vAlign w:val="center"/>
            <w:hideMark/>
          </w:tcPr>
          <w:p w14:paraId="17328E8B" w14:textId="77777777" w:rsidR="00F304BD" w:rsidRPr="00842094" w:rsidRDefault="00F304BD" w:rsidP="00224E48">
            <w:pPr>
              <w:spacing w:after="0"/>
              <w:rPr>
                <w:lang w:val="es-ES" w:eastAsia="es-ES"/>
              </w:rPr>
            </w:pPr>
            <w:proofErr w:type="spellStart"/>
            <w:r w:rsidRPr="00842094">
              <w:rPr>
                <w:lang w:val="es-ES" w:eastAsia="es-ES"/>
              </w:rPr>
              <w:t>Educational</w:t>
            </w:r>
            <w:proofErr w:type="spellEnd"/>
            <w:r w:rsidRPr="00842094">
              <w:rPr>
                <w:lang w:val="es-ES" w:eastAsia="es-ES"/>
              </w:rPr>
              <w:t xml:space="preserve"> </w:t>
            </w:r>
            <w:proofErr w:type="spellStart"/>
            <w:r w:rsidRPr="00842094">
              <w:rPr>
                <w:lang w:val="es-ES" w:eastAsia="es-ES"/>
              </w:rPr>
              <w:t>context</w:t>
            </w:r>
            <w:proofErr w:type="spellEnd"/>
          </w:p>
        </w:tc>
      </w:tr>
      <w:tr w:rsidR="00F304BD" w:rsidRPr="00842094" w14:paraId="2C98D713" w14:textId="77777777" w:rsidTr="00224E48">
        <w:trPr>
          <w:trHeight w:val="227"/>
          <w:tblCellSpacing w:w="15" w:type="dxa"/>
        </w:trPr>
        <w:tc>
          <w:tcPr>
            <w:tcW w:w="3641" w:type="dxa"/>
            <w:vAlign w:val="center"/>
            <w:hideMark/>
          </w:tcPr>
          <w:p w14:paraId="6DC915EB" w14:textId="77777777" w:rsidR="00F304BD" w:rsidRPr="00842094" w:rsidRDefault="00F304BD" w:rsidP="00224E48">
            <w:pPr>
              <w:spacing w:after="0"/>
              <w:rPr>
                <w:lang w:val="es-ES" w:eastAsia="es-ES"/>
              </w:rPr>
            </w:pPr>
            <w:r w:rsidRPr="00842094">
              <w:rPr>
                <w:lang w:val="es-ES" w:eastAsia="es-ES"/>
              </w:rPr>
              <w:t xml:space="preserve">Digital </w:t>
            </w:r>
            <w:proofErr w:type="spellStart"/>
            <w:r w:rsidRPr="00842094">
              <w:rPr>
                <w:lang w:val="es-ES" w:eastAsia="es-ES"/>
              </w:rPr>
              <w:t>Transformation</w:t>
            </w:r>
            <w:proofErr w:type="spellEnd"/>
          </w:p>
        </w:tc>
        <w:tc>
          <w:tcPr>
            <w:tcW w:w="1246" w:type="dxa"/>
            <w:vAlign w:val="center"/>
            <w:hideMark/>
          </w:tcPr>
          <w:p w14:paraId="565AC072" w14:textId="77777777" w:rsidR="00F304BD" w:rsidRPr="00842094" w:rsidRDefault="00F304BD" w:rsidP="00F304BD">
            <w:pPr>
              <w:spacing w:after="0"/>
              <w:jc w:val="center"/>
              <w:rPr>
                <w:lang w:val="es-ES" w:eastAsia="es-ES"/>
              </w:rPr>
            </w:pPr>
            <w:r w:rsidRPr="00842094">
              <w:rPr>
                <w:lang w:val="es-ES" w:eastAsia="es-ES"/>
              </w:rPr>
              <w:t>28</w:t>
            </w:r>
          </w:p>
        </w:tc>
        <w:tc>
          <w:tcPr>
            <w:tcW w:w="1812" w:type="dxa"/>
            <w:vAlign w:val="center"/>
            <w:hideMark/>
          </w:tcPr>
          <w:p w14:paraId="7295BACA" w14:textId="77777777" w:rsidR="00F304BD" w:rsidRPr="00842094" w:rsidRDefault="00F304BD" w:rsidP="00F304BD">
            <w:pPr>
              <w:spacing w:after="0"/>
              <w:jc w:val="center"/>
              <w:rPr>
                <w:lang w:val="es-ES" w:eastAsia="es-ES"/>
              </w:rPr>
            </w:pPr>
            <w:r w:rsidRPr="00842094">
              <w:rPr>
                <w:lang w:val="es-ES" w:eastAsia="es-ES"/>
              </w:rPr>
              <w:t>149.5</w:t>
            </w:r>
          </w:p>
        </w:tc>
        <w:tc>
          <w:tcPr>
            <w:tcW w:w="2932" w:type="dxa"/>
            <w:vAlign w:val="center"/>
            <w:hideMark/>
          </w:tcPr>
          <w:p w14:paraId="752BCE5E" w14:textId="77777777" w:rsidR="00F304BD" w:rsidRPr="00842094" w:rsidRDefault="00F304BD" w:rsidP="00224E48">
            <w:pPr>
              <w:spacing w:after="0"/>
              <w:rPr>
                <w:lang w:val="es-ES" w:eastAsia="es-ES"/>
              </w:rPr>
            </w:pPr>
            <w:proofErr w:type="spellStart"/>
            <w:r w:rsidRPr="00842094">
              <w:rPr>
                <w:lang w:val="es-ES" w:eastAsia="es-ES"/>
              </w:rPr>
              <w:t>Technological</w:t>
            </w:r>
            <w:proofErr w:type="spellEnd"/>
            <w:r w:rsidRPr="00842094">
              <w:rPr>
                <w:lang w:val="es-ES" w:eastAsia="es-ES"/>
              </w:rPr>
              <w:t xml:space="preserve"> </w:t>
            </w:r>
            <w:proofErr w:type="spellStart"/>
            <w:r w:rsidRPr="00842094">
              <w:rPr>
                <w:lang w:val="es-ES" w:eastAsia="es-ES"/>
              </w:rPr>
              <w:t>integration</w:t>
            </w:r>
            <w:proofErr w:type="spellEnd"/>
          </w:p>
        </w:tc>
      </w:tr>
      <w:tr w:rsidR="00F304BD" w:rsidRPr="00842094" w14:paraId="05684E33" w14:textId="77777777" w:rsidTr="00224E48">
        <w:trPr>
          <w:trHeight w:val="227"/>
          <w:tblCellSpacing w:w="15" w:type="dxa"/>
        </w:trPr>
        <w:tc>
          <w:tcPr>
            <w:tcW w:w="3641" w:type="dxa"/>
            <w:vAlign w:val="center"/>
            <w:hideMark/>
          </w:tcPr>
          <w:p w14:paraId="7E7FAF2B" w14:textId="77777777" w:rsidR="00F304BD" w:rsidRPr="00842094" w:rsidRDefault="00F304BD" w:rsidP="00224E48">
            <w:pPr>
              <w:spacing w:after="0"/>
              <w:rPr>
                <w:lang w:val="es-ES" w:eastAsia="es-ES"/>
              </w:rPr>
            </w:pPr>
            <w:proofErr w:type="spellStart"/>
            <w:r w:rsidRPr="00842094">
              <w:rPr>
                <w:lang w:val="es-ES" w:eastAsia="es-ES"/>
              </w:rPr>
              <w:t>Policy</w:t>
            </w:r>
            <w:proofErr w:type="spellEnd"/>
          </w:p>
        </w:tc>
        <w:tc>
          <w:tcPr>
            <w:tcW w:w="1246" w:type="dxa"/>
            <w:vAlign w:val="center"/>
            <w:hideMark/>
          </w:tcPr>
          <w:p w14:paraId="036FF877" w14:textId="77777777" w:rsidR="00F304BD" w:rsidRPr="00842094" w:rsidRDefault="00F304BD" w:rsidP="00F304BD">
            <w:pPr>
              <w:spacing w:after="0"/>
              <w:jc w:val="center"/>
              <w:rPr>
                <w:lang w:val="es-ES" w:eastAsia="es-ES"/>
              </w:rPr>
            </w:pPr>
            <w:r w:rsidRPr="00842094">
              <w:rPr>
                <w:lang w:val="es-ES" w:eastAsia="es-ES"/>
              </w:rPr>
              <w:t>26</w:t>
            </w:r>
          </w:p>
        </w:tc>
        <w:tc>
          <w:tcPr>
            <w:tcW w:w="1812" w:type="dxa"/>
            <w:vAlign w:val="center"/>
            <w:hideMark/>
          </w:tcPr>
          <w:p w14:paraId="799B99CF" w14:textId="77777777" w:rsidR="00F304BD" w:rsidRPr="00842094" w:rsidRDefault="00F304BD" w:rsidP="00F304BD">
            <w:pPr>
              <w:spacing w:after="0"/>
              <w:jc w:val="center"/>
              <w:rPr>
                <w:lang w:val="es-ES" w:eastAsia="es-ES"/>
              </w:rPr>
            </w:pPr>
            <w:r w:rsidRPr="00842094">
              <w:rPr>
                <w:lang w:val="es-ES" w:eastAsia="es-ES"/>
              </w:rPr>
              <w:t>144.8</w:t>
            </w:r>
          </w:p>
        </w:tc>
        <w:tc>
          <w:tcPr>
            <w:tcW w:w="2932" w:type="dxa"/>
            <w:vAlign w:val="center"/>
            <w:hideMark/>
          </w:tcPr>
          <w:p w14:paraId="61689D52" w14:textId="77777777" w:rsidR="00F304BD" w:rsidRPr="00842094" w:rsidRDefault="00F304BD" w:rsidP="00224E48">
            <w:pPr>
              <w:spacing w:after="0"/>
              <w:rPr>
                <w:lang w:val="es-ES" w:eastAsia="es-ES"/>
              </w:rPr>
            </w:pPr>
            <w:proofErr w:type="spellStart"/>
            <w:r w:rsidRPr="00842094">
              <w:rPr>
                <w:lang w:val="es-ES" w:eastAsia="es-ES"/>
              </w:rPr>
              <w:t>Governance</w:t>
            </w:r>
            <w:proofErr w:type="spellEnd"/>
            <w:r w:rsidRPr="00842094">
              <w:rPr>
                <w:lang w:val="es-ES" w:eastAsia="es-ES"/>
              </w:rPr>
              <w:t xml:space="preserve"> </w:t>
            </w:r>
            <w:proofErr w:type="spellStart"/>
            <w:r w:rsidRPr="00842094">
              <w:rPr>
                <w:lang w:val="es-ES" w:eastAsia="es-ES"/>
              </w:rPr>
              <w:t>dimension</w:t>
            </w:r>
            <w:proofErr w:type="spellEnd"/>
          </w:p>
        </w:tc>
      </w:tr>
      <w:tr w:rsidR="00F304BD" w:rsidRPr="00842094" w14:paraId="48F69837" w14:textId="77777777" w:rsidTr="00224E48">
        <w:trPr>
          <w:trHeight w:val="227"/>
          <w:tblCellSpacing w:w="15" w:type="dxa"/>
        </w:trPr>
        <w:tc>
          <w:tcPr>
            <w:tcW w:w="3641" w:type="dxa"/>
            <w:vAlign w:val="center"/>
            <w:hideMark/>
          </w:tcPr>
          <w:p w14:paraId="0D8CB43A" w14:textId="77777777" w:rsidR="00F304BD" w:rsidRPr="00842094" w:rsidRDefault="00F304BD" w:rsidP="00224E48">
            <w:pPr>
              <w:spacing w:after="0"/>
              <w:rPr>
                <w:lang w:val="es-ES" w:eastAsia="es-ES"/>
              </w:rPr>
            </w:pPr>
            <w:r w:rsidRPr="00842094">
              <w:rPr>
                <w:lang w:val="es-ES" w:eastAsia="es-ES"/>
              </w:rPr>
              <w:t>Environmental Behaviour</w:t>
            </w:r>
          </w:p>
        </w:tc>
        <w:tc>
          <w:tcPr>
            <w:tcW w:w="1246" w:type="dxa"/>
            <w:vAlign w:val="center"/>
            <w:hideMark/>
          </w:tcPr>
          <w:p w14:paraId="69EAC34D" w14:textId="77777777" w:rsidR="00F304BD" w:rsidRPr="00842094" w:rsidRDefault="00F304BD" w:rsidP="00F304BD">
            <w:pPr>
              <w:spacing w:after="0"/>
              <w:jc w:val="center"/>
              <w:rPr>
                <w:lang w:val="es-ES" w:eastAsia="es-ES"/>
              </w:rPr>
            </w:pPr>
            <w:r w:rsidRPr="00842094">
              <w:rPr>
                <w:lang w:val="es-ES" w:eastAsia="es-ES"/>
              </w:rPr>
              <w:t>29</w:t>
            </w:r>
          </w:p>
        </w:tc>
        <w:tc>
          <w:tcPr>
            <w:tcW w:w="1812" w:type="dxa"/>
            <w:vAlign w:val="center"/>
            <w:hideMark/>
          </w:tcPr>
          <w:p w14:paraId="6E533D95" w14:textId="77777777" w:rsidR="00F304BD" w:rsidRPr="00842094" w:rsidRDefault="00F304BD" w:rsidP="00F304BD">
            <w:pPr>
              <w:spacing w:after="0"/>
              <w:jc w:val="center"/>
              <w:rPr>
                <w:lang w:val="es-ES" w:eastAsia="es-ES"/>
              </w:rPr>
            </w:pPr>
            <w:r w:rsidRPr="00842094">
              <w:rPr>
                <w:lang w:val="es-ES" w:eastAsia="es-ES"/>
              </w:rPr>
              <w:t>142.1</w:t>
            </w:r>
          </w:p>
        </w:tc>
        <w:tc>
          <w:tcPr>
            <w:tcW w:w="2932" w:type="dxa"/>
            <w:vAlign w:val="center"/>
            <w:hideMark/>
          </w:tcPr>
          <w:p w14:paraId="0A6E6A74" w14:textId="77777777" w:rsidR="00F304BD" w:rsidRPr="00842094" w:rsidRDefault="00F304BD" w:rsidP="00224E48">
            <w:pPr>
              <w:spacing w:after="0"/>
              <w:rPr>
                <w:lang w:val="es-ES" w:eastAsia="es-ES"/>
              </w:rPr>
            </w:pPr>
            <w:proofErr w:type="spellStart"/>
            <w:r w:rsidRPr="00842094">
              <w:rPr>
                <w:lang w:val="es-ES" w:eastAsia="es-ES"/>
              </w:rPr>
              <w:t>Sustainability</w:t>
            </w:r>
            <w:proofErr w:type="spellEnd"/>
            <w:r w:rsidRPr="00842094">
              <w:rPr>
                <w:lang w:val="es-ES" w:eastAsia="es-ES"/>
              </w:rPr>
              <w:t xml:space="preserve"> </w:t>
            </w:r>
            <w:proofErr w:type="spellStart"/>
            <w:r w:rsidRPr="00842094">
              <w:rPr>
                <w:lang w:val="es-ES" w:eastAsia="es-ES"/>
              </w:rPr>
              <w:t>psychology</w:t>
            </w:r>
            <w:proofErr w:type="spellEnd"/>
          </w:p>
        </w:tc>
      </w:tr>
      <w:tr w:rsidR="00F304BD" w:rsidRPr="00842094" w14:paraId="6F947187" w14:textId="77777777" w:rsidTr="00224E48">
        <w:trPr>
          <w:trHeight w:val="227"/>
          <w:tblCellSpacing w:w="15" w:type="dxa"/>
        </w:trPr>
        <w:tc>
          <w:tcPr>
            <w:tcW w:w="3641" w:type="dxa"/>
            <w:vAlign w:val="center"/>
            <w:hideMark/>
          </w:tcPr>
          <w:p w14:paraId="373A5909" w14:textId="77777777" w:rsidR="00F304BD" w:rsidRPr="00842094" w:rsidRDefault="00F304BD" w:rsidP="00224E48">
            <w:pPr>
              <w:spacing w:after="0"/>
              <w:rPr>
                <w:lang w:val="es-ES" w:eastAsia="es-ES"/>
              </w:rPr>
            </w:pPr>
            <w:proofErr w:type="spellStart"/>
            <w:r w:rsidRPr="00842094">
              <w:rPr>
                <w:lang w:val="es-ES" w:eastAsia="es-ES"/>
              </w:rPr>
              <w:t>Decision-Making</w:t>
            </w:r>
            <w:proofErr w:type="spellEnd"/>
          </w:p>
        </w:tc>
        <w:tc>
          <w:tcPr>
            <w:tcW w:w="1246" w:type="dxa"/>
            <w:vAlign w:val="center"/>
            <w:hideMark/>
          </w:tcPr>
          <w:p w14:paraId="54768D0E" w14:textId="77777777" w:rsidR="00F304BD" w:rsidRPr="00842094" w:rsidRDefault="00F304BD" w:rsidP="00F304BD">
            <w:pPr>
              <w:spacing w:after="0"/>
              <w:jc w:val="center"/>
              <w:rPr>
                <w:lang w:val="es-ES" w:eastAsia="es-ES"/>
              </w:rPr>
            </w:pPr>
            <w:r w:rsidRPr="00842094">
              <w:rPr>
                <w:lang w:val="es-ES" w:eastAsia="es-ES"/>
              </w:rPr>
              <w:t>23</w:t>
            </w:r>
          </w:p>
        </w:tc>
        <w:tc>
          <w:tcPr>
            <w:tcW w:w="1812" w:type="dxa"/>
            <w:vAlign w:val="center"/>
            <w:hideMark/>
          </w:tcPr>
          <w:p w14:paraId="630E234E" w14:textId="77777777" w:rsidR="00F304BD" w:rsidRPr="00842094" w:rsidRDefault="00F304BD" w:rsidP="00F304BD">
            <w:pPr>
              <w:spacing w:after="0"/>
              <w:jc w:val="center"/>
              <w:rPr>
                <w:lang w:val="es-ES" w:eastAsia="es-ES"/>
              </w:rPr>
            </w:pPr>
            <w:r w:rsidRPr="00842094">
              <w:rPr>
                <w:lang w:val="es-ES" w:eastAsia="es-ES"/>
              </w:rPr>
              <w:t>138.3</w:t>
            </w:r>
          </w:p>
        </w:tc>
        <w:tc>
          <w:tcPr>
            <w:tcW w:w="2932" w:type="dxa"/>
            <w:vAlign w:val="center"/>
            <w:hideMark/>
          </w:tcPr>
          <w:p w14:paraId="306D63A5" w14:textId="77777777" w:rsidR="00F304BD" w:rsidRPr="00842094" w:rsidRDefault="00F304BD" w:rsidP="00224E48">
            <w:pPr>
              <w:spacing w:after="0"/>
              <w:rPr>
                <w:lang w:val="es-ES" w:eastAsia="es-ES"/>
              </w:rPr>
            </w:pPr>
            <w:r w:rsidRPr="00842094">
              <w:rPr>
                <w:lang w:val="es-ES" w:eastAsia="es-ES"/>
              </w:rPr>
              <w:t xml:space="preserve">Cognitive </w:t>
            </w:r>
            <w:proofErr w:type="spellStart"/>
            <w:r w:rsidRPr="00842094">
              <w:rPr>
                <w:lang w:val="es-ES" w:eastAsia="es-ES"/>
              </w:rPr>
              <w:t>process</w:t>
            </w:r>
            <w:proofErr w:type="spellEnd"/>
          </w:p>
        </w:tc>
      </w:tr>
      <w:tr w:rsidR="00F304BD" w:rsidRPr="00842094" w14:paraId="10698CF9" w14:textId="77777777" w:rsidTr="00224E48">
        <w:trPr>
          <w:trHeight w:val="227"/>
          <w:tblCellSpacing w:w="15" w:type="dxa"/>
        </w:trPr>
        <w:tc>
          <w:tcPr>
            <w:tcW w:w="3641" w:type="dxa"/>
            <w:vAlign w:val="center"/>
            <w:hideMark/>
          </w:tcPr>
          <w:p w14:paraId="2CD437EA" w14:textId="77777777" w:rsidR="00F304BD" w:rsidRPr="00842094" w:rsidRDefault="00F304BD" w:rsidP="00224E48">
            <w:pPr>
              <w:spacing w:after="0"/>
              <w:rPr>
                <w:lang w:val="es-ES" w:eastAsia="es-ES"/>
              </w:rPr>
            </w:pPr>
            <w:proofErr w:type="spellStart"/>
            <w:r w:rsidRPr="00842094">
              <w:rPr>
                <w:lang w:val="es-ES" w:eastAsia="es-ES"/>
              </w:rPr>
              <w:t>Citizen</w:t>
            </w:r>
            <w:proofErr w:type="spellEnd"/>
            <w:r w:rsidRPr="00842094">
              <w:rPr>
                <w:lang w:val="es-ES" w:eastAsia="es-ES"/>
              </w:rPr>
              <w:t xml:space="preserve"> Science</w:t>
            </w:r>
          </w:p>
        </w:tc>
        <w:tc>
          <w:tcPr>
            <w:tcW w:w="1246" w:type="dxa"/>
            <w:vAlign w:val="center"/>
            <w:hideMark/>
          </w:tcPr>
          <w:p w14:paraId="6471C6D3" w14:textId="77777777" w:rsidR="00F304BD" w:rsidRPr="00842094" w:rsidRDefault="00F304BD" w:rsidP="00F304BD">
            <w:pPr>
              <w:spacing w:after="0"/>
              <w:jc w:val="center"/>
              <w:rPr>
                <w:lang w:val="es-ES" w:eastAsia="es-ES"/>
              </w:rPr>
            </w:pPr>
            <w:r w:rsidRPr="00842094">
              <w:rPr>
                <w:lang w:val="es-ES" w:eastAsia="es-ES"/>
              </w:rPr>
              <w:t>22</w:t>
            </w:r>
          </w:p>
        </w:tc>
        <w:tc>
          <w:tcPr>
            <w:tcW w:w="1812" w:type="dxa"/>
            <w:vAlign w:val="center"/>
            <w:hideMark/>
          </w:tcPr>
          <w:p w14:paraId="7BE57D0B" w14:textId="77777777" w:rsidR="00F304BD" w:rsidRPr="00842094" w:rsidRDefault="00F304BD" w:rsidP="00F304BD">
            <w:pPr>
              <w:spacing w:after="0"/>
              <w:jc w:val="center"/>
              <w:rPr>
                <w:lang w:val="es-ES" w:eastAsia="es-ES"/>
              </w:rPr>
            </w:pPr>
            <w:r w:rsidRPr="00842094">
              <w:rPr>
                <w:lang w:val="es-ES" w:eastAsia="es-ES"/>
              </w:rPr>
              <w:t>133.8</w:t>
            </w:r>
          </w:p>
        </w:tc>
        <w:tc>
          <w:tcPr>
            <w:tcW w:w="2932" w:type="dxa"/>
            <w:vAlign w:val="center"/>
            <w:hideMark/>
          </w:tcPr>
          <w:p w14:paraId="2DFAFA85" w14:textId="77777777" w:rsidR="00F304BD" w:rsidRPr="00842094" w:rsidRDefault="00F304BD" w:rsidP="00224E48">
            <w:pPr>
              <w:spacing w:after="0"/>
              <w:rPr>
                <w:lang w:val="es-ES" w:eastAsia="es-ES"/>
              </w:rPr>
            </w:pPr>
            <w:proofErr w:type="spellStart"/>
            <w:r w:rsidRPr="00842094">
              <w:rPr>
                <w:lang w:val="es-ES" w:eastAsia="es-ES"/>
              </w:rPr>
              <w:t>Participatory</w:t>
            </w:r>
            <w:proofErr w:type="spellEnd"/>
            <w:r w:rsidRPr="00842094">
              <w:rPr>
                <w:lang w:val="es-ES" w:eastAsia="es-ES"/>
              </w:rPr>
              <w:t xml:space="preserve"> </w:t>
            </w:r>
            <w:proofErr w:type="spellStart"/>
            <w:r w:rsidRPr="00842094">
              <w:rPr>
                <w:lang w:val="es-ES" w:eastAsia="es-ES"/>
              </w:rPr>
              <w:t>engagement</w:t>
            </w:r>
            <w:proofErr w:type="spellEnd"/>
          </w:p>
        </w:tc>
      </w:tr>
      <w:tr w:rsidR="00F304BD" w:rsidRPr="00842094" w14:paraId="45370C81" w14:textId="77777777" w:rsidTr="00224E48">
        <w:trPr>
          <w:trHeight w:val="227"/>
          <w:tblCellSpacing w:w="15" w:type="dxa"/>
        </w:trPr>
        <w:tc>
          <w:tcPr>
            <w:tcW w:w="3641" w:type="dxa"/>
            <w:vAlign w:val="center"/>
            <w:hideMark/>
          </w:tcPr>
          <w:p w14:paraId="3C51D8F7" w14:textId="77777777" w:rsidR="00F304BD" w:rsidRPr="00842094" w:rsidRDefault="00F304BD" w:rsidP="00224E48">
            <w:pPr>
              <w:spacing w:after="0"/>
              <w:rPr>
                <w:lang w:val="es-ES" w:eastAsia="es-ES"/>
              </w:rPr>
            </w:pPr>
            <w:r w:rsidRPr="00842094">
              <w:rPr>
                <w:lang w:val="es-ES" w:eastAsia="es-ES"/>
              </w:rPr>
              <w:t xml:space="preserve">Social </w:t>
            </w:r>
            <w:proofErr w:type="spellStart"/>
            <w:r w:rsidRPr="00842094">
              <w:rPr>
                <w:lang w:val="es-ES" w:eastAsia="es-ES"/>
              </w:rPr>
              <w:t>Norms</w:t>
            </w:r>
            <w:proofErr w:type="spellEnd"/>
          </w:p>
        </w:tc>
        <w:tc>
          <w:tcPr>
            <w:tcW w:w="1246" w:type="dxa"/>
            <w:vAlign w:val="center"/>
            <w:hideMark/>
          </w:tcPr>
          <w:p w14:paraId="2AFD5186" w14:textId="77777777" w:rsidR="00F304BD" w:rsidRPr="00842094" w:rsidRDefault="00F304BD" w:rsidP="00F304BD">
            <w:pPr>
              <w:spacing w:after="0"/>
              <w:jc w:val="center"/>
              <w:rPr>
                <w:lang w:val="es-ES" w:eastAsia="es-ES"/>
              </w:rPr>
            </w:pPr>
            <w:r w:rsidRPr="00842094">
              <w:rPr>
                <w:lang w:val="es-ES" w:eastAsia="es-ES"/>
              </w:rPr>
              <w:t>21</w:t>
            </w:r>
          </w:p>
        </w:tc>
        <w:tc>
          <w:tcPr>
            <w:tcW w:w="1812" w:type="dxa"/>
            <w:vAlign w:val="center"/>
            <w:hideMark/>
          </w:tcPr>
          <w:p w14:paraId="532D5AB2" w14:textId="77777777" w:rsidR="00F304BD" w:rsidRPr="00842094" w:rsidRDefault="00F304BD" w:rsidP="00F304BD">
            <w:pPr>
              <w:spacing w:after="0"/>
              <w:jc w:val="center"/>
              <w:rPr>
                <w:lang w:val="es-ES" w:eastAsia="es-ES"/>
              </w:rPr>
            </w:pPr>
            <w:r w:rsidRPr="00842094">
              <w:rPr>
                <w:lang w:val="es-ES" w:eastAsia="es-ES"/>
              </w:rPr>
              <w:t>128.4</w:t>
            </w:r>
          </w:p>
        </w:tc>
        <w:tc>
          <w:tcPr>
            <w:tcW w:w="2932" w:type="dxa"/>
            <w:vAlign w:val="center"/>
            <w:hideMark/>
          </w:tcPr>
          <w:p w14:paraId="0DFD306A" w14:textId="77777777" w:rsidR="00F304BD" w:rsidRPr="00842094" w:rsidRDefault="00F304BD" w:rsidP="00224E48">
            <w:pPr>
              <w:spacing w:after="0"/>
              <w:rPr>
                <w:lang w:val="es-ES" w:eastAsia="es-ES"/>
              </w:rPr>
            </w:pPr>
            <w:r w:rsidRPr="00842094">
              <w:rPr>
                <w:lang w:val="es-ES" w:eastAsia="es-ES"/>
              </w:rPr>
              <w:t xml:space="preserve">Societal </w:t>
            </w:r>
            <w:proofErr w:type="spellStart"/>
            <w:r w:rsidRPr="00842094">
              <w:rPr>
                <w:lang w:val="es-ES" w:eastAsia="es-ES"/>
              </w:rPr>
              <w:t>framework</w:t>
            </w:r>
            <w:proofErr w:type="spellEnd"/>
          </w:p>
        </w:tc>
      </w:tr>
      <w:tr w:rsidR="00F304BD" w:rsidRPr="00842094" w14:paraId="01BA4C2A" w14:textId="77777777" w:rsidTr="00224E48">
        <w:trPr>
          <w:trHeight w:val="227"/>
          <w:tblCellSpacing w:w="15" w:type="dxa"/>
        </w:trPr>
        <w:tc>
          <w:tcPr>
            <w:tcW w:w="3641" w:type="dxa"/>
            <w:vAlign w:val="center"/>
            <w:hideMark/>
          </w:tcPr>
          <w:p w14:paraId="6BE77AF7" w14:textId="77777777" w:rsidR="00F304BD" w:rsidRPr="00842094" w:rsidRDefault="00F304BD" w:rsidP="00224E48">
            <w:pPr>
              <w:spacing w:after="0"/>
              <w:rPr>
                <w:lang w:val="es-ES" w:eastAsia="es-ES"/>
              </w:rPr>
            </w:pPr>
            <w:proofErr w:type="spellStart"/>
            <w:r w:rsidRPr="00842094">
              <w:rPr>
                <w:lang w:val="es-ES" w:eastAsia="es-ES"/>
              </w:rPr>
              <w:t>Innovation</w:t>
            </w:r>
            <w:proofErr w:type="spellEnd"/>
          </w:p>
        </w:tc>
        <w:tc>
          <w:tcPr>
            <w:tcW w:w="1246" w:type="dxa"/>
            <w:vAlign w:val="center"/>
            <w:hideMark/>
          </w:tcPr>
          <w:p w14:paraId="2A654839" w14:textId="77777777" w:rsidR="00F304BD" w:rsidRPr="00842094" w:rsidRDefault="00F304BD" w:rsidP="00F304BD">
            <w:pPr>
              <w:spacing w:after="0"/>
              <w:jc w:val="center"/>
              <w:rPr>
                <w:lang w:val="es-ES" w:eastAsia="es-ES"/>
              </w:rPr>
            </w:pPr>
            <w:r w:rsidRPr="00842094">
              <w:rPr>
                <w:lang w:val="es-ES" w:eastAsia="es-ES"/>
              </w:rPr>
              <w:t>20</w:t>
            </w:r>
          </w:p>
        </w:tc>
        <w:tc>
          <w:tcPr>
            <w:tcW w:w="1812" w:type="dxa"/>
            <w:vAlign w:val="center"/>
            <w:hideMark/>
          </w:tcPr>
          <w:p w14:paraId="0A907B2B" w14:textId="77777777" w:rsidR="00F304BD" w:rsidRPr="00842094" w:rsidRDefault="00F304BD" w:rsidP="00F304BD">
            <w:pPr>
              <w:spacing w:after="0"/>
              <w:jc w:val="center"/>
              <w:rPr>
                <w:lang w:val="es-ES" w:eastAsia="es-ES"/>
              </w:rPr>
            </w:pPr>
            <w:r w:rsidRPr="00842094">
              <w:rPr>
                <w:lang w:val="es-ES" w:eastAsia="es-ES"/>
              </w:rPr>
              <w:t>126.1</w:t>
            </w:r>
          </w:p>
        </w:tc>
        <w:tc>
          <w:tcPr>
            <w:tcW w:w="2932" w:type="dxa"/>
            <w:vAlign w:val="center"/>
            <w:hideMark/>
          </w:tcPr>
          <w:p w14:paraId="63D1C688" w14:textId="77777777" w:rsidR="00F304BD" w:rsidRPr="00842094" w:rsidRDefault="00F304BD" w:rsidP="00224E48">
            <w:pPr>
              <w:spacing w:after="0"/>
              <w:rPr>
                <w:lang w:val="es-ES" w:eastAsia="es-ES"/>
              </w:rPr>
            </w:pPr>
            <w:proofErr w:type="spellStart"/>
            <w:r w:rsidRPr="00842094">
              <w:rPr>
                <w:lang w:val="es-ES" w:eastAsia="es-ES"/>
              </w:rPr>
              <w:t>Technological</w:t>
            </w:r>
            <w:proofErr w:type="spellEnd"/>
            <w:r w:rsidRPr="00842094">
              <w:rPr>
                <w:lang w:val="es-ES" w:eastAsia="es-ES"/>
              </w:rPr>
              <w:t xml:space="preserve"> </w:t>
            </w:r>
            <w:proofErr w:type="spellStart"/>
            <w:r w:rsidRPr="00842094">
              <w:rPr>
                <w:lang w:val="es-ES" w:eastAsia="es-ES"/>
              </w:rPr>
              <w:t>change</w:t>
            </w:r>
            <w:proofErr w:type="spellEnd"/>
          </w:p>
        </w:tc>
      </w:tr>
      <w:tr w:rsidR="00F304BD" w:rsidRPr="00842094" w14:paraId="3D672F2A" w14:textId="77777777" w:rsidTr="00224E48">
        <w:trPr>
          <w:trHeight w:val="227"/>
          <w:tblCellSpacing w:w="15" w:type="dxa"/>
        </w:trPr>
        <w:tc>
          <w:tcPr>
            <w:tcW w:w="3641" w:type="dxa"/>
            <w:vAlign w:val="center"/>
            <w:hideMark/>
          </w:tcPr>
          <w:p w14:paraId="6308AB4A" w14:textId="77777777" w:rsidR="00F304BD" w:rsidRPr="00842094" w:rsidRDefault="00F304BD" w:rsidP="00224E48">
            <w:pPr>
              <w:spacing w:after="0"/>
              <w:rPr>
                <w:lang w:val="es-ES" w:eastAsia="es-ES"/>
              </w:rPr>
            </w:pPr>
            <w:proofErr w:type="spellStart"/>
            <w:r w:rsidRPr="00842094">
              <w:rPr>
                <w:lang w:val="es-ES" w:eastAsia="es-ES"/>
              </w:rPr>
              <w:t>Education</w:t>
            </w:r>
            <w:proofErr w:type="spellEnd"/>
          </w:p>
        </w:tc>
        <w:tc>
          <w:tcPr>
            <w:tcW w:w="1246" w:type="dxa"/>
            <w:vAlign w:val="center"/>
            <w:hideMark/>
          </w:tcPr>
          <w:p w14:paraId="5EA03363" w14:textId="77777777" w:rsidR="00F304BD" w:rsidRPr="00842094" w:rsidRDefault="00F304BD" w:rsidP="00F304BD">
            <w:pPr>
              <w:spacing w:after="0"/>
              <w:jc w:val="center"/>
              <w:rPr>
                <w:lang w:val="es-ES" w:eastAsia="es-ES"/>
              </w:rPr>
            </w:pPr>
            <w:r w:rsidRPr="00842094">
              <w:rPr>
                <w:lang w:val="es-ES" w:eastAsia="es-ES"/>
              </w:rPr>
              <w:t>25</w:t>
            </w:r>
          </w:p>
        </w:tc>
        <w:tc>
          <w:tcPr>
            <w:tcW w:w="1812" w:type="dxa"/>
            <w:vAlign w:val="center"/>
            <w:hideMark/>
          </w:tcPr>
          <w:p w14:paraId="42E05753" w14:textId="77777777" w:rsidR="00F304BD" w:rsidRPr="00842094" w:rsidRDefault="00F304BD" w:rsidP="00F304BD">
            <w:pPr>
              <w:spacing w:after="0"/>
              <w:jc w:val="center"/>
              <w:rPr>
                <w:lang w:val="es-ES" w:eastAsia="es-ES"/>
              </w:rPr>
            </w:pPr>
            <w:r w:rsidRPr="00842094">
              <w:rPr>
                <w:lang w:val="es-ES" w:eastAsia="es-ES"/>
              </w:rPr>
              <w:t>124.9</w:t>
            </w:r>
          </w:p>
        </w:tc>
        <w:tc>
          <w:tcPr>
            <w:tcW w:w="2932" w:type="dxa"/>
            <w:vAlign w:val="center"/>
            <w:hideMark/>
          </w:tcPr>
          <w:p w14:paraId="3382D662" w14:textId="77777777" w:rsidR="00F304BD" w:rsidRPr="00842094" w:rsidRDefault="00F304BD" w:rsidP="00224E48">
            <w:pPr>
              <w:spacing w:after="0"/>
              <w:rPr>
                <w:lang w:val="es-ES" w:eastAsia="es-ES"/>
              </w:rPr>
            </w:pPr>
            <w:r w:rsidRPr="00842094">
              <w:rPr>
                <w:lang w:val="es-ES" w:eastAsia="es-ES"/>
              </w:rPr>
              <w:t xml:space="preserve">Learning and </w:t>
            </w:r>
            <w:proofErr w:type="spellStart"/>
            <w:r w:rsidRPr="00842094">
              <w:rPr>
                <w:lang w:val="es-ES" w:eastAsia="es-ES"/>
              </w:rPr>
              <w:t>dissemination</w:t>
            </w:r>
            <w:proofErr w:type="spellEnd"/>
          </w:p>
        </w:tc>
      </w:tr>
      <w:tr w:rsidR="00F304BD" w:rsidRPr="00842094" w14:paraId="2CD166EF" w14:textId="77777777" w:rsidTr="00224E48">
        <w:trPr>
          <w:trHeight w:val="227"/>
          <w:tblCellSpacing w:w="15" w:type="dxa"/>
        </w:trPr>
        <w:tc>
          <w:tcPr>
            <w:tcW w:w="3641" w:type="dxa"/>
            <w:tcBorders>
              <w:bottom w:val="single" w:sz="4" w:space="0" w:color="auto"/>
            </w:tcBorders>
            <w:vAlign w:val="center"/>
          </w:tcPr>
          <w:p w14:paraId="3A8935A0" w14:textId="77777777" w:rsidR="00F304BD" w:rsidRPr="00842094" w:rsidRDefault="00F304BD" w:rsidP="00224E48">
            <w:pPr>
              <w:spacing w:after="0"/>
              <w:rPr>
                <w:i/>
                <w:iCs/>
                <w:lang w:val="es-ES" w:eastAsia="es-ES"/>
              </w:rPr>
            </w:pPr>
          </w:p>
        </w:tc>
        <w:tc>
          <w:tcPr>
            <w:tcW w:w="1246" w:type="dxa"/>
            <w:tcBorders>
              <w:bottom w:val="single" w:sz="4" w:space="0" w:color="auto"/>
            </w:tcBorders>
            <w:vAlign w:val="center"/>
          </w:tcPr>
          <w:p w14:paraId="3CDB0D06" w14:textId="77777777" w:rsidR="00F304BD" w:rsidRPr="00842094" w:rsidRDefault="00F304BD" w:rsidP="00F304BD">
            <w:pPr>
              <w:spacing w:after="0"/>
              <w:jc w:val="center"/>
              <w:rPr>
                <w:lang w:val="es-ES" w:eastAsia="es-ES"/>
              </w:rPr>
            </w:pPr>
          </w:p>
        </w:tc>
        <w:tc>
          <w:tcPr>
            <w:tcW w:w="1812" w:type="dxa"/>
            <w:tcBorders>
              <w:bottom w:val="single" w:sz="4" w:space="0" w:color="auto"/>
            </w:tcBorders>
            <w:vAlign w:val="center"/>
          </w:tcPr>
          <w:p w14:paraId="3A8F671D" w14:textId="77777777" w:rsidR="00F304BD" w:rsidRPr="00842094" w:rsidRDefault="00F304BD" w:rsidP="00F304BD">
            <w:pPr>
              <w:spacing w:after="0"/>
              <w:jc w:val="center"/>
              <w:rPr>
                <w:lang w:val="es-ES" w:eastAsia="es-ES"/>
              </w:rPr>
            </w:pPr>
          </w:p>
        </w:tc>
        <w:tc>
          <w:tcPr>
            <w:tcW w:w="2932" w:type="dxa"/>
            <w:tcBorders>
              <w:bottom w:val="single" w:sz="4" w:space="0" w:color="auto"/>
            </w:tcBorders>
            <w:vAlign w:val="center"/>
          </w:tcPr>
          <w:p w14:paraId="2A738566" w14:textId="77777777" w:rsidR="00F304BD" w:rsidRPr="00842094" w:rsidRDefault="00F304BD" w:rsidP="00224E48">
            <w:pPr>
              <w:spacing w:after="0"/>
              <w:rPr>
                <w:lang w:val="es-ES" w:eastAsia="es-ES"/>
              </w:rPr>
            </w:pPr>
          </w:p>
        </w:tc>
      </w:tr>
    </w:tbl>
    <w:p w14:paraId="3A85FAA8" w14:textId="195F773D" w:rsidR="00B53EAE" w:rsidRDefault="00F304BD" w:rsidP="00D40857">
      <w:pPr>
        <w:rPr>
          <w:lang w:val="en-GB"/>
        </w:rPr>
      </w:pPr>
      <w:r w:rsidRPr="00F304BD">
        <w:rPr>
          <w:i/>
          <w:iCs/>
        </w:rPr>
        <w:t>Source: authors’ elaboration based on Scopus data (retrieved October 2025).</w:t>
      </w:r>
    </w:p>
    <w:p w14:paraId="1C45482A" w14:textId="77777777" w:rsidR="00BB2F4A" w:rsidRPr="00BB2F4A" w:rsidRDefault="00BB2F4A" w:rsidP="00BB2F4A">
      <w:pPr>
        <w:rPr>
          <w:lang w:val="en-GB" w:eastAsia="es-ES"/>
        </w:rPr>
      </w:pPr>
      <w:r w:rsidRPr="00BB2F4A">
        <w:rPr>
          <w:lang w:val="en-GB" w:eastAsia="es-ES"/>
        </w:rPr>
        <w:lastRenderedPageBreak/>
        <w:t>The convergence between behavioural and institutional constructs observed in Figure 6 and Table 3 is consistent with a growing body of literature emphasising the role of institutional quality, governance arrangements, and social legitimacy in shaping sustainability-related outcomes. Comparative studies have shown that both environmental policy effectiveness and technology diffusion are strongly conditioned by institutional trust and governance capacity (Hussain &amp; Dogan, 2021). Likewise, research in behavioural public policy indicates that citizens’ responses to technological and policy interventions are mediated by perceptions of transparency, fairness, and procedural legitimacy rather than by instrumental considerations alone (Wolske, 2020).</w:t>
      </w:r>
    </w:p>
    <w:p w14:paraId="28EE23E3" w14:textId="77777777" w:rsidR="00BB2F4A" w:rsidRDefault="00BB2F4A" w:rsidP="00BB2F4A">
      <w:pPr>
        <w:rPr>
          <w:lang w:val="en-GB" w:eastAsia="es-ES"/>
        </w:rPr>
      </w:pPr>
      <w:r w:rsidRPr="00BB2F4A">
        <w:rPr>
          <w:lang w:val="en-GB" w:eastAsia="es-ES"/>
        </w:rPr>
        <w:t xml:space="preserve">At a conceptual level, these convergence patterns reinforce the analytical rationale underpinning the extended TAM proposed in this study. The recurrent co-articulation of institutional and behavioural variables suggests that integrating trust, legitimacy, transparency, and community support alongside cognitive beliefs does not impose an artificial structure on the field. Instead, it systematises an interpretative orientation that is already implicitly present across diverse strands of research, including environmental psychology, sustainability governance, and technology acceptance studies (Janmaimool, 2021; </w:t>
      </w:r>
      <w:proofErr w:type="spellStart"/>
      <w:r w:rsidRPr="00BB2F4A">
        <w:rPr>
          <w:lang w:val="en-GB" w:eastAsia="es-ES"/>
        </w:rPr>
        <w:t>Ruijer</w:t>
      </w:r>
      <w:proofErr w:type="spellEnd"/>
      <w:r w:rsidRPr="00BB2F4A">
        <w:rPr>
          <w:lang w:val="en-GB" w:eastAsia="es-ES"/>
        </w:rPr>
        <w:t xml:space="preserve"> &amp; Meijer, 2020).</w:t>
      </w:r>
    </w:p>
    <w:p w14:paraId="3BAFB9D0" w14:textId="70A7FF64" w:rsidR="00561085" w:rsidRPr="00BB2F4A" w:rsidRDefault="00561085" w:rsidP="00BB2F4A">
      <w:pPr>
        <w:rPr>
          <w:lang w:val="en-GB" w:eastAsia="es-ES"/>
        </w:rPr>
      </w:pPr>
      <w:r w:rsidRPr="00561085">
        <w:rPr>
          <w:lang w:eastAsia="es-ES"/>
        </w:rPr>
        <w:t>This trend is consistent with recent modelling efforts that explicitly combine TAM with complementary theoretical perspectives to capture post-adoption dynamics and sustained engagement. Hybrid frameworks integrating behavioural intention, institutional context, and continuance mechanisms illustrate the growing recognition that technology acceptance unfolds as an evolving and multi-layered process (Pushpa et al., 2023).</w:t>
      </w:r>
    </w:p>
    <w:p w14:paraId="52E390E2" w14:textId="77777777" w:rsidR="00BB2F4A" w:rsidRPr="00BB2F4A" w:rsidRDefault="00BB2F4A" w:rsidP="00BB2F4A">
      <w:pPr>
        <w:rPr>
          <w:lang w:val="en-GB" w:eastAsia="es-ES"/>
        </w:rPr>
      </w:pPr>
      <w:r w:rsidRPr="00BB2F4A">
        <w:rPr>
          <w:lang w:val="en-GB" w:eastAsia="es-ES"/>
        </w:rPr>
        <w:t>Beyond internal coherence, the bibliometric convergence and analytical synthesis presented here provide interpretative support for the consistency of the extended TAM framework. While these patterns do not constitute empirical validation, they indicate that the proposed model resonates with the dominant conceptual configurations through which green technology adoption is currently examined. This conceptual robustness strengthens the framework’s relevance as a foundation for future empirical research and informs the subsequent discussion of its implications for behavioural public policy and sustainability-oriented intervention design.</w:t>
      </w:r>
    </w:p>
    <w:p w14:paraId="51F99952" w14:textId="0A0BFAC3" w:rsidR="00D40857" w:rsidRPr="00D40857" w:rsidRDefault="00D40857" w:rsidP="006E1832">
      <w:pPr>
        <w:pStyle w:val="Ttulo2"/>
        <w:rPr>
          <w:bCs/>
          <w:lang w:val="en-GB"/>
        </w:rPr>
      </w:pPr>
      <w:r w:rsidRPr="00D40857">
        <w:t xml:space="preserve">Policy </w:t>
      </w:r>
      <w:r w:rsidR="00B632C6">
        <w:t>i</w:t>
      </w:r>
      <w:r w:rsidRPr="00D40857">
        <w:t>mplications for</w:t>
      </w:r>
      <w:r w:rsidR="00B632C6" w:rsidRPr="00B632C6">
        <w:t xml:space="preserve"> </w:t>
      </w:r>
      <w:r w:rsidR="00B632C6">
        <w:t>b</w:t>
      </w:r>
      <w:r w:rsidR="00B632C6" w:rsidRPr="00B632C6">
        <w:t xml:space="preserve">ehavioural and </w:t>
      </w:r>
      <w:r w:rsidR="00B632C6">
        <w:t>i</w:t>
      </w:r>
      <w:r w:rsidR="00B632C6" w:rsidRPr="00B632C6">
        <w:t xml:space="preserve">nstitutional </w:t>
      </w:r>
      <w:r w:rsidR="00B632C6">
        <w:t>d</w:t>
      </w:r>
      <w:r w:rsidR="00B632C6" w:rsidRPr="00B632C6">
        <w:t>esign</w:t>
      </w:r>
    </w:p>
    <w:p w14:paraId="4D520717" w14:textId="77777777" w:rsidR="00BB2F4A" w:rsidRDefault="00BB2F4A" w:rsidP="00BB2F4A">
      <w:r>
        <w:t>The integration of institutional dimensions into behavioural models provides a robust conceptual foundation for the design of policies aimed at promoting sustainable technology adoption. The analysis presented in this study indicates that citizens’ willingness to engage with green technologies is influenced not only by perceptions of efficiency or usability, but also by how institutional actors are perceived in terms of credibility, transparency, and procedural fairness. For policymakers and public organisations, this suggests that technological solutions alone are unlikely to achieve broad acceptance unless they are accompanied by sustained efforts to strengthen institutional trust and legitimacy.</w:t>
      </w:r>
    </w:p>
    <w:p w14:paraId="026FBE91" w14:textId="0BC5223C" w:rsidR="00561085" w:rsidRDefault="00561085" w:rsidP="00BB2F4A">
      <w:r w:rsidRPr="00561085">
        <w:t>Empirical research on sustainability-oriented policy interventions further supports this interpretation, showing that environmental knowledge, regulatory frameworks, and institutional signals interact with attitudes and perceptions to shape sustainable consumption patterns. In such settings, policy effectiveness depends not only on informational content but also on the perceived coherence between institutional action and societal values (Sohu et al., 2023).</w:t>
      </w:r>
    </w:p>
    <w:p w14:paraId="5EE6DF49" w14:textId="77777777" w:rsidR="00BB2F4A" w:rsidRDefault="00BB2F4A" w:rsidP="00BB2F4A">
      <w:r>
        <w:t xml:space="preserve">In practice, sustainability-oriented policy initiatives may therefore benefit from </w:t>
      </w:r>
      <w:proofErr w:type="spellStart"/>
      <w:r>
        <w:t>prioritising</w:t>
      </w:r>
      <w:proofErr w:type="spellEnd"/>
      <w:r>
        <w:t xml:space="preserve"> clear and transparent communication of environmental objectives, explicit accountability mechanisms, and </w:t>
      </w:r>
      <w:r>
        <w:lastRenderedPageBreak/>
        <w:t>participatory processes that enable citizens to engage meaningfully with decision-making. These approaches are consistent with the principles of behavioural public policy, which emphasise that perceptions of legitimacy and fairness shape how individuals interpret policy signals and respond to public interventions (Wolske, 2020). Rather than relying solely on economic incentives or regulatory mandates, policy frameworks that foreground institutional transparency and social endorsement are more likely to foster voluntary and durable adoption of green technologies.</w:t>
      </w:r>
    </w:p>
    <w:p w14:paraId="5A10DCDE" w14:textId="77777777" w:rsidR="00BB2F4A" w:rsidRDefault="00BB2F4A" w:rsidP="00BB2F4A">
      <w:r>
        <w:t>These implications should be interpreted as guiding orientations for policy design rather than as prescriptive solutions. The extended TAM framework does not advocate specific instruments or intervention packages; instead, it highlights the institutional context as a critical lens through which the effectiveness of sustainability policies can be evaluated, adapted, and improved over time.</w:t>
      </w:r>
    </w:p>
    <w:p w14:paraId="4DE8E399" w14:textId="65F59FBB" w:rsidR="00D40857" w:rsidRPr="00D40857" w:rsidRDefault="00D40857" w:rsidP="00D40857">
      <w:pPr>
        <w:pStyle w:val="Ttulo2"/>
        <w:rPr>
          <w:bCs/>
          <w:lang w:val="en-GB"/>
        </w:rPr>
      </w:pPr>
      <w:r w:rsidRPr="00D40857">
        <w:t xml:space="preserve">Limitations and </w:t>
      </w:r>
      <w:r w:rsidR="00B632C6">
        <w:t>directions for f</w:t>
      </w:r>
      <w:r w:rsidRPr="00D40857">
        <w:t xml:space="preserve">uture </w:t>
      </w:r>
      <w:r w:rsidR="00B632C6">
        <w:t>r</w:t>
      </w:r>
      <w:r w:rsidRPr="00D40857">
        <w:t>esearch</w:t>
      </w:r>
    </w:p>
    <w:p w14:paraId="77734F64" w14:textId="77777777" w:rsidR="00BB2F4A" w:rsidRDefault="00BB2F4A" w:rsidP="00BB2F4A">
      <w:pPr>
        <w:pStyle w:val="NormalWeb"/>
      </w:pPr>
      <w:r>
        <w:t>Despite its integrative scope, this study is subject to several limitations that should be acknowledged. First, the bibliometric corpus was restricted to English-language journal articles indexed in Scopus. This choice, while methodologically justified, may underrepresent non-Western research traditions, locally grounded studies, and forms of grey literature that are often central to community-based sustainability initiatives. Consequently, the conceptual patterns identified here should be interpreted as reflecting dominant strands of international academic discourse rather than a comprehensive representation of global perspectives on green technology adoption.</w:t>
      </w:r>
    </w:p>
    <w:p w14:paraId="1DB9A14C" w14:textId="77777777" w:rsidR="00BB2F4A" w:rsidRDefault="00BB2F4A" w:rsidP="00BB2F4A">
      <w:pPr>
        <w:pStyle w:val="NormalWeb"/>
      </w:pPr>
      <w:r>
        <w:t>Second, the Analytic Hierarchy Process was employed as a structured expert elicitation and organisational tool, not as a method of empirical validation. Although this approach facilitated conceptual clarification and comparative reflection across behavioural and institutional dimensions, it cannot substitute for analyses based on primary behavioural data. Future research could therefore operationalise the extended TAM through large-scale survey designs, experimental studies, or mixed-method approaches, including structural equation modelling, to examine how institutional and behavioural determinants interact across specific technological and policy contexts.</w:t>
      </w:r>
    </w:p>
    <w:p w14:paraId="756D9EB9" w14:textId="77777777" w:rsidR="00BB2F4A" w:rsidRDefault="00BB2F4A" w:rsidP="00BB2F4A">
      <w:pPr>
        <w:pStyle w:val="NormalWeb"/>
      </w:pPr>
      <w:r>
        <w:t>Further research may also benefit from incorporating longitudinal or spatially explicit data sources, such as open urban climate indicators or citizen science participation records, in order to capture dynamic patterns of technology adoption over time. Integrating such data would enhance the empirical depth and interdisciplinary reach of the framework, while contributing to a more fine-grained understanding of sustainability transitions at the intersection of behavioural science, environmental policy, and data-driven governance.</w:t>
      </w:r>
    </w:p>
    <w:p w14:paraId="096F0F4E" w14:textId="77777777" w:rsidR="00BB2F4A" w:rsidRDefault="00BB2F4A" w:rsidP="00BB2F4A">
      <w:pPr>
        <w:pStyle w:val="NormalWeb"/>
      </w:pPr>
      <w:r>
        <w:t>Overall, the extended Technology Acceptance Model proposed in this study should be viewed as a flexible conceptual scaffold rather than a closed explanatory system. Its primary contribution lies in structuring future inquiry into how cognitive evaluations, institutional conditions, and social contexts jointly shape the adoption of green technologies.</w:t>
      </w:r>
    </w:p>
    <w:p w14:paraId="19D19203" w14:textId="4C0BC48D" w:rsidR="009C2860" w:rsidRDefault="00D40857" w:rsidP="006E1832">
      <w:pPr>
        <w:pStyle w:val="Ttulo1"/>
      </w:pPr>
      <w:r w:rsidRPr="00D40857">
        <w:rPr>
          <w:lang w:val="en-GB"/>
        </w:rPr>
        <w:t>Conclusion</w:t>
      </w:r>
    </w:p>
    <w:p w14:paraId="17CA4A33" w14:textId="77777777" w:rsidR="00E61165" w:rsidRDefault="00E61165" w:rsidP="00E61165">
      <w:pPr>
        <w:pStyle w:val="NormalWeb"/>
      </w:pPr>
      <w:r>
        <w:t xml:space="preserve">This study brings together behavioural, institutional, and social perspectives on technology acceptance within a coherent framework that is both analytically grounded and relevant for policy-oriented inquiry. By developing a conceptually extended version of the Technology Acceptance Model (TAM), the article advances an integrative understanding of citizens’ acceptance of sustainable technologies that goes beyond individual cognitive evaluations. Drawing on bibliometric </w:t>
      </w:r>
      <w:r>
        <w:lastRenderedPageBreak/>
        <w:t>mapping, semantic analysis, and structured expert elicitation through the Analytic Hierarchy Process (AHP), the analysis highlights the central role of institutional conditions—specifically trust, legitimacy, transparency, and community support—in shaping how technological attributes are interpreted and translated into behavioural intention.</w:t>
      </w:r>
    </w:p>
    <w:p w14:paraId="468D4D09" w14:textId="77777777" w:rsidR="00E61165" w:rsidRDefault="00E61165" w:rsidP="00E61165">
      <w:pPr>
        <w:pStyle w:val="NormalWeb"/>
      </w:pPr>
      <w:r>
        <w:t>The findings suggest that technology adoption in environmental contexts cannot be adequately captured as a purely individual or instrumental process. Instead, acceptance emerges within a broader social and institutional setting in which perceptions of credibility, fairness, and procedural transparency influence whether perceived usefulness and ease of use effectively lead to adoption. In this sense, the study contributes to the theoretical evolution of TAM by situating cognitive evaluations within governance and institutional contexts that condition behavioural responses, particularly in sustainability-oriented and public-sector settings.</w:t>
      </w:r>
    </w:p>
    <w:p w14:paraId="35D12930" w14:textId="77777777" w:rsidR="00E61165" w:rsidRDefault="00E61165" w:rsidP="00E61165">
      <w:pPr>
        <w:pStyle w:val="NormalWeb"/>
      </w:pPr>
      <w:r>
        <w:t>From a practical perspective, the framework developed here offers insights that are relevant for sustainability governance and public innovation. Rather than focusing exclusively on technological performance or economic incentives, the analysis points to the importance of institutional credibility and participatory legitimacy as enabling conditions for successful ecological transitions. This is especially pertinent in urban and public policy contexts, where citizen trust and perceptions of procedural fairness often shape the reception and effectiveness of green initiatives. These implications are consistent with recent perspectives that emphasise the human, educational, and cultural dimensions of sustainability leadership and systemic transformation (Wamsler et al., 2024).</w:t>
      </w:r>
    </w:p>
    <w:p w14:paraId="3425E4E3" w14:textId="77777777" w:rsidR="00E61165" w:rsidRDefault="00E61165" w:rsidP="00E61165">
      <w:pPr>
        <w:pStyle w:val="NormalWeb"/>
      </w:pPr>
      <w:r>
        <w:t>Looking ahead, the extended TAM proposed in this study should be regarded as an open conceptual framework that invites further empirical exploration. Future research may strengthen its analytical and policy relevance through quantitative validation, longitudinal designs, and the use of reproducible open-data sources that capture behavioural dynamics over time and across contexts. Such extensions would allow a more nuanced examination of how institutional and behavioural factors interact in practice, thereby enhancing the framework’s applicability to real-world sustainability challenges.</w:t>
      </w:r>
    </w:p>
    <w:p w14:paraId="2CCAB920" w14:textId="77777777" w:rsidR="00E61165" w:rsidRDefault="00E61165" w:rsidP="00E61165">
      <w:pPr>
        <w:pStyle w:val="NormalWeb"/>
      </w:pPr>
      <w:r>
        <w:t>Overall, the analysis reinforces a central insight: sustainable transformation depends not only on the availability or performance of green technologies, but also on the institutional environments in which they are introduced and governed. Trust, in this sense, is not an auxiliary consideration but a foundational condition that underpins citizens’ willingness to engage with sustainable innovation.</w:t>
      </w:r>
    </w:p>
    <w:p w14:paraId="024C4A8B" w14:textId="3532AC93" w:rsidR="00117666" w:rsidRPr="00376CC5" w:rsidRDefault="000C7E2A" w:rsidP="00CA5421">
      <w:pPr>
        <w:pStyle w:val="Ttulo1"/>
      </w:pPr>
      <w:r w:rsidRPr="00376CC5">
        <w:t>Additional Requirements</w:t>
      </w:r>
    </w:p>
    <w:p w14:paraId="47B6C60A" w14:textId="77777777" w:rsidR="00C87D65" w:rsidRDefault="00C87D65" w:rsidP="00C87D65">
      <w:r w:rsidRPr="00C87D65">
        <w:t>No additional ethical approvals, consent forms, or methodological declarations were required for this study, as it relied exclusively on secondary bibliometric and open scientific data retrieved from the Scopus database (Elsevier B.V.). All analytical procedures complied with institutional and publisher data-use guidelines.</w:t>
      </w:r>
    </w:p>
    <w:p w14:paraId="478D8026" w14:textId="77777777" w:rsidR="00CB43D5" w:rsidRDefault="00CB43D5" w:rsidP="00CB43D5">
      <w:pPr>
        <w:pStyle w:val="Ttulo1"/>
      </w:pPr>
      <w:r>
        <w:t>Conflict of Interest</w:t>
      </w:r>
    </w:p>
    <w:p w14:paraId="55E438B5" w14:textId="77777777" w:rsidR="00CB43D5" w:rsidRDefault="00CB43D5" w:rsidP="00C87D65">
      <w:pPr>
        <w:rPr>
          <w:lang w:val="en-GB" w:eastAsia="en-GB"/>
        </w:rPr>
      </w:pPr>
      <w:r w:rsidRPr="00A545C6">
        <w:rPr>
          <w:lang w:val="en-GB" w:eastAsia="en-GB"/>
        </w:rPr>
        <w:t>The authors declare that the research was conducted in the absence of any commercial or financial relationships that could be construed as a potential conflict of interest</w:t>
      </w:r>
      <w:r w:rsidRPr="00CB43D5">
        <w:rPr>
          <w:lang w:val="en-GB" w:eastAsia="en-GB"/>
        </w:rPr>
        <w:t>.</w:t>
      </w:r>
    </w:p>
    <w:p w14:paraId="5D2F7456" w14:textId="77777777" w:rsidR="003A75AA" w:rsidRPr="00CB43D5" w:rsidRDefault="003A75AA" w:rsidP="00C87D65"/>
    <w:p w14:paraId="2F606C58" w14:textId="77777777" w:rsidR="00045678" w:rsidRDefault="00045678" w:rsidP="00045678">
      <w:pPr>
        <w:pStyle w:val="Ttulo1"/>
      </w:pPr>
      <w:r>
        <w:lastRenderedPageBreak/>
        <w:t>Author Contributions</w:t>
      </w:r>
    </w:p>
    <w:p w14:paraId="223AA21E" w14:textId="77777777" w:rsidR="00642F32" w:rsidRDefault="00C87D65" w:rsidP="00642F32">
      <w:r w:rsidRPr="00C87D65">
        <w:t>JCT conceptualised the study, designed the methodological framework, and led the manuscript writing.</w:t>
      </w:r>
    </w:p>
    <w:p w14:paraId="3915F835" w14:textId="0DC02965" w:rsidR="00642F32" w:rsidRDefault="00C87D65" w:rsidP="00642F32">
      <w:r w:rsidRPr="00C87D65">
        <w:t>JJGH contributed to the bibliometric and semantic analyses, data interpretation, and revision of the theoretical model.</w:t>
      </w:r>
      <w:r w:rsidRPr="00C87D65">
        <w:br/>
        <w:t>GM supported the analytical validation, and manuscript editing.</w:t>
      </w:r>
    </w:p>
    <w:p w14:paraId="4D60D383" w14:textId="3350AD52" w:rsidR="00C87D65" w:rsidRPr="00045678" w:rsidRDefault="00C87D65" w:rsidP="00642F32">
      <w:r w:rsidRPr="00C87D65">
        <w:t xml:space="preserve">All authors read and approved the final version of the manuscript and agreed to its submission to </w:t>
      </w:r>
      <w:r w:rsidRPr="00C87D65">
        <w:rPr>
          <w:i/>
          <w:iCs/>
        </w:rPr>
        <w:t>Frontiers in Psychology</w:t>
      </w:r>
      <w:r w:rsidRPr="00C87D65">
        <w:t>.</w:t>
      </w:r>
    </w:p>
    <w:p w14:paraId="454B802F" w14:textId="77777777" w:rsidR="00AC3EA3" w:rsidRPr="00376CC5" w:rsidRDefault="00AC3EA3" w:rsidP="00A53000">
      <w:pPr>
        <w:pStyle w:val="Ttulo1"/>
      </w:pPr>
      <w:r w:rsidRPr="00376CC5">
        <w:t>Funding</w:t>
      </w:r>
    </w:p>
    <w:p w14:paraId="5A540BE9" w14:textId="77777777" w:rsidR="00642F32" w:rsidRDefault="00571E99" w:rsidP="00642F32">
      <w:pPr>
        <w:rPr>
          <w:lang w:val="en-GB" w:eastAsia="es-ES"/>
        </w:rPr>
      </w:pPr>
      <w:r w:rsidRPr="00642F32">
        <w:rPr>
          <w:lang w:val="en-GB" w:eastAsia="es-ES"/>
        </w:rPr>
        <w:t>This research was supported by the European University of Madrid under the institutional program for open innovation and sustainability (Grant Ref. EUM-OIS-2025-01).</w:t>
      </w:r>
    </w:p>
    <w:p w14:paraId="1DAAC4F7" w14:textId="3B530AFA" w:rsidR="00642F32" w:rsidRDefault="00571E99" w:rsidP="00642F32">
      <w:pPr>
        <w:rPr>
          <w:lang w:val="en-GB" w:eastAsia="es-ES"/>
        </w:rPr>
      </w:pPr>
      <w:r w:rsidRPr="00642F32">
        <w:rPr>
          <w:lang w:val="en-GB" w:eastAsia="es-ES"/>
        </w:rPr>
        <w:t>Additional support was provided by the Complutense University of Madrid, Faculty of Education, through its Open Data and Citizen Science Initiative.</w:t>
      </w:r>
    </w:p>
    <w:p w14:paraId="4BF749AC" w14:textId="3EAD693B" w:rsidR="00571E99" w:rsidRPr="00642F32" w:rsidRDefault="00571E99" w:rsidP="00642F32">
      <w:pPr>
        <w:rPr>
          <w:lang w:val="en-GB" w:eastAsia="es-ES"/>
        </w:rPr>
      </w:pPr>
      <w:r w:rsidRPr="00642F32">
        <w:rPr>
          <w:lang w:val="en-GB" w:eastAsia="es-ES"/>
        </w:rPr>
        <w:t xml:space="preserve">The publication fee (Article Processing Charge) was covered by the European University of Madrid. </w:t>
      </w:r>
    </w:p>
    <w:p w14:paraId="0C176A87" w14:textId="0EA430F8" w:rsidR="006B2D5B" w:rsidRPr="00376CC5" w:rsidRDefault="006B2D5B" w:rsidP="00A53000">
      <w:pPr>
        <w:pStyle w:val="Ttulo1"/>
      </w:pPr>
      <w:r w:rsidRPr="00376CC5">
        <w:t>Acknowledgments</w:t>
      </w:r>
    </w:p>
    <w:p w14:paraId="4BBFBC21" w14:textId="77777777" w:rsidR="00642F32" w:rsidRDefault="00E00FEC" w:rsidP="00E00FEC">
      <w:pPr>
        <w:rPr>
          <w:shd w:val="clear" w:color="auto" w:fill="FFFFFF"/>
        </w:rPr>
      </w:pPr>
      <w:r w:rsidRPr="00E00FEC">
        <w:rPr>
          <w:shd w:val="clear" w:color="auto" w:fill="FFFFFF"/>
        </w:rPr>
        <w:t>The authors would like to thank the reviewers for their constructive comments, which substantially improved the clarity and academic quality of this manuscript.</w:t>
      </w:r>
    </w:p>
    <w:p w14:paraId="2E48A570" w14:textId="15A111B0" w:rsidR="00E00FEC" w:rsidRDefault="00E00FEC" w:rsidP="00E00FEC">
      <w:pPr>
        <w:rPr>
          <w:shd w:val="clear" w:color="auto" w:fill="FFFFFF"/>
        </w:rPr>
      </w:pPr>
      <w:r w:rsidRPr="00E00FEC">
        <w:rPr>
          <w:shd w:val="clear" w:color="auto" w:fill="FFFFFF"/>
        </w:rPr>
        <w:t xml:space="preserve">Special thanks are extended to the </w:t>
      </w:r>
      <w:r w:rsidRPr="00E00FEC">
        <w:rPr>
          <w:bCs/>
          <w:shd w:val="clear" w:color="auto" w:fill="FFFFFF"/>
        </w:rPr>
        <w:t>European University of Madrid</w:t>
      </w:r>
      <w:r w:rsidRPr="00E00FEC">
        <w:rPr>
          <w:shd w:val="clear" w:color="auto" w:fill="FFFFFF"/>
        </w:rPr>
        <w:t xml:space="preserve"> and the </w:t>
      </w:r>
      <w:r w:rsidRPr="00E00FEC">
        <w:rPr>
          <w:bCs/>
          <w:shd w:val="clear" w:color="auto" w:fill="FFFFFF"/>
        </w:rPr>
        <w:t>Complutense University of Madrid</w:t>
      </w:r>
      <w:r w:rsidRPr="00E00FEC">
        <w:rPr>
          <w:shd w:val="clear" w:color="auto" w:fill="FFFFFF"/>
        </w:rPr>
        <w:t xml:space="preserve"> for their institutional support and to their respective Open Data and Innovation Units for assistance in data retrieval and methodological guidance.</w:t>
      </w:r>
    </w:p>
    <w:p w14:paraId="366E773B" w14:textId="7B98C19D" w:rsidR="00AC3EA3" w:rsidRPr="00376CC5" w:rsidRDefault="00AC3EA3" w:rsidP="00AC3EA3">
      <w:pPr>
        <w:pStyle w:val="Ttulo1"/>
      </w:pPr>
      <w:r w:rsidRPr="00376CC5">
        <w:t>Reference</w:t>
      </w:r>
    </w:p>
    <w:p w14:paraId="75BE4DA0" w14:textId="77777777" w:rsidR="00365DDF" w:rsidRPr="00365DDF" w:rsidRDefault="00365DDF" w:rsidP="00365DDF">
      <w:pPr>
        <w:rPr>
          <w:szCs w:val="24"/>
          <w:lang w:val="en-GB"/>
        </w:rPr>
      </w:pPr>
      <w:r w:rsidRPr="00365DDF">
        <w:rPr>
          <w:szCs w:val="24"/>
          <w:lang w:val="en-GB"/>
        </w:rPr>
        <w:t xml:space="preserve">Böcker, L., </w:t>
      </w:r>
      <w:proofErr w:type="spellStart"/>
      <w:r w:rsidRPr="00365DDF">
        <w:rPr>
          <w:szCs w:val="24"/>
          <w:lang w:val="en-GB"/>
        </w:rPr>
        <w:t>Dijst</w:t>
      </w:r>
      <w:proofErr w:type="spellEnd"/>
      <w:r w:rsidRPr="00365DDF">
        <w:rPr>
          <w:szCs w:val="24"/>
          <w:lang w:val="en-GB"/>
        </w:rPr>
        <w:t xml:space="preserve">, M., and Faber, J. (2023). Adopting sustainable technologies in urban households: The role of contextual, social and psychological factors. </w:t>
      </w:r>
      <w:r w:rsidRPr="00365DDF">
        <w:rPr>
          <w:i/>
          <w:iCs/>
          <w:szCs w:val="24"/>
          <w:lang w:val="en-GB"/>
        </w:rPr>
        <w:t>Journal of Environmental Psychology, 87</w:t>
      </w:r>
      <w:r w:rsidRPr="00365DDF">
        <w:rPr>
          <w:szCs w:val="24"/>
          <w:lang w:val="en-GB"/>
        </w:rPr>
        <w:t xml:space="preserve">, 102005. </w:t>
      </w:r>
      <w:hyperlink r:id="rId12" w:tgtFrame="_new" w:history="1">
        <w:r w:rsidRPr="00365DDF">
          <w:rPr>
            <w:rStyle w:val="Hipervnculo"/>
            <w:szCs w:val="24"/>
            <w:lang w:val="en-GB"/>
          </w:rPr>
          <w:t>https://doi.org/10.1016/j.jenvp.2023.102005</w:t>
        </w:r>
      </w:hyperlink>
    </w:p>
    <w:p w14:paraId="20B4D8CE" w14:textId="77777777" w:rsidR="00365DDF" w:rsidRPr="00365DDF" w:rsidRDefault="00365DDF" w:rsidP="00365DDF">
      <w:pPr>
        <w:rPr>
          <w:szCs w:val="24"/>
          <w:lang w:val="en-GB"/>
        </w:rPr>
      </w:pPr>
      <w:r w:rsidRPr="00365DDF">
        <w:rPr>
          <w:szCs w:val="24"/>
          <w:lang w:val="en-GB"/>
        </w:rPr>
        <w:t xml:space="preserve">Cáceres-Tello, J., and Galán-Hernández, J. J. (2024). Acceptance of technological innovations in economic education: Key factors for implementation. In M. D. C. Valls Martínez and J. Montero (Eds.), </w:t>
      </w:r>
      <w:r w:rsidRPr="00365DDF">
        <w:rPr>
          <w:i/>
          <w:iCs/>
          <w:szCs w:val="24"/>
          <w:lang w:val="en-GB"/>
        </w:rPr>
        <w:t>Teaching innovations in economics</w:t>
      </w:r>
      <w:r w:rsidRPr="00365DDF">
        <w:rPr>
          <w:szCs w:val="24"/>
          <w:lang w:val="en-GB"/>
        </w:rPr>
        <w:t xml:space="preserve"> (pp. 185–202). Springer. </w:t>
      </w:r>
      <w:hyperlink r:id="rId13" w:tgtFrame="_new" w:history="1">
        <w:r w:rsidRPr="00365DDF">
          <w:rPr>
            <w:rStyle w:val="Hipervnculo"/>
            <w:szCs w:val="24"/>
            <w:lang w:val="en-GB"/>
          </w:rPr>
          <w:t>https://doi.org/10.1007/978-3-031-72549-4_12</w:t>
        </w:r>
      </w:hyperlink>
    </w:p>
    <w:p w14:paraId="54EE1D0B" w14:textId="77777777" w:rsidR="00365DDF" w:rsidRPr="00365DDF" w:rsidRDefault="00365DDF" w:rsidP="00365DDF">
      <w:pPr>
        <w:rPr>
          <w:szCs w:val="24"/>
          <w:lang w:val="en-GB"/>
        </w:rPr>
      </w:pPr>
      <w:r w:rsidRPr="00365DDF">
        <w:rPr>
          <w:szCs w:val="24"/>
          <w:lang w:val="en-GB"/>
        </w:rPr>
        <w:t xml:space="preserve">Cialdini, R. B., Kallgren, C. A., and Reno, R. R. (1991). A focus theory of normative conduct: A theoretical refinement and </w:t>
      </w:r>
      <w:proofErr w:type="spellStart"/>
      <w:r w:rsidRPr="00365DDF">
        <w:rPr>
          <w:szCs w:val="24"/>
          <w:lang w:val="en-GB"/>
        </w:rPr>
        <w:t>reevaluation</w:t>
      </w:r>
      <w:proofErr w:type="spellEnd"/>
      <w:r w:rsidRPr="00365DDF">
        <w:rPr>
          <w:szCs w:val="24"/>
          <w:lang w:val="en-GB"/>
        </w:rPr>
        <w:t xml:space="preserve"> of the role of norms in human </w:t>
      </w:r>
      <w:proofErr w:type="spellStart"/>
      <w:r w:rsidRPr="00365DDF">
        <w:rPr>
          <w:szCs w:val="24"/>
          <w:lang w:val="en-GB"/>
        </w:rPr>
        <w:t>behavior</w:t>
      </w:r>
      <w:proofErr w:type="spellEnd"/>
      <w:r w:rsidRPr="00365DDF">
        <w:rPr>
          <w:szCs w:val="24"/>
          <w:lang w:val="en-GB"/>
        </w:rPr>
        <w:t xml:space="preserve">. </w:t>
      </w:r>
      <w:r w:rsidRPr="00365DDF">
        <w:rPr>
          <w:i/>
          <w:iCs/>
          <w:szCs w:val="24"/>
          <w:lang w:val="en-GB"/>
        </w:rPr>
        <w:t>Advances in Experimental Social Psychology, 24</w:t>
      </w:r>
      <w:r w:rsidRPr="00365DDF">
        <w:rPr>
          <w:szCs w:val="24"/>
          <w:lang w:val="en-GB"/>
        </w:rPr>
        <w:t xml:space="preserve">, 201–234. </w:t>
      </w:r>
      <w:hyperlink r:id="rId14" w:tgtFrame="_new" w:history="1">
        <w:r w:rsidRPr="00365DDF">
          <w:rPr>
            <w:rStyle w:val="Hipervnculo"/>
            <w:szCs w:val="24"/>
            <w:lang w:val="en-GB"/>
          </w:rPr>
          <w:t>https://doi.org/10.1016/S0065-2601(08)60330-5</w:t>
        </w:r>
      </w:hyperlink>
    </w:p>
    <w:p w14:paraId="4DDD1067" w14:textId="77777777" w:rsidR="00365DDF" w:rsidRPr="00365DDF" w:rsidRDefault="00365DDF" w:rsidP="00365DDF">
      <w:pPr>
        <w:rPr>
          <w:szCs w:val="24"/>
          <w:lang w:val="en-GB"/>
        </w:rPr>
      </w:pPr>
      <w:r w:rsidRPr="00365DDF">
        <w:rPr>
          <w:szCs w:val="24"/>
          <w:lang w:val="en-GB"/>
        </w:rPr>
        <w:t xml:space="preserve">Davis, F. D. (1989). Perceived usefulness, perceived ease of use, and user acceptance of information technology. </w:t>
      </w:r>
      <w:r w:rsidRPr="00365DDF">
        <w:rPr>
          <w:i/>
          <w:iCs/>
          <w:szCs w:val="24"/>
          <w:lang w:val="en-GB"/>
        </w:rPr>
        <w:t>MIS Quarterly, 13</w:t>
      </w:r>
      <w:r w:rsidRPr="00365DDF">
        <w:rPr>
          <w:szCs w:val="24"/>
          <w:lang w:val="en-GB"/>
        </w:rPr>
        <w:t xml:space="preserve">(3), 319–340. </w:t>
      </w:r>
      <w:hyperlink r:id="rId15" w:tgtFrame="_new" w:history="1">
        <w:r w:rsidRPr="00365DDF">
          <w:rPr>
            <w:rStyle w:val="Hipervnculo"/>
            <w:szCs w:val="24"/>
            <w:lang w:val="en-GB"/>
          </w:rPr>
          <w:t>https://doi.org/10.2307/249008</w:t>
        </w:r>
      </w:hyperlink>
    </w:p>
    <w:p w14:paraId="34CB1E5A" w14:textId="77777777" w:rsidR="00365DDF" w:rsidRPr="00365DDF" w:rsidRDefault="00365DDF" w:rsidP="00365DDF">
      <w:pPr>
        <w:rPr>
          <w:szCs w:val="24"/>
          <w:lang w:val="en-GB"/>
        </w:rPr>
      </w:pPr>
      <w:proofErr w:type="spellStart"/>
      <w:r w:rsidRPr="00365DDF">
        <w:rPr>
          <w:szCs w:val="24"/>
          <w:lang w:val="en-GB"/>
        </w:rPr>
        <w:lastRenderedPageBreak/>
        <w:t>Dryhurst</w:t>
      </w:r>
      <w:proofErr w:type="spellEnd"/>
      <w:r w:rsidRPr="00365DDF">
        <w:rPr>
          <w:szCs w:val="24"/>
          <w:lang w:val="en-GB"/>
        </w:rPr>
        <w:t xml:space="preserve">, S., Schneider, C. R., Kerr, J., Freeman, A. L. J., Recchia, G., van der Bles, A. M., and van der Linden, S. (2020). Risk perceptions of COVID-19 around the world. </w:t>
      </w:r>
      <w:r w:rsidRPr="00365DDF">
        <w:rPr>
          <w:i/>
          <w:iCs/>
          <w:szCs w:val="24"/>
          <w:lang w:val="en-GB"/>
        </w:rPr>
        <w:t>Journal of Risk Research, 23</w:t>
      </w:r>
      <w:r w:rsidRPr="00365DDF">
        <w:rPr>
          <w:szCs w:val="24"/>
          <w:lang w:val="en-GB"/>
        </w:rPr>
        <w:t xml:space="preserve">(7–8), 994–1006. </w:t>
      </w:r>
      <w:hyperlink r:id="rId16" w:tgtFrame="_new" w:history="1">
        <w:r w:rsidRPr="00365DDF">
          <w:rPr>
            <w:rStyle w:val="Hipervnculo"/>
            <w:szCs w:val="24"/>
            <w:lang w:val="en-GB"/>
          </w:rPr>
          <w:t>https://doi.org/10.1080/13669877.2020.1758193</w:t>
        </w:r>
      </w:hyperlink>
    </w:p>
    <w:p w14:paraId="538B97C0" w14:textId="77777777" w:rsidR="00365DDF" w:rsidRPr="00365DDF" w:rsidRDefault="00365DDF" w:rsidP="00365DDF">
      <w:pPr>
        <w:rPr>
          <w:szCs w:val="24"/>
          <w:lang w:val="en-GB"/>
        </w:rPr>
      </w:pPr>
      <w:r w:rsidRPr="00365DDF">
        <w:rPr>
          <w:szCs w:val="24"/>
          <w:lang w:val="en-GB"/>
        </w:rPr>
        <w:t xml:space="preserve">Howlett, M., and Mukherjee, I. (2014). Policy design and non-design: Towards a spectrum of policy formulation types. </w:t>
      </w:r>
      <w:r w:rsidRPr="00365DDF">
        <w:rPr>
          <w:i/>
          <w:iCs/>
          <w:szCs w:val="24"/>
          <w:lang w:val="en-GB"/>
        </w:rPr>
        <w:t>Politics and Governance, 2</w:t>
      </w:r>
      <w:r w:rsidRPr="00365DDF">
        <w:rPr>
          <w:szCs w:val="24"/>
          <w:lang w:val="en-GB"/>
        </w:rPr>
        <w:t xml:space="preserve">(2), 57–71. </w:t>
      </w:r>
      <w:hyperlink r:id="rId17" w:tgtFrame="_new" w:history="1">
        <w:r w:rsidRPr="00365DDF">
          <w:rPr>
            <w:rStyle w:val="Hipervnculo"/>
            <w:szCs w:val="24"/>
            <w:lang w:val="en-GB"/>
          </w:rPr>
          <w:t>https://doi.org/10.17645/pag.v2i2.149</w:t>
        </w:r>
      </w:hyperlink>
    </w:p>
    <w:p w14:paraId="2D49908B" w14:textId="77777777" w:rsidR="00365DDF" w:rsidRPr="00365DDF" w:rsidRDefault="00365DDF" w:rsidP="00365DDF">
      <w:pPr>
        <w:rPr>
          <w:szCs w:val="24"/>
          <w:lang w:val="en-GB"/>
        </w:rPr>
      </w:pPr>
      <w:r w:rsidRPr="00365DDF">
        <w:rPr>
          <w:szCs w:val="24"/>
          <w:lang w:val="en-GB"/>
        </w:rPr>
        <w:t xml:space="preserve">Hussain, M., and Dogan, E. (2021). The role of institutional quality and environment-related technologies in environmental degradation for BRICS. </w:t>
      </w:r>
      <w:r w:rsidRPr="00365DDF">
        <w:rPr>
          <w:i/>
          <w:iCs/>
          <w:szCs w:val="24"/>
          <w:lang w:val="en-GB"/>
        </w:rPr>
        <w:t>Journal of Cleaner Production, 304</w:t>
      </w:r>
      <w:r w:rsidRPr="00365DDF">
        <w:rPr>
          <w:szCs w:val="24"/>
          <w:lang w:val="en-GB"/>
        </w:rPr>
        <w:t xml:space="preserve">, 127059. </w:t>
      </w:r>
      <w:hyperlink r:id="rId18" w:tgtFrame="_new" w:history="1">
        <w:r w:rsidRPr="00365DDF">
          <w:rPr>
            <w:rStyle w:val="Hipervnculo"/>
            <w:szCs w:val="24"/>
            <w:lang w:val="en-GB"/>
          </w:rPr>
          <w:t>https://doi.org/10.1016/j.jclepro.2021.127059</w:t>
        </w:r>
      </w:hyperlink>
    </w:p>
    <w:p w14:paraId="7A3AFEA2" w14:textId="77777777" w:rsidR="00365DDF" w:rsidRPr="00365DDF" w:rsidRDefault="00365DDF" w:rsidP="00365DDF">
      <w:pPr>
        <w:rPr>
          <w:szCs w:val="24"/>
          <w:lang w:val="es-ES"/>
        </w:rPr>
      </w:pPr>
      <w:r w:rsidRPr="00365DDF">
        <w:rPr>
          <w:szCs w:val="24"/>
          <w:lang w:val="en-GB"/>
        </w:rPr>
        <w:t xml:space="preserve">Janmaimool, P. (2021). Application of the technology acceptance model to environmental management: Enhancing pro-environmental </w:t>
      </w:r>
      <w:proofErr w:type="spellStart"/>
      <w:r w:rsidRPr="00365DDF">
        <w:rPr>
          <w:szCs w:val="24"/>
          <w:lang w:val="en-GB"/>
        </w:rPr>
        <w:t>behavior</w:t>
      </w:r>
      <w:proofErr w:type="spellEnd"/>
      <w:r w:rsidRPr="00365DDF">
        <w:rPr>
          <w:szCs w:val="24"/>
          <w:lang w:val="en-GB"/>
        </w:rPr>
        <w:t xml:space="preserve"> in smart cities. </w:t>
      </w:r>
      <w:proofErr w:type="spellStart"/>
      <w:r w:rsidRPr="00365DDF">
        <w:rPr>
          <w:i/>
          <w:iCs/>
          <w:szCs w:val="24"/>
          <w:lang w:val="es-ES"/>
        </w:rPr>
        <w:t>Cities</w:t>
      </w:r>
      <w:proofErr w:type="spellEnd"/>
      <w:r w:rsidRPr="00365DDF">
        <w:rPr>
          <w:i/>
          <w:iCs/>
          <w:szCs w:val="24"/>
          <w:lang w:val="es-ES"/>
        </w:rPr>
        <w:t>, 116</w:t>
      </w:r>
      <w:r w:rsidRPr="00365DDF">
        <w:rPr>
          <w:szCs w:val="24"/>
          <w:lang w:val="es-ES"/>
        </w:rPr>
        <w:t xml:space="preserve">, 103273. </w:t>
      </w:r>
      <w:r>
        <w:fldChar w:fldCharType="begin"/>
      </w:r>
      <w:r w:rsidRPr="00C86C13">
        <w:rPr>
          <w:lang w:val="es-ES"/>
        </w:rPr>
        <w:instrText>HYPERLINK "https://doi.org/10.1016/j.cities.2021.103273" \t "_new"</w:instrText>
      </w:r>
      <w:r>
        <w:fldChar w:fldCharType="separate"/>
      </w:r>
      <w:r w:rsidRPr="00365DDF">
        <w:rPr>
          <w:rStyle w:val="Hipervnculo"/>
          <w:szCs w:val="24"/>
          <w:lang w:val="es-ES"/>
        </w:rPr>
        <w:t>https://doi.org/10.1016/j.cities.2021.103273</w:t>
      </w:r>
      <w:r>
        <w:fldChar w:fldCharType="end"/>
      </w:r>
    </w:p>
    <w:p w14:paraId="44477A66" w14:textId="77777777" w:rsidR="00365DDF" w:rsidRPr="00365DDF" w:rsidRDefault="00365DDF" w:rsidP="00365DDF">
      <w:pPr>
        <w:rPr>
          <w:szCs w:val="24"/>
          <w:lang w:val="en-GB"/>
        </w:rPr>
      </w:pPr>
      <w:r w:rsidRPr="00365DDF">
        <w:rPr>
          <w:szCs w:val="24"/>
          <w:lang w:val="es-ES"/>
        </w:rPr>
        <w:t xml:space="preserve">Jardón Gallegos, M. del C., García </w:t>
      </w:r>
      <w:proofErr w:type="spellStart"/>
      <w:r w:rsidRPr="00365DDF">
        <w:rPr>
          <w:szCs w:val="24"/>
          <w:lang w:val="es-ES"/>
        </w:rPr>
        <w:t>Pilataxi</w:t>
      </w:r>
      <w:proofErr w:type="spellEnd"/>
      <w:r w:rsidRPr="00365DDF">
        <w:rPr>
          <w:szCs w:val="24"/>
          <w:lang w:val="es-ES"/>
        </w:rPr>
        <w:t xml:space="preserve">, A. C., Constante Toscano, M. B., and </w:t>
      </w:r>
      <w:proofErr w:type="spellStart"/>
      <w:r w:rsidRPr="00365DDF">
        <w:rPr>
          <w:szCs w:val="24"/>
          <w:lang w:val="es-ES"/>
        </w:rPr>
        <w:t>Mallitasig</w:t>
      </w:r>
      <w:proofErr w:type="spellEnd"/>
      <w:r w:rsidRPr="00365DDF">
        <w:rPr>
          <w:szCs w:val="24"/>
          <w:lang w:val="es-ES"/>
        </w:rPr>
        <w:t xml:space="preserve"> Sanguche, A. J. (2024). La mente digital: Un análisis del impacto psicosocial de la inteligencia artificial en los estudiantes del siglo XXI. </w:t>
      </w:r>
      <w:r w:rsidRPr="00365DDF">
        <w:rPr>
          <w:i/>
          <w:iCs/>
          <w:szCs w:val="24"/>
          <w:lang w:val="en-GB"/>
        </w:rPr>
        <w:t>REINCISOL, 3</w:t>
      </w:r>
      <w:r w:rsidRPr="00365DDF">
        <w:rPr>
          <w:szCs w:val="24"/>
          <w:lang w:val="en-GB"/>
        </w:rPr>
        <w:t xml:space="preserve">(6), 2038–2069. </w:t>
      </w:r>
      <w:hyperlink r:id="rId19" w:tgtFrame="_new" w:history="1">
        <w:r w:rsidRPr="00365DDF">
          <w:rPr>
            <w:rStyle w:val="Hipervnculo"/>
            <w:szCs w:val="24"/>
            <w:lang w:val="en-GB"/>
          </w:rPr>
          <w:t>https://doi.org/10.59282/reincisol.v3(6)2038-2069</w:t>
        </w:r>
      </w:hyperlink>
    </w:p>
    <w:p w14:paraId="052F641D" w14:textId="77777777" w:rsidR="00365DDF" w:rsidRPr="00365DDF" w:rsidRDefault="00365DDF" w:rsidP="00365DDF">
      <w:pPr>
        <w:rPr>
          <w:szCs w:val="24"/>
          <w:lang w:val="en-GB"/>
        </w:rPr>
      </w:pPr>
      <w:r w:rsidRPr="00365DDF">
        <w:rPr>
          <w:szCs w:val="24"/>
          <w:lang w:val="en-GB"/>
        </w:rPr>
        <w:t xml:space="preserve">Kamal, M. M., Shafiq, M., and </w:t>
      </w:r>
      <w:proofErr w:type="spellStart"/>
      <w:r w:rsidRPr="00365DDF">
        <w:rPr>
          <w:szCs w:val="24"/>
          <w:lang w:val="en-GB"/>
        </w:rPr>
        <w:t>Kakria</w:t>
      </w:r>
      <w:proofErr w:type="spellEnd"/>
      <w:r w:rsidRPr="00365DDF">
        <w:rPr>
          <w:szCs w:val="24"/>
          <w:lang w:val="en-GB"/>
        </w:rPr>
        <w:t xml:space="preserve">, P. (2020). Investigating acceptance of smart technologies in public sector using an extended TAM. </w:t>
      </w:r>
      <w:r w:rsidRPr="00365DDF">
        <w:rPr>
          <w:i/>
          <w:iCs/>
          <w:szCs w:val="24"/>
          <w:lang w:val="en-GB"/>
        </w:rPr>
        <w:t>Government Information Quarterly, 37</w:t>
      </w:r>
      <w:r w:rsidRPr="00365DDF">
        <w:rPr>
          <w:szCs w:val="24"/>
          <w:lang w:val="en-GB"/>
        </w:rPr>
        <w:t xml:space="preserve">(3), 101406. </w:t>
      </w:r>
      <w:hyperlink r:id="rId20" w:tgtFrame="_new" w:history="1">
        <w:r w:rsidRPr="00365DDF">
          <w:rPr>
            <w:rStyle w:val="Hipervnculo"/>
            <w:szCs w:val="24"/>
            <w:lang w:val="en-GB"/>
          </w:rPr>
          <w:t>https://doi.org/10.1016/j.giq.2020.101406</w:t>
        </w:r>
      </w:hyperlink>
    </w:p>
    <w:p w14:paraId="062063D6" w14:textId="77777777" w:rsidR="00365DDF" w:rsidRPr="00365DDF" w:rsidRDefault="00365DDF" w:rsidP="00365DDF">
      <w:pPr>
        <w:rPr>
          <w:szCs w:val="24"/>
          <w:lang w:val="en-GB"/>
        </w:rPr>
      </w:pPr>
      <w:r w:rsidRPr="00365DDF">
        <w:rPr>
          <w:szCs w:val="24"/>
          <w:lang w:val="en-GB"/>
        </w:rPr>
        <w:t xml:space="preserve">Kumar, R., Patil, A., Sharma, A., and Kapoor, R. (2023). </w:t>
      </w:r>
      <w:proofErr w:type="spellStart"/>
      <w:r w:rsidRPr="00365DDF">
        <w:rPr>
          <w:szCs w:val="24"/>
          <w:lang w:val="en-GB"/>
        </w:rPr>
        <w:t>Modeling</w:t>
      </w:r>
      <w:proofErr w:type="spellEnd"/>
      <w:r w:rsidRPr="00365DDF">
        <w:rPr>
          <w:szCs w:val="24"/>
          <w:lang w:val="en-GB"/>
        </w:rPr>
        <w:t xml:space="preserve"> environmentally conscious purchase </w:t>
      </w:r>
      <w:proofErr w:type="spellStart"/>
      <w:r w:rsidRPr="00365DDF">
        <w:rPr>
          <w:szCs w:val="24"/>
          <w:lang w:val="en-GB"/>
        </w:rPr>
        <w:t>behavior</w:t>
      </w:r>
      <w:proofErr w:type="spellEnd"/>
      <w:r w:rsidRPr="00365DDF">
        <w:rPr>
          <w:szCs w:val="24"/>
          <w:lang w:val="en-GB"/>
        </w:rPr>
        <w:t xml:space="preserve">: Examining the role of ethical obligation and green self-identity. </w:t>
      </w:r>
      <w:r w:rsidRPr="00365DDF">
        <w:rPr>
          <w:i/>
          <w:iCs/>
          <w:szCs w:val="24"/>
          <w:lang w:val="en-GB"/>
        </w:rPr>
        <w:t>Sustainability, 15</w:t>
      </w:r>
      <w:r w:rsidRPr="00365DDF">
        <w:rPr>
          <w:szCs w:val="24"/>
          <w:lang w:val="en-GB"/>
        </w:rPr>
        <w:t xml:space="preserve">(8), 6426. </w:t>
      </w:r>
      <w:hyperlink r:id="rId21" w:tgtFrame="_new" w:history="1">
        <w:r w:rsidRPr="00365DDF">
          <w:rPr>
            <w:rStyle w:val="Hipervnculo"/>
            <w:szCs w:val="24"/>
            <w:lang w:val="en-GB"/>
          </w:rPr>
          <w:t>https://doi.org/10.3390/su15086426</w:t>
        </w:r>
      </w:hyperlink>
    </w:p>
    <w:p w14:paraId="23A2BE2B" w14:textId="77777777" w:rsidR="00365DDF" w:rsidRPr="00365DDF" w:rsidRDefault="00365DDF" w:rsidP="00365DDF">
      <w:pPr>
        <w:rPr>
          <w:szCs w:val="24"/>
          <w:lang w:val="es-ES"/>
        </w:rPr>
      </w:pPr>
      <w:r w:rsidRPr="00365DDF">
        <w:rPr>
          <w:szCs w:val="24"/>
          <w:lang w:val="en-GB"/>
        </w:rPr>
        <w:t xml:space="preserve">Loewenstein, G., and Chater, N. (2017). Putting nudges in perspective. </w:t>
      </w:r>
      <w:r w:rsidRPr="00365DDF">
        <w:rPr>
          <w:i/>
          <w:iCs/>
          <w:szCs w:val="24"/>
          <w:lang w:val="en-GB"/>
        </w:rPr>
        <w:t>Behavioural Public Policy, 1</w:t>
      </w:r>
      <w:r w:rsidRPr="00365DDF">
        <w:rPr>
          <w:szCs w:val="24"/>
          <w:lang w:val="en-GB"/>
        </w:rPr>
        <w:t xml:space="preserve">(1), 26–53. </w:t>
      </w:r>
      <w:hyperlink r:id="rId22" w:tgtFrame="_new" w:history="1">
        <w:r w:rsidRPr="00365DDF">
          <w:rPr>
            <w:rStyle w:val="Hipervnculo"/>
            <w:szCs w:val="24"/>
            <w:lang w:val="es-ES"/>
          </w:rPr>
          <w:t>https://doi.org/10.1017/bpp.2016.7</w:t>
        </w:r>
      </w:hyperlink>
    </w:p>
    <w:p w14:paraId="35663EA7" w14:textId="77777777" w:rsidR="00365DDF" w:rsidRPr="00365DDF" w:rsidRDefault="00365DDF" w:rsidP="00365DDF">
      <w:pPr>
        <w:rPr>
          <w:szCs w:val="24"/>
          <w:lang w:val="en-GB"/>
        </w:rPr>
      </w:pPr>
      <w:r w:rsidRPr="00365DDF">
        <w:rPr>
          <w:szCs w:val="24"/>
          <w:lang w:val="es-ES"/>
        </w:rPr>
        <w:t xml:space="preserve">Mena-García, A., Martínez, P., and Rodríguez, C. (2022). </w:t>
      </w:r>
      <w:r w:rsidRPr="00365DDF">
        <w:rPr>
          <w:szCs w:val="24"/>
          <w:lang w:val="en-GB"/>
        </w:rPr>
        <w:t xml:space="preserve">Speaking of nature: Relationships between how people think about nature and their connection with nature and conservation </w:t>
      </w:r>
      <w:proofErr w:type="spellStart"/>
      <w:r w:rsidRPr="00365DDF">
        <w:rPr>
          <w:szCs w:val="24"/>
          <w:lang w:val="en-GB"/>
        </w:rPr>
        <w:t>behaviors</w:t>
      </w:r>
      <w:proofErr w:type="spellEnd"/>
      <w:r w:rsidRPr="00365DDF">
        <w:rPr>
          <w:szCs w:val="24"/>
          <w:lang w:val="en-GB"/>
        </w:rPr>
        <w:t xml:space="preserve">. </w:t>
      </w:r>
      <w:r w:rsidRPr="00365DDF">
        <w:rPr>
          <w:i/>
          <w:iCs/>
          <w:szCs w:val="24"/>
          <w:lang w:val="en-GB"/>
        </w:rPr>
        <w:t>Ecology and Society, 27</w:t>
      </w:r>
      <w:r w:rsidRPr="00365DDF">
        <w:rPr>
          <w:szCs w:val="24"/>
          <w:lang w:val="en-GB"/>
        </w:rPr>
        <w:t xml:space="preserve">(3), Article 17. </w:t>
      </w:r>
      <w:hyperlink r:id="rId23" w:tgtFrame="_new" w:history="1">
        <w:r w:rsidRPr="00365DDF">
          <w:rPr>
            <w:rStyle w:val="Hipervnculo"/>
            <w:szCs w:val="24"/>
            <w:lang w:val="en-GB"/>
          </w:rPr>
          <w:t>https://ecologyandsociety.org/vol27/iss3/art17/</w:t>
        </w:r>
      </w:hyperlink>
    </w:p>
    <w:p w14:paraId="2E7E6E00" w14:textId="77777777" w:rsidR="00365DDF" w:rsidRPr="00365DDF" w:rsidRDefault="00365DDF" w:rsidP="00365DDF">
      <w:pPr>
        <w:rPr>
          <w:szCs w:val="24"/>
          <w:lang w:val="en-GB"/>
        </w:rPr>
      </w:pPr>
      <w:proofErr w:type="gramStart"/>
      <w:r w:rsidRPr="00365DDF">
        <w:rPr>
          <w:szCs w:val="24"/>
          <w:lang w:val="en-GB"/>
        </w:rPr>
        <w:t>Or,</w:t>
      </w:r>
      <w:proofErr w:type="gramEnd"/>
      <w:r w:rsidRPr="00365DDF">
        <w:rPr>
          <w:szCs w:val="24"/>
          <w:lang w:val="en-GB"/>
        </w:rPr>
        <w:t xml:space="preserve"> C. (2023). Thirty-five years of the Technology Acceptance Model: Insights from meta-analytic structural equation modelling. </w:t>
      </w:r>
      <w:r w:rsidRPr="00365DDF">
        <w:rPr>
          <w:i/>
          <w:iCs/>
          <w:szCs w:val="24"/>
          <w:lang w:val="en-GB"/>
        </w:rPr>
        <w:t>OTESSA Journal, 4</w:t>
      </w:r>
      <w:r w:rsidRPr="00365DDF">
        <w:rPr>
          <w:szCs w:val="24"/>
          <w:lang w:val="en-GB"/>
        </w:rPr>
        <w:t xml:space="preserve">(3), Article 66. </w:t>
      </w:r>
      <w:hyperlink r:id="rId24" w:tgtFrame="_new" w:history="1">
        <w:r w:rsidRPr="00365DDF">
          <w:rPr>
            <w:rStyle w:val="Hipervnculo"/>
            <w:szCs w:val="24"/>
            <w:lang w:val="en-GB"/>
          </w:rPr>
          <w:t>https://doi.org/10.18357/otessaj.2024.4.3.66</w:t>
        </w:r>
      </w:hyperlink>
    </w:p>
    <w:p w14:paraId="434ECDF7" w14:textId="77777777" w:rsidR="00365DDF" w:rsidRPr="00365DDF" w:rsidRDefault="00365DDF" w:rsidP="00365DDF">
      <w:pPr>
        <w:rPr>
          <w:szCs w:val="24"/>
          <w:lang w:val="en-GB"/>
        </w:rPr>
      </w:pPr>
      <w:r w:rsidRPr="00365DDF">
        <w:rPr>
          <w:szCs w:val="24"/>
          <w:lang w:val="en-GB"/>
        </w:rPr>
        <w:t xml:space="preserve">Ozgur, C. (2024). The Analytic Hierarchy Process method to design applicable decision making for the effective removal of 2-MIB and geosmin in water sources. </w:t>
      </w:r>
      <w:r w:rsidRPr="00365DDF">
        <w:rPr>
          <w:i/>
          <w:iCs/>
          <w:szCs w:val="24"/>
          <w:lang w:val="en-GB"/>
        </w:rPr>
        <w:t>Environmental Science and Pollution Research, 31</w:t>
      </w:r>
      <w:r w:rsidRPr="00365DDF">
        <w:rPr>
          <w:szCs w:val="24"/>
          <w:lang w:val="en-GB"/>
        </w:rPr>
        <w:t xml:space="preserve">, 12431–12445. </w:t>
      </w:r>
      <w:hyperlink r:id="rId25" w:tgtFrame="_new" w:history="1">
        <w:r w:rsidRPr="00365DDF">
          <w:rPr>
            <w:rStyle w:val="Hipervnculo"/>
            <w:szCs w:val="24"/>
            <w:lang w:val="en-GB"/>
          </w:rPr>
          <w:t>https://doi.org/10.1007/s11356-024-31848-7</w:t>
        </w:r>
      </w:hyperlink>
    </w:p>
    <w:p w14:paraId="41406003" w14:textId="77777777" w:rsidR="00365DDF" w:rsidRPr="00365DDF" w:rsidRDefault="00365DDF" w:rsidP="00365DDF">
      <w:pPr>
        <w:rPr>
          <w:szCs w:val="24"/>
          <w:lang w:val="en-GB"/>
        </w:rPr>
      </w:pPr>
      <w:r w:rsidRPr="00365DDF">
        <w:rPr>
          <w:szCs w:val="24"/>
          <w:lang w:val="en-GB"/>
        </w:rPr>
        <w:t xml:space="preserve">Pushpa, A., </w:t>
      </w:r>
      <w:proofErr w:type="spellStart"/>
      <w:r w:rsidRPr="00365DDF">
        <w:rPr>
          <w:szCs w:val="24"/>
          <w:lang w:val="en-GB"/>
        </w:rPr>
        <w:t>Nagadeepa</w:t>
      </w:r>
      <w:proofErr w:type="spellEnd"/>
      <w:r w:rsidRPr="00365DDF">
        <w:rPr>
          <w:szCs w:val="24"/>
          <w:lang w:val="en-GB"/>
        </w:rPr>
        <w:t xml:space="preserve">, C., Mukthar, K. P. J., Huaranga-Toledo, H., Nivin-Vargas, L., and Guerra-Muñoz, M. (2023). User’s continuance intention towards digital payments: An integrated tripod model DOI, TAM, TCT. In </w:t>
      </w:r>
      <w:r w:rsidRPr="00365DDF">
        <w:rPr>
          <w:i/>
          <w:iCs/>
          <w:szCs w:val="24"/>
          <w:lang w:val="en-GB"/>
        </w:rPr>
        <w:t>Digitalisation: Opportunities and challenges for business</w:t>
      </w:r>
      <w:r w:rsidRPr="00365DDF">
        <w:rPr>
          <w:szCs w:val="24"/>
          <w:lang w:val="en-GB"/>
        </w:rPr>
        <w:t xml:space="preserve"> (pp. 708–717). Springer. </w:t>
      </w:r>
      <w:hyperlink r:id="rId26" w:tgtFrame="_new" w:history="1">
        <w:r w:rsidRPr="00365DDF">
          <w:rPr>
            <w:rStyle w:val="Hipervnculo"/>
            <w:szCs w:val="24"/>
            <w:lang w:val="en-GB"/>
          </w:rPr>
          <w:t>https://doi.org/10.1007/978-3-031-26953-0_65</w:t>
        </w:r>
      </w:hyperlink>
    </w:p>
    <w:p w14:paraId="5DB0206A" w14:textId="77777777" w:rsidR="00365DDF" w:rsidRPr="00365DDF" w:rsidRDefault="00365DDF" w:rsidP="00365DDF">
      <w:pPr>
        <w:rPr>
          <w:szCs w:val="24"/>
          <w:lang w:val="en-GB"/>
        </w:rPr>
      </w:pPr>
      <w:r w:rsidRPr="00365DDF">
        <w:rPr>
          <w:szCs w:val="24"/>
          <w:lang w:val="en-GB"/>
        </w:rPr>
        <w:t xml:space="preserve">Rosli, M. S., Abdullah, R., Yunus, M. M., Ramli, N. A., Abdul Rahman, A. M., Ishak, N. M., et al. (2022). A systematic review of the Technology Acceptance Model for the sustainability of higher </w:t>
      </w:r>
      <w:r w:rsidRPr="00365DDF">
        <w:rPr>
          <w:szCs w:val="24"/>
          <w:lang w:val="en-GB"/>
        </w:rPr>
        <w:lastRenderedPageBreak/>
        <w:t xml:space="preserve">education during the COVID-19 pandemic and identified research gaps. </w:t>
      </w:r>
      <w:r w:rsidRPr="00365DDF">
        <w:rPr>
          <w:i/>
          <w:iCs/>
          <w:szCs w:val="24"/>
          <w:lang w:val="en-GB"/>
        </w:rPr>
        <w:t>Sustainability, 14</w:t>
      </w:r>
      <w:r w:rsidRPr="00365DDF">
        <w:rPr>
          <w:szCs w:val="24"/>
          <w:lang w:val="en-GB"/>
        </w:rPr>
        <w:t xml:space="preserve">(18), 11389. </w:t>
      </w:r>
      <w:hyperlink r:id="rId27" w:tgtFrame="_new" w:history="1">
        <w:r w:rsidRPr="00365DDF">
          <w:rPr>
            <w:rStyle w:val="Hipervnculo"/>
            <w:szCs w:val="24"/>
            <w:lang w:val="en-GB"/>
          </w:rPr>
          <w:t>https://doi.org/10.3390/su141811389</w:t>
        </w:r>
      </w:hyperlink>
    </w:p>
    <w:p w14:paraId="48D86DBB" w14:textId="77777777" w:rsidR="00365DDF" w:rsidRPr="00365DDF" w:rsidRDefault="00365DDF" w:rsidP="00365DDF">
      <w:pPr>
        <w:rPr>
          <w:szCs w:val="24"/>
          <w:lang w:val="en-GB"/>
        </w:rPr>
      </w:pPr>
      <w:proofErr w:type="spellStart"/>
      <w:r w:rsidRPr="00365DDF">
        <w:rPr>
          <w:szCs w:val="24"/>
          <w:lang w:val="en-GB"/>
        </w:rPr>
        <w:t>Ruijer</w:t>
      </w:r>
      <w:proofErr w:type="spellEnd"/>
      <w:r w:rsidRPr="00365DDF">
        <w:rPr>
          <w:szCs w:val="24"/>
          <w:lang w:val="en-GB"/>
        </w:rPr>
        <w:t xml:space="preserve">, E., and Meijer, A. (2020). Transparency and trust: An experimental study of online government communication. </w:t>
      </w:r>
      <w:r w:rsidRPr="00365DDF">
        <w:rPr>
          <w:i/>
          <w:iCs/>
          <w:szCs w:val="24"/>
          <w:lang w:val="en-GB"/>
        </w:rPr>
        <w:t>Government Information Quarterly, 37</w:t>
      </w:r>
      <w:r w:rsidRPr="00365DDF">
        <w:rPr>
          <w:szCs w:val="24"/>
          <w:lang w:val="en-GB"/>
        </w:rPr>
        <w:t xml:space="preserve">(3), 101490. </w:t>
      </w:r>
      <w:hyperlink r:id="rId28" w:tgtFrame="_new" w:history="1">
        <w:r w:rsidRPr="00365DDF">
          <w:rPr>
            <w:rStyle w:val="Hipervnculo"/>
            <w:szCs w:val="24"/>
            <w:lang w:val="en-GB"/>
          </w:rPr>
          <w:t>https://doi.org/10.1016/j.giq.2020.101490</w:t>
        </w:r>
      </w:hyperlink>
    </w:p>
    <w:p w14:paraId="31F67600" w14:textId="77777777" w:rsidR="00365DDF" w:rsidRPr="00365DDF" w:rsidRDefault="00365DDF" w:rsidP="00365DDF">
      <w:pPr>
        <w:rPr>
          <w:szCs w:val="24"/>
          <w:lang w:val="en-GB"/>
        </w:rPr>
      </w:pPr>
      <w:r w:rsidRPr="00365DDF">
        <w:rPr>
          <w:szCs w:val="24"/>
          <w:lang w:val="en-GB"/>
        </w:rPr>
        <w:t xml:space="preserve">Shin, D. H., and Lee, H. J. (2023). Toward understanding the determinants of smart city services adoption: Extended TAM approach. </w:t>
      </w:r>
      <w:r w:rsidRPr="00365DDF">
        <w:rPr>
          <w:i/>
          <w:iCs/>
          <w:szCs w:val="24"/>
          <w:lang w:val="en-GB"/>
        </w:rPr>
        <w:t>Sustainable Cities and Society, 92</w:t>
      </w:r>
      <w:r w:rsidRPr="00365DDF">
        <w:rPr>
          <w:szCs w:val="24"/>
          <w:lang w:val="en-GB"/>
        </w:rPr>
        <w:t xml:space="preserve">, 104457. </w:t>
      </w:r>
      <w:hyperlink r:id="rId29" w:tgtFrame="_new" w:history="1">
        <w:r w:rsidRPr="00365DDF">
          <w:rPr>
            <w:rStyle w:val="Hipervnculo"/>
            <w:szCs w:val="24"/>
            <w:lang w:val="en-GB"/>
          </w:rPr>
          <w:t>https://doi.org/10.1016/j.scs.2023.104457</w:t>
        </w:r>
      </w:hyperlink>
    </w:p>
    <w:p w14:paraId="5719BA63" w14:textId="77777777" w:rsidR="00365DDF" w:rsidRPr="00365DDF" w:rsidRDefault="00365DDF" w:rsidP="00365DDF">
      <w:pPr>
        <w:rPr>
          <w:szCs w:val="24"/>
          <w:lang w:val="en-GB"/>
        </w:rPr>
      </w:pPr>
      <w:r w:rsidRPr="00365DDF">
        <w:rPr>
          <w:szCs w:val="24"/>
          <w:lang w:val="en-GB"/>
        </w:rPr>
        <w:t xml:space="preserve">Siegrist, M., and Zingg, A. (2014). The role of public trust during pandemics: Implications for crisis communication. </w:t>
      </w:r>
      <w:r w:rsidRPr="00365DDF">
        <w:rPr>
          <w:i/>
          <w:iCs/>
          <w:szCs w:val="24"/>
          <w:lang w:val="en-GB"/>
        </w:rPr>
        <w:t>European Psychologist, 19</w:t>
      </w:r>
      <w:r w:rsidRPr="00365DDF">
        <w:rPr>
          <w:szCs w:val="24"/>
          <w:lang w:val="en-GB"/>
        </w:rPr>
        <w:t xml:space="preserve">(1), 23–32. </w:t>
      </w:r>
      <w:hyperlink r:id="rId30" w:tgtFrame="_new" w:history="1">
        <w:r w:rsidRPr="00365DDF">
          <w:rPr>
            <w:rStyle w:val="Hipervnculo"/>
            <w:szCs w:val="24"/>
            <w:lang w:val="en-GB"/>
          </w:rPr>
          <w:t>https://doi.org/10.1027/1016-9040/a000169</w:t>
        </w:r>
      </w:hyperlink>
    </w:p>
    <w:p w14:paraId="11104062" w14:textId="77777777" w:rsidR="00365DDF" w:rsidRPr="00365DDF" w:rsidRDefault="00365DDF" w:rsidP="00365DDF">
      <w:pPr>
        <w:rPr>
          <w:szCs w:val="24"/>
          <w:lang w:val="en-GB"/>
        </w:rPr>
      </w:pPr>
      <w:proofErr w:type="spellStart"/>
      <w:r w:rsidRPr="00BE3E44">
        <w:rPr>
          <w:szCs w:val="24"/>
          <w:lang w:val="es-ES"/>
        </w:rPr>
        <w:t>Sohu</w:t>
      </w:r>
      <w:proofErr w:type="spellEnd"/>
      <w:r w:rsidRPr="00BE3E44">
        <w:rPr>
          <w:szCs w:val="24"/>
          <w:lang w:val="es-ES"/>
        </w:rPr>
        <w:t xml:space="preserve">, J. M., Asad, M., </w:t>
      </w:r>
      <w:proofErr w:type="spellStart"/>
      <w:r w:rsidRPr="00BE3E44">
        <w:rPr>
          <w:szCs w:val="24"/>
          <w:lang w:val="es-ES"/>
        </w:rPr>
        <w:t>Sahito</w:t>
      </w:r>
      <w:proofErr w:type="spellEnd"/>
      <w:r w:rsidRPr="00BE3E44">
        <w:rPr>
          <w:szCs w:val="24"/>
          <w:lang w:val="es-ES"/>
        </w:rPr>
        <w:t xml:space="preserve">, N., </w:t>
      </w:r>
      <w:proofErr w:type="spellStart"/>
      <w:r w:rsidRPr="00BE3E44">
        <w:rPr>
          <w:szCs w:val="24"/>
          <w:lang w:val="es-ES"/>
        </w:rPr>
        <w:t>Khaskheli</w:t>
      </w:r>
      <w:proofErr w:type="spellEnd"/>
      <w:r w:rsidRPr="00BE3E44">
        <w:rPr>
          <w:szCs w:val="24"/>
          <w:lang w:val="es-ES"/>
        </w:rPr>
        <w:t xml:space="preserve">, A., </w:t>
      </w:r>
      <w:proofErr w:type="spellStart"/>
      <w:r w:rsidRPr="00BE3E44">
        <w:rPr>
          <w:szCs w:val="24"/>
          <w:lang w:val="es-ES"/>
        </w:rPr>
        <w:t>Qureshi</w:t>
      </w:r>
      <w:proofErr w:type="spellEnd"/>
      <w:r w:rsidRPr="00BE3E44">
        <w:rPr>
          <w:szCs w:val="24"/>
          <w:lang w:val="es-ES"/>
        </w:rPr>
        <w:t xml:space="preserve">, A., Raza, S. H., et al. </w:t>
      </w:r>
      <w:r w:rsidRPr="00365DDF">
        <w:rPr>
          <w:szCs w:val="24"/>
          <w:lang w:val="en-GB"/>
        </w:rPr>
        <w:t xml:space="preserve">(2023). The role of environmental knowledge, policies and regulations toward water resource management: A </w:t>
      </w:r>
      <w:proofErr w:type="gramStart"/>
      <w:r w:rsidRPr="00365DDF">
        <w:rPr>
          <w:szCs w:val="24"/>
          <w:lang w:val="en-GB"/>
        </w:rPr>
        <w:t>mediated-moderation</w:t>
      </w:r>
      <w:proofErr w:type="gramEnd"/>
      <w:r w:rsidRPr="00365DDF">
        <w:rPr>
          <w:szCs w:val="24"/>
          <w:lang w:val="en-GB"/>
        </w:rPr>
        <w:t xml:space="preserve"> of attitudes, perception and sustainable consumption patterns. </w:t>
      </w:r>
      <w:r w:rsidRPr="00365DDF">
        <w:rPr>
          <w:i/>
          <w:iCs/>
          <w:szCs w:val="24"/>
          <w:lang w:val="en-GB"/>
        </w:rPr>
        <w:t>Sustainable Development, 31</w:t>
      </w:r>
      <w:r w:rsidRPr="00365DDF">
        <w:rPr>
          <w:szCs w:val="24"/>
          <w:lang w:val="en-GB"/>
        </w:rPr>
        <w:t xml:space="preserve">(6), 2345–2361. </w:t>
      </w:r>
      <w:hyperlink r:id="rId31" w:tgtFrame="_new" w:history="1">
        <w:r w:rsidRPr="00365DDF">
          <w:rPr>
            <w:rStyle w:val="Hipervnculo"/>
            <w:szCs w:val="24"/>
            <w:lang w:val="en-GB"/>
          </w:rPr>
          <w:t>https://doi.org/10.1002/sd.2991</w:t>
        </w:r>
      </w:hyperlink>
    </w:p>
    <w:p w14:paraId="3782AFF7" w14:textId="77777777" w:rsidR="00365DDF" w:rsidRPr="00365DDF" w:rsidRDefault="00365DDF" w:rsidP="00365DDF">
      <w:pPr>
        <w:rPr>
          <w:szCs w:val="24"/>
          <w:lang w:val="en-GB"/>
        </w:rPr>
      </w:pPr>
      <w:r w:rsidRPr="00365DDF">
        <w:rPr>
          <w:szCs w:val="24"/>
          <w:lang w:val="en-GB"/>
        </w:rPr>
        <w:t xml:space="preserve">Tavana, M., </w:t>
      </w:r>
      <w:proofErr w:type="spellStart"/>
      <w:r w:rsidRPr="00365DDF">
        <w:rPr>
          <w:szCs w:val="24"/>
          <w:lang w:val="en-GB"/>
        </w:rPr>
        <w:t>Soltanifar</w:t>
      </w:r>
      <w:proofErr w:type="spellEnd"/>
      <w:r w:rsidRPr="00365DDF">
        <w:rPr>
          <w:szCs w:val="24"/>
          <w:lang w:val="en-GB"/>
        </w:rPr>
        <w:t xml:space="preserve">, M., and Santos-Arteaga, F. J. (2023). Analytical Hierarchy Process: Revolution and evolution. </w:t>
      </w:r>
      <w:r w:rsidRPr="00365DDF">
        <w:rPr>
          <w:i/>
          <w:iCs/>
          <w:szCs w:val="24"/>
          <w:lang w:val="en-GB"/>
        </w:rPr>
        <w:t>Annals of Operations Research, 326</w:t>
      </w:r>
      <w:r w:rsidRPr="00365DDF">
        <w:rPr>
          <w:szCs w:val="24"/>
          <w:lang w:val="en-GB"/>
        </w:rPr>
        <w:t xml:space="preserve">, 879–907. </w:t>
      </w:r>
      <w:hyperlink r:id="rId32" w:tgtFrame="_new" w:history="1">
        <w:r w:rsidRPr="00365DDF">
          <w:rPr>
            <w:rStyle w:val="Hipervnculo"/>
            <w:szCs w:val="24"/>
            <w:lang w:val="en-GB"/>
          </w:rPr>
          <w:t>https://doi.org/10.1007/s10479-021-04432-2</w:t>
        </w:r>
      </w:hyperlink>
    </w:p>
    <w:p w14:paraId="2BA571B2" w14:textId="77777777" w:rsidR="00365DDF" w:rsidRPr="00365DDF" w:rsidRDefault="00365DDF" w:rsidP="00365DDF">
      <w:pPr>
        <w:rPr>
          <w:szCs w:val="24"/>
          <w:lang w:val="en-GB"/>
        </w:rPr>
      </w:pPr>
      <w:proofErr w:type="spellStart"/>
      <w:r w:rsidRPr="00365DDF">
        <w:rPr>
          <w:szCs w:val="24"/>
          <w:lang w:val="en-GB"/>
        </w:rPr>
        <w:t>Tranfield</w:t>
      </w:r>
      <w:proofErr w:type="spellEnd"/>
      <w:r w:rsidRPr="00365DDF">
        <w:rPr>
          <w:szCs w:val="24"/>
          <w:lang w:val="en-GB"/>
        </w:rPr>
        <w:t xml:space="preserve">, D., Denyer, D., and Smart, P. (2003). Towards a methodology for developing evidence-informed management knowledge by means of systematic review. </w:t>
      </w:r>
      <w:r w:rsidRPr="00365DDF">
        <w:rPr>
          <w:i/>
          <w:iCs/>
          <w:szCs w:val="24"/>
          <w:lang w:val="en-GB"/>
        </w:rPr>
        <w:t>British Journal of Management, 14</w:t>
      </w:r>
      <w:r w:rsidRPr="00365DDF">
        <w:rPr>
          <w:szCs w:val="24"/>
          <w:lang w:val="en-GB"/>
        </w:rPr>
        <w:t xml:space="preserve">(3), 207–222. </w:t>
      </w:r>
      <w:hyperlink r:id="rId33" w:tgtFrame="_new" w:history="1">
        <w:r w:rsidRPr="00365DDF">
          <w:rPr>
            <w:rStyle w:val="Hipervnculo"/>
            <w:szCs w:val="24"/>
            <w:lang w:val="en-GB"/>
          </w:rPr>
          <w:t>https://doi.org/10.1111/1467-8551.00375</w:t>
        </w:r>
      </w:hyperlink>
    </w:p>
    <w:p w14:paraId="050780C6" w14:textId="77777777" w:rsidR="00365DDF" w:rsidRPr="00365DDF" w:rsidRDefault="00365DDF" w:rsidP="00365DDF">
      <w:pPr>
        <w:rPr>
          <w:szCs w:val="24"/>
          <w:lang w:val="en-GB"/>
        </w:rPr>
      </w:pPr>
      <w:r w:rsidRPr="00365DDF">
        <w:rPr>
          <w:szCs w:val="24"/>
          <w:lang w:val="en-GB"/>
        </w:rPr>
        <w:t xml:space="preserve">United Nations (UN). (2024). </w:t>
      </w:r>
      <w:r w:rsidRPr="00365DDF">
        <w:rPr>
          <w:i/>
          <w:iCs/>
          <w:szCs w:val="24"/>
          <w:lang w:val="en-GB"/>
        </w:rPr>
        <w:t>The Sustainable Development Goals Report 2024.</w:t>
      </w:r>
      <w:r w:rsidRPr="00365DDF">
        <w:rPr>
          <w:szCs w:val="24"/>
          <w:lang w:val="en-GB"/>
        </w:rPr>
        <w:t xml:space="preserve"> United Nations Department of Economic and Social Affairs. </w:t>
      </w:r>
      <w:hyperlink r:id="rId34" w:tgtFrame="_new" w:history="1">
        <w:r w:rsidRPr="00365DDF">
          <w:rPr>
            <w:rStyle w:val="Hipervnculo"/>
            <w:szCs w:val="24"/>
            <w:lang w:val="en-GB"/>
          </w:rPr>
          <w:t>https://doi.org/10.18356/9789213589755</w:t>
        </w:r>
      </w:hyperlink>
    </w:p>
    <w:p w14:paraId="0BE3EDDF" w14:textId="77777777" w:rsidR="00365DDF" w:rsidRPr="00365DDF" w:rsidRDefault="00365DDF" w:rsidP="00365DDF">
      <w:pPr>
        <w:rPr>
          <w:szCs w:val="24"/>
          <w:lang w:val="en-GB"/>
        </w:rPr>
      </w:pPr>
      <w:r w:rsidRPr="00365DDF">
        <w:rPr>
          <w:szCs w:val="24"/>
          <w:lang w:val="en-GB"/>
        </w:rPr>
        <w:t xml:space="preserve">Van Eck, N. J., and Waltman, L. (2010). Software survey: </w:t>
      </w:r>
      <w:proofErr w:type="spellStart"/>
      <w:r w:rsidRPr="00365DDF">
        <w:rPr>
          <w:szCs w:val="24"/>
          <w:lang w:val="en-GB"/>
        </w:rPr>
        <w:t>VOSviewer</w:t>
      </w:r>
      <w:proofErr w:type="spellEnd"/>
      <w:r w:rsidRPr="00365DDF">
        <w:rPr>
          <w:szCs w:val="24"/>
          <w:lang w:val="en-GB"/>
        </w:rPr>
        <w:t xml:space="preserve">, a computer program for bibliometric mapping. </w:t>
      </w:r>
      <w:proofErr w:type="spellStart"/>
      <w:r w:rsidRPr="00365DDF">
        <w:rPr>
          <w:i/>
          <w:iCs/>
          <w:szCs w:val="24"/>
          <w:lang w:val="en-GB"/>
        </w:rPr>
        <w:t>Scientometrics</w:t>
      </w:r>
      <w:proofErr w:type="spellEnd"/>
      <w:r w:rsidRPr="00365DDF">
        <w:rPr>
          <w:i/>
          <w:iCs/>
          <w:szCs w:val="24"/>
          <w:lang w:val="en-GB"/>
        </w:rPr>
        <w:t>, 84</w:t>
      </w:r>
      <w:r w:rsidRPr="00365DDF">
        <w:rPr>
          <w:szCs w:val="24"/>
          <w:lang w:val="en-GB"/>
        </w:rPr>
        <w:t xml:space="preserve">(2), 523–538. </w:t>
      </w:r>
      <w:hyperlink r:id="rId35" w:tgtFrame="_new" w:history="1">
        <w:r w:rsidRPr="00365DDF">
          <w:rPr>
            <w:rStyle w:val="Hipervnculo"/>
            <w:szCs w:val="24"/>
            <w:lang w:val="en-GB"/>
          </w:rPr>
          <w:t>https://doi.org/10.1007/s11192-009-0146-3</w:t>
        </w:r>
      </w:hyperlink>
    </w:p>
    <w:p w14:paraId="4229317E" w14:textId="77777777" w:rsidR="00365DDF" w:rsidRPr="00365DDF" w:rsidRDefault="00365DDF" w:rsidP="00365DDF">
      <w:pPr>
        <w:rPr>
          <w:szCs w:val="24"/>
          <w:lang w:val="en-GB"/>
        </w:rPr>
      </w:pPr>
      <w:r w:rsidRPr="00365DDF">
        <w:rPr>
          <w:szCs w:val="24"/>
          <w:lang w:val="en-GB"/>
        </w:rPr>
        <w:t xml:space="preserve">Venkatesh, V., Thong, J. Y. L., and Xu, X. (2016). Unified Theory of Acceptance and Use of Technology: A synthesis and the road ahead. </w:t>
      </w:r>
      <w:r w:rsidRPr="00365DDF">
        <w:rPr>
          <w:i/>
          <w:iCs/>
          <w:szCs w:val="24"/>
          <w:lang w:val="en-GB"/>
        </w:rPr>
        <w:t>Journal of the Association for Information Systems, 17</w:t>
      </w:r>
      <w:r w:rsidRPr="00365DDF">
        <w:rPr>
          <w:szCs w:val="24"/>
          <w:lang w:val="en-GB"/>
        </w:rPr>
        <w:t xml:space="preserve">(5), 328–376. </w:t>
      </w:r>
      <w:hyperlink r:id="rId36" w:tgtFrame="_new" w:history="1">
        <w:r w:rsidRPr="00365DDF">
          <w:rPr>
            <w:rStyle w:val="Hipervnculo"/>
            <w:szCs w:val="24"/>
            <w:lang w:val="en-GB"/>
          </w:rPr>
          <w:t>https://doi.org/10.17705/1jais.00428</w:t>
        </w:r>
      </w:hyperlink>
    </w:p>
    <w:p w14:paraId="415C926E" w14:textId="77777777" w:rsidR="00365DDF" w:rsidRPr="00365DDF" w:rsidRDefault="00365DDF" w:rsidP="00365DDF">
      <w:pPr>
        <w:rPr>
          <w:szCs w:val="24"/>
          <w:lang w:val="en-GB"/>
        </w:rPr>
      </w:pPr>
      <w:r w:rsidRPr="00365DDF">
        <w:rPr>
          <w:szCs w:val="24"/>
          <w:lang w:val="en-GB"/>
        </w:rPr>
        <w:t xml:space="preserve">Wamsler, C., Osberg, G., Janss, J., Kratzer, M., Bernal, M., </w:t>
      </w:r>
      <w:proofErr w:type="spellStart"/>
      <w:r w:rsidRPr="00365DDF">
        <w:rPr>
          <w:szCs w:val="24"/>
          <w:lang w:val="en-GB"/>
        </w:rPr>
        <w:t>Restoy</w:t>
      </w:r>
      <w:proofErr w:type="spellEnd"/>
      <w:r w:rsidRPr="00365DDF">
        <w:rPr>
          <w:szCs w:val="24"/>
          <w:lang w:val="en-GB"/>
        </w:rPr>
        <w:t xml:space="preserve">, V., et al. (2024). Revolutionising sustainability leadership and education: Addressing the human dimension to support flourishing, culture and system transformation. </w:t>
      </w:r>
      <w:r w:rsidRPr="00365DDF">
        <w:rPr>
          <w:i/>
          <w:iCs/>
          <w:szCs w:val="24"/>
          <w:lang w:val="en-GB"/>
        </w:rPr>
        <w:t>Climatic Change, 177</w:t>
      </w:r>
      <w:r w:rsidRPr="00365DDF">
        <w:rPr>
          <w:szCs w:val="24"/>
          <w:lang w:val="en-GB"/>
        </w:rPr>
        <w:t xml:space="preserve">(4). </w:t>
      </w:r>
      <w:hyperlink r:id="rId37" w:tgtFrame="_new" w:history="1">
        <w:r w:rsidRPr="00365DDF">
          <w:rPr>
            <w:rStyle w:val="Hipervnculo"/>
            <w:szCs w:val="24"/>
            <w:lang w:val="en-GB"/>
          </w:rPr>
          <w:t>https://doi.org/10.1007/s10584-023-03636-8</w:t>
        </w:r>
      </w:hyperlink>
    </w:p>
    <w:p w14:paraId="176A4FC5" w14:textId="77777777" w:rsidR="00365DDF" w:rsidRPr="00365DDF" w:rsidRDefault="00365DDF" w:rsidP="00365DDF">
      <w:pPr>
        <w:rPr>
          <w:szCs w:val="24"/>
          <w:lang w:val="en-GB"/>
        </w:rPr>
      </w:pPr>
      <w:r w:rsidRPr="00365DDF">
        <w:rPr>
          <w:szCs w:val="24"/>
          <w:lang w:val="en-GB"/>
        </w:rPr>
        <w:t xml:space="preserve">Wolske, K. S. (2020). Policy design for </w:t>
      </w:r>
      <w:proofErr w:type="spellStart"/>
      <w:r w:rsidRPr="00365DDF">
        <w:rPr>
          <w:szCs w:val="24"/>
          <w:lang w:val="en-GB"/>
        </w:rPr>
        <w:t>behavior</w:t>
      </w:r>
      <w:proofErr w:type="spellEnd"/>
      <w:r w:rsidRPr="00365DDF">
        <w:rPr>
          <w:szCs w:val="24"/>
          <w:lang w:val="en-GB"/>
        </w:rPr>
        <w:t xml:space="preserve"> change: A review of the literature. </w:t>
      </w:r>
      <w:r w:rsidRPr="00365DDF">
        <w:rPr>
          <w:i/>
          <w:iCs/>
          <w:szCs w:val="24"/>
          <w:lang w:val="en-GB"/>
        </w:rPr>
        <w:t>Current Opinion in Psychology, 42</w:t>
      </w:r>
      <w:r w:rsidRPr="00365DDF">
        <w:rPr>
          <w:szCs w:val="24"/>
          <w:lang w:val="en-GB"/>
        </w:rPr>
        <w:t xml:space="preserve">, 42–48. </w:t>
      </w:r>
      <w:hyperlink r:id="rId38" w:tgtFrame="_new" w:history="1">
        <w:r w:rsidRPr="00365DDF">
          <w:rPr>
            <w:rStyle w:val="Hipervnculo"/>
            <w:szCs w:val="24"/>
            <w:lang w:val="en-GB"/>
          </w:rPr>
          <w:t>https://doi.org/10.1016/j.copsyc.2021.04.003</w:t>
        </w:r>
      </w:hyperlink>
    </w:p>
    <w:p w14:paraId="6482E8D1" w14:textId="77777777" w:rsidR="00365DDF" w:rsidRPr="00365DDF" w:rsidRDefault="00365DDF" w:rsidP="00365DDF">
      <w:pPr>
        <w:rPr>
          <w:szCs w:val="24"/>
          <w:lang w:val="en-GB"/>
        </w:rPr>
      </w:pPr>
      <w:r w:rsidRPr="00365DDF">
        <w:rPr>
          <w:szCs w:val="24"/>
          <w:lang w:val="en-GB"/>
        </w:rPr>
        <w:t xml:space="preserve">Zhou, L., and Wu, J. (2023). Identification of the impact of social norms on environmental decision-making. In </w:t>
      </w:r>
      <w:r w:rsidRPr="00365DDF">
        <w:rPr>
          <w:i/>
          <w:iCs/>
          <w:szCs w:val="24"/>
          <w:lang w:val="en-GB"/>
        </w:rPr>
        <w:t>Advances in social simulation</w:t>
      </w:r>
      <w:r w:rsidRPr="00365DDF">
        <w:rPr>
          <w:szCs w:val="24"/>
          <w:lang w:val="en-GB"/>
        </w:rPr>
        <w:t xml:space="preserve"> (pp. 85–98). Springer. </w:t>
      </w:r>
      <w:hyperlink r:id="rId39" w:tgtFrame="_new" w:history="1">
        <w:r w:rsidRPr="00365DDF">
          <w:rPr>
            <w:rStyle w:val="Hipervnculo"/>
            <w:szCs w:val="24"/>
            <w:lang w:val="en-GB"/>
          </w:rPr>
          <w:t>https://doi.org/10.1007/978-3-031-65972-0_6</w:t>
        </w:r>
      </w:hyperlink>
    </w:p>
    <w:p w14:paraId="5F880992" w14:textId="77777777" w:rsidR="00C6324C" w:rsidRPr="00376CC5" w:rsidRDefault="00C6324C" w:rsidP="00A53000">
      <w:pPr>
        <w:pStyle w:val="Ttulo1"/>
      </w:pPr>
      <w:r w:rsidRPr="00376CC5">
        <w:t>Supplementary Material</w:t>
      </w:r>
    </w:p>
    <w:p w14:paraId="12FDF7F4" w14:textId="77777777" w:rsidR="00E00FEC" w:rsidRPr="00E00FEC" w:rsidRDefault="00E00FEC" w:rsidP="00E00FEC">
      <w:pPr>
        <w:rPr>
          <w:lang w:val="en-GB"/>
        </w:rPr>
      </w:pPr>
      <w:r w:rsidRPr="00E00FEC">
        <w:rPr>
          <w:lang w:val="en-GB"/>
        </w:rPr>
        <w:lastRenderedPageBreak/>
        <w:t>The Supplementary Material for this article includes the following components, available as a separate document (</w:t>
      </w:r>
      <w:r w:rsidRPr="00E00FEC">
        <w:rPr>
          <w:i/>
          <w:iCs/>
          <w:lang w:val="en-GB"/>
        </w:rPr>
        <w:t>jcaceres_Supplementary_Material.docx</w:t>
      </w:r>
      <w:r w:rsidRPr="00E00FEC">
        <w:rPr>
          <w:lang w:val="en-GB"/>
        </w:rPr>
        <w:t>) and accompanying image and data files:</w:t>
      </w:r>
    </w:p>
    <w:p w14:paraId="341DFC32" w14:textId="77777777" w:rsidR="00E00FEC" w:rsidRPr="00E00FEC" w:rsidRDefault="00E00FEC" w:rsidP="00E00FEC">
      <w:pPr>
        <w:pStyle w:val="Prrafodelista"/>
        <w:rPr>
          <w:lang w:val="en-GB"/>
        </w:rPr>
      </w:pPr>
      <w:r w:rsidRPr="00E00FEC">
        <w:rPr>
          <w:lang w:val="en-GB"/>
        </w:rPr>
        <w:t>Supplementary Text 1. Scopus search query used for data collection.</w:t>
      </w:r>
      <w:r w:rsidRPr="00E00FEC">
        <w:rPr>
          <w:lang w:val="en-GB"/>
        </w:rPr>
        <w:br/>
        <w:t>The bibliometric dataset (n = 789) was retrieved from Scopus (Elsevier) using the Boolean query detailed in Section 2.2, limited to the subject areas of Social Sciences, Psychology, Environment, Business, Decision Sciences, and Computer Science.</w:t>
      </w:r>
    </w:p>
    <w:p w14:paraId="7D60D89C" w14:textId="77777777" w:rsidR="00E00FEC" w:rsidRPr="00E00FEC" w:rsidRDefault="00E00FEC" w:rsidP="00E00FEC">
      <w:pPr>
        <w:pStyle w:val="Prrafodelista"/>
        <w:rPr>
          <w:lang w:val="en-GB"/>
        </w:rPr>
      </w:pPr>
      <w:r w:rsidRPr="00E00FEC">
        <w:rPr>
          <w:lang w:val="en-GB"/>
        </w:rPr>
        <w:t>Supplementary Dataset S1. scopus_export.csv — raw metadata exported from Scopus for bibliometric and semantic analyses.</w:t>
      </w:r>
    </w:p>
    <w:p w14:paraId="2E3188F9" w14:textId="77777777" w:rsidR="00E00FEC" w:rsidRPr="00E00FEC" w:rsidRDefault="00E00FEC" w:rsidP="00E00FEC">
      <w:pPr>
        <w:pStyle w:val="Prrafodelista"/>
        <w:rPr>
          <w:lang w:val="en-GB"/>
        </w:rPr>
      </w:pPr>
      <w:r w:rsidRPr="00E00FEC">
        <w:rPr>
          <w:lang w:val="en-GB"/>
        </w:rPr>
        <w:t>Supplementary Figures S1–S5 (TIFF, 300 dpi).</w:t>
      </w:r>
    </w:p>
    <w:p w14:paraId="49D370DF" w14:textId="77777777" w:rsidR="00E00FEC" w:rsidRPr="00E00FEC" w:rsidRDefault="00E00FEC" w:rsidP="00E00FEC">
      <w:pPr>
        <w:pStyle w:val="Prrafodelista"/>
        <w:numPr>
          <w:ilvl w:val="1"/>
          <w:numId w:val="14"/>
        </w:numPr>
        <w:rPr>
          <w:lang w:val="en-GB"/>
        </w:rPr>
      </w:pPr>
      <w:r w:rsidRPr="00E00FEC">
        <w:rPr>
          <w:sz w:val="22"/>
          <w:lang w:val="en-GB"/>
        </w:rPr>
        <w:t>Figure S1. Annual distribution of publications (2021–2025).</w:t>
      </w:r>
    </w:p>
    <w:p w14:paraId="7F41414C" w14:textId="77777777" w:rsidR="00E00FEC" w:rsidRPr="00E00FEC" w:rsidRDefault="00E00FEC" w:rsidP="00E00FEC">
      <w:pPr>
        <w:pStyle w:val="Prrafodelista"/>
        <w:numPr>
          <w:ilvl w:val="1"/>
          <w:numId w:val="14"/>
        </w:numPr>
        <w:rPr>
          <w:lang w:val="en-GB"/>
        </w:rPr>
      </w:pPr>
      <w:r w:rsidRPr="00E00FEC">
        <w:rPr>
          <w:sz w:val="22"/>
          <w:lang w:val="en-GB"/>
        </w:rPr>
        <w:t>Figure S2. Top academic journals publishing on technology acceptance and sustainability.</w:t>
      </w:r>
    </w:p>
    <w:p w14:paraId="5BB476CA" w14:textId="77777777" w:rsidR="00E00FEC" w:rsidRPr="00E00FEC" w:rsidRDefault="00E00FEC" w:rsidP="00E00FEC">
      <w:pPr>
        <w:pStyle w:val="Prrafodelista"/>
        <w:numPr>
          <w:ilvl w:val="1"/>
          <w:numId w:val="14"/>
        </w:numPr>
        <w:rPr>
          <w:lang w:val="en-GB"/>
        </w:rPr>
      </w:pPr>
      <w:r w:rsidRPr="00E00FEC">
        <w:rPr>
          <w:sz w:val="22"/>
          <w:lang w:val="en-GB"/>
        </w:rPr>
        <w:t>Figure S3. Frequency of author-supplied keywords.</w:t>
      </w:r>
    </w:p>
    <w:p w14:paraId="4794C06D" w14:textId="77777777" w:rsidR="00E00FEC" w:rsidRPr="00E00FEC" w:rsidRDefault="00E00FEC" w:rsidP="00E00FEC">
      <w:pPr>
        <w:pStyle w:val="Prrafodelista"/>
        <w:numPr>
          <w:ilvl w:val="1"/>
          <w:numId w:val="14"/>
        </w:numPr>
        <w:rPr>
          <w:lang w:val="en-GB"/>
        </w:rPr>
      </w:pPr>
      <w:r w:rsidRPr="00E00FEC">
        <w:rPr>
          <w:sz w:val="22"/>
          <w:lang w:val="en-GB"/>
        </w:rPr>
        <w:t>Figure S4. Distribution of publications by country (author affiliations).</w:t>
      </w:r>
    </w:p>
    <w:p w14:paraId="398E6755" w14:textId="458983DE" w:rsidR="00E00FEC" w:rsidRPr="00E00FEC" w:rsidRDefault="00E00FEC" w:rsidP="00E00FEC">
      <w:pPr>
        <w:pStyle w:val="Prrafodelista"/>
        <w:numPr>
          <w:ilvl w:val="1"/>
          <w:numId w:val="14"/>
        </w:numPr>
        <w:rPr>
          <w:lang w:val="en-GB"/>
        </w:rPr>
      </w:pPr>
      <w:r w:rsidRPr="00E00FEC">
        <w:rPr>
          <w:sz w:val="22"/>
          <w:lang w:val="en-GB"/>
        </w:rPr>
        <w:t>Figure S5. Citation distribution of the 789 analysed articles.</w:t>
      </w:r>
    </w:p>
    <w:p w14:paraId="271EF428" w14:textId="77777777" w:rsidR="00E00FEC" w:rsidRPr="00E00FEC" w:rsidRDefault="00E00FEC" w:rsidP="00E00FEC">
      <w:pPr>
        <w:rPr>
          <w:lang w:val="en-GB"/>
        </w:rPr>
      </w:pPr>
      <w:r w:rsidRPr="00E00FEC">
        <w:rPr>
          <w:lang w:val="en-GB"/>
        </w:rPr>
        <w:t>All figures were generated using R (4.3.2) and exported in high-resolution TIFF format (300 dpi).</w:t>
      </w:r>
      <w:r w:rsidRPr="00E00FEC">
        <w:rPr>
          <w:lang w:val="en-GB"/>
        </w:rPr>
        <w:br/>
        <w:t xml:space="preserve">The </w:t>
      </w:r>
      <w:r w:rsidRPr="00E00FEC">
        <w:rPr>
          <w:i/>
          <w:iCs/>
          <w:lang w:val="en-GB"/>
        </w:rPr>
        <w:t>Supplementary Material</w:t>
      </w:r>
      <w:r w:rsidRPr="00E00FEC">
        <w:rPr>
          <w:lang w:val="en-GB"/>
        </w:rPr>
        <w:t xml:space="preserve"> document follows the Frontiers format and includes full captions and legends for all figures.</w:t>
      </w:r>
    </w:p>
    <w:p w14:paraId="226E43B4" w14:textId="77777777" w:rsidR="003B3C40" w:rsidRPr="003B3C40" w:rsidRDefault="003B3C40" w:rsidP="0088513A">
      <w:pPr>
        <w:pStyle w:val="Prrafodelista"/>
        <w:numPr>
          <w:ilvl w:val="0"/>
          <w:numId w:val="22"/>
        </w:numPr>
        <w:spacing w:before="240"/>
        <w:contextualSpacing w:val="0"/>
        <w:outlineLvl w:val="0"/>
        <w:rPr>
          <w:b/>
          <w:vanish/>
        </w:rPr>
      </w:pPr>
    </w:p>
    <w:p w14:paraId="4A48A063" w14:textId="77777777" w:rsidR="003B3C40" w:rsidRPr="003B3C40" w:rsidRDefault="003B3C40" w:rsidP="0088513A">
      <w:pPr>
        <w:pStyle w:val="Prrafodelista"/>
        <w:numPr>
          <w:ilvl w:val="0"/>
          <w:numId w:val="22"/>
        </w:numPr>
        <w:spacing w:before="240"/>
        <w:contextualSpacing w:val="0"/>
        <w:outlineLvl w:val="0"/>
        <w:rPr>
          <w:b/>
          <w:vanish/>
        </w:rPr>
      </w:pPr>
    </w:p>
    <w:p w14:paraId="62C9D2F4" w14:textId="77777777" w:rsidR="003B3C40" w:rsidRPr="003B3C40" w:rsidRDefault="003B3C40" w:rsidP="0088513A">
      <w:pPr>
        <w:pStyle w:val="Prrafodelista"/>
        <w:numPr>
          <w:ilvl w:val="0"/>
          <w:numId w:val="22"/>
        </w:numPr>
        <w:spacing w:before="240"/>
        <w:contextualSpacing w:val="0"/>
        <w:outlineLvl w:val="0"/>
        <w:rPr>
          <w:b/>
          <w:vanish/>
        </w:rPr>
      </w:pPr>
    </w:p>
    <w:p w14:paraId="11AD5495" w14:textId="77777777" w:rsidR="003B3C40" w:rsidRPr="003B3C40" w:rsidRDefault="003B3C40" w:rsidP="0088513A">
      <w:pPr>
        <w:pStyle w:val="Prrafodelista"/>
        <w:numPr>
          <w:ilvl w:val="0"/>
          <w:numId w:val="22"/>
        </w:numPr>
        <w:spacing w:before="240"/>
        <w:contextualSpacing w:val="0"/>
        <w:outlineLvl w:val="0"/>
        <w:rPr>
          <w:b/>
          <w:vanish/>
        </w:rPr>
      </w:pPr>
    </w:p>
    <w:p w14:paraId="2D5612BE" w14:textId="77777777" w:rsidR="003B3C40" w:rsidRPr="003B3C40" w:rsidRDefault="003B3C40" w:rsidP="0088513A">
      <w:pPr>
        <w:pStyle w:val="Prrafodelista"/>
        <w:numPr>
          <w:ilvl w:val="0"/>
          <w:numId w:val="22"/>
        </w:numPr>
        <w:spacing w:before="240"/>
        <w:contextualSpacing w:val="0"/>
        <w:outlineLvl w:val="0"/>
        <w:rPr>
          <w:b/>
          <w:vanish/>
        </w:rPr>
      </w:pPr>
    </w:p>
    <w:p w14:paraId="29F94177" w14:textId="77777777" w:rsidR="003B3C40" w:rsidRPr="003B3C40" w:rsidRDefault="003B3C40" w:rsidP="0088513A">
      <w:pPr>
        <w:pStyle w:val="Prrafodelista"/>
        <w:numPr>
          <w:ilvl w:val="0"/>
          <w:numId w:val="22"/>
        </w:numPr>
        <w:spacing w:before="240"/>
        <w:contextualSpacing w:val="0"/>
        <w:outlineLvl w:val="0"/>
        <w:rPr>
          <w:b/>
          <w:vanish/>
        </w:rPr>
      </w:pPr>
    </w:p>
    <w:p w14:paraId="76EF591C" w14:textId="77777777" w:rsidR="003B3C40" w:rsidRPr="003B3C40" w:rsidRDefault="003B3C40" w:rsidP="0088513A">
      <w:pPr>
        <w:pStyle w:val="Prrafodelista"/>
        <w:numPr>
          <w:ilvl w:val="0"/>
          <w:numId w:val="22"/>
        </w:numPr>
        <w:spacing w:before="240"/>
        <w:contextualSpacing w:val="0"/>
        <w:outlineLvl w:val="0"/>
        <w:rPr>
          <w:b/>
          <w:vanish/>
        </w:rPr>
      </w:pPr>
    </w:p>
    <w:p w14:paraId="7CDDEECE" w14:textId="77777777" w:rsidR="003B3C40" w:rsidRPr="003B3C40" w:rsidRDefault="003B3C40" w:rsidP="0088513A">
      <w:pPr>
        <w:pStyle w:val="Prrafodelista"/>
        <w:numPr>
          <w:ilvl w:val="0"/>
          <w:numId w:val="22"/>
        </w:numPr>
        <w:spacing w:before="240"/>
        <w:contextualSpacing w:val="0"/>
        <w:outlineLvl w:val="0"/>
        <w:rPr>
          <w:b/>
          <w:vanish/>
        </w:rPr>
      </w:pPr>
    </w:p>
    <w:p w14:paraId="733C04B9" w14:textId="77777777" w:rsidR="003B3C40" w:rsidRPr="003B3C40" w:rsidRDefault="003B3C40" w:rsidP="0088513A">
      <w:pPr>
        <w:pStyle w:val="Prrafodelista"/>
        <w:numPr>
          <w:ilvl w:val="0"/>
          <w:numId w:val="22"/>
        </w:numPr>
        <w:spacing w:before="240"/>
        <w:contextualSpacing w:val="0"/>
        <w:outlineLvl w:val="0"/>
        <w:rPr>
          <w:b/>
          <w:vanish/>
        </w:rPr>
      </w:pPr>
    </w:p>
    <w:p w14:paraId="47C49A3C" w14:textId="77777777" w:rsidR="003B3C40" w:rsidRPr="003B3C40" w:rsidRDefault="003B3C40" w:rsidP="0088513A">
      <w:pPr>
        <w:pStyle w:val="Prrafodelista"/>
        <w:numPr>
          <w:ilvl w:val="0"/>
          <w:numId w:val="22"/>
        </w:numPr>
        <w:spacing w:before="240"/>
        <w:contextualSpacing w:val="0"/>
        <w:outlineLvl w:val="0"/>
        <w:rPr>
          <w:b/>
          <w:vanish/>
        </w:rPr>
      </w:pPr>
    </w:p>
    <w:p w14:paraId="171B4C39" w14:textId="77777777" w:rsidR="003B3C40" w:rsidRPr="003B3C40" w:rsidRDefault="003B3C40" w:rsidP="0088513A">
      <w:pPr>
        <w:pStyle w:val="Prrafodelista"/>
        <w:numPr>
          <w:ilvl w:val="0"/>
          <w:numId w:val="22"/>
        </w:numPr>
        <w:spacing w:before="240"/>
        <w:contextualSpacing w:val="0"/>
        <w:outlineLvl w:val="0"/>
        <w:rPr>
          <w:b/>
          <w:vanish/>
        </w:rPr>
      </w:pPr>
    </w:p>
    <w:p w14:paraId="1683A2F0" w14:textId="7113B41C" w:rsidR="0088513A" w:rsidRPr="0088513A" w:rsidRDefault="0088513A" w:rsidP="004122E9">
      <w:pPr>
        <w:pStyle w:val="Ttulo1"/>
        <w:numPr>
          <w:ilvl w:val="0"/>
          <w:numId w:val="38"/>
        </w:numPr>
      </w:pPr>
      <w:r w:rsidRPr="0088513A">
        <w:t>Data Availability Statement</w:t>
      </w:r>
    </w:p>
    <w:p w14:paraId="2AF18B22" w14:textId="77777777" w:rsidR="000F7440" w:rsidRDefault="000F7440" w:rsidP="000F7440">
      <w:r>
        <w:t>The bibliometric data analysed in this study were retrieved from the Scopus database (Elsevier) using the advanced search query described in Section 2.2. The exported bibliographic file (scopus_export.csv) is provided as Supplementary Material.</w:t>
      </w:r>
    </w:p>
    <w:p w14:paraId="5AC7569A" w14:textId="77777777" w:rsidR="000F7440" w:rsidRDefault="000F7440" w:rsidP="000F7440">
      <w:r>
        <w:t xml:space="preserve">All derived materials supporting the analyses and figures presented in the article—including cleaned datasets, </w:t>
      </w:r>
      <w:proofErr w:type="spellStart"/>
      <w:r>
        <w:t>VOSviewer</w:t>
      </w:r>
      <w:proofErr w:type="spellEnd"/>
      <w:r>
        <w:t xml:space="preserve"> network files, R scripts used for bibliometric processing and figure generation, and high-resolution figures corresponding to the main and supplementary materials—are openly available in a public GitHub repository:</w:t>
      </w:r>
    </w:p>
    <w:p w14:paraId="67F3695A" w14:textId="77777777" w:rsidR="000F7440" w:rsidRDefault="000F7440" w:rsidP="000F7440">
      <w:r>
        <w:t>https://jcaceres-academic.github.io/extended-tam-green-technology/</w:t>
      </w:r>
    </w:p>
    <w:p w14:paraId="0A437877" w14:textId="77777777" w:rsidR="000F7440" w:rsidRDefault="000F7440" w:rsidP="000F7440">
      <w:r>
        <w:t>The repository has been structured to support transparency and reproducibility, enabling full inspection of the analytical workflow and reuse of the research outputs.</w:t>
      </w:r>
    </w:p>
    <w:p w14:paraId="03ED0EEE" w14:textId="64C6F6E1" w:rsidR="000F7440" w:rsidRDefault="000F7440" w:rsidP="000F7440">
      <w:r>
        <w:t>All data used in this research were derived exclusively from publicly accessible bibliometric sources and do not involve human participants, personal data, institutional records, or third-party proprietary datasets beyond standard bibliographic metadata.</w:t>
      </w:r>
    </w:p>
    <w:p w14:paraId="353A2206" w14:textId="77777777" w:rsidR="000F7440" w:rsidRPr="00E00FEC" w:rsidRDefault="000F7440" w:rsidP="00E00FEC"/>
    <w:p w14:paraId="5D125C69" w14:textId="1462E479" w:rsidR="00AB0057" w:rsidRDefault="00826661" w:rsidP="00AB0057">
      <w:pPr>
        <w:pStyle w:val="Ttulo1"/>
        <w:numPr>
          <w:ilvl w:val="0"/>
          <w:numId w:val="22"/>
        </w:numPr>
      </w:pPr>
      <w:r w:rsidRPr="004C2A6F">
        <w:rPr>
          <w:noProof/>
        </w:rPr>
        <w:lastRenderedPageBreak/>
        <w:drawing>
          <wp:anchor distT="0" distB="0" distL="114300" distR="114300" simplePos="0" relativeHeight="251658240" behindDoc="0" locked="0" layoutInCell="1" allowOverlap="1" wp14:anchorId="091BA66C" wp14:editId="210B6007">
            <wp:simplePos x="0" y="0"/>
            <wp:positionH relativeFrom="column">
              <wp:posOffset>795899</wp:posOffset>
            </wp:positionH>
            <wp:positionV relativeFrom="paragraph">
              <wp:posOffset>464038</wp:posOffset>
            </wp:positionV>
            <wp:extent cx="4126230" cy="2994660"/>
            <wp:effectExtent l="0" t="0" r="7620" b="0"/>
            <wp:wrapTopAndBottom/>
            <wp:docPr id="5439196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19695" name="Imagen 1" descr="Diagrama&#10;&#10;El contenido generado por IA puede ser incorrecto."/>
                    <pic:cNvPicPr/>
                  </pic:nvPicPr>
                  <pic:blipFill>
                    <a:blip r:embed="rId40">
                      <a:extLst>
                        <a:ext uri="{28A0092B-C50C-407E-A947-70E740481C1C}">
                          <a14:useLocalDpi xmlns:a14="http://schemas.microsoft.com/office/drawing/2010/main" val="0"/>
                        </a:ext>
                      </a:extLst>
                    </a:blip>
                    <a:stretch>
                      <a:fillRect/>
                    </a:stretch>
                  </pic:blipFill>
                  <pic:spPr>
                    <a:xfrm>
                      <a:off x="0" y="0"/>
                      <a:ext cx="4126230" cy="2994660"/>
                    </a:xfrm>
                    <a:prstGeom prst="rect">
                      <a:avLst/>
                    </a:prstGeom>
                  </pic:spPr>
                </pic:pic>
              </a:graphicData>
            </a:graphic>
            <wp14:sizeRelH relativeFrom="margin">
              <wp14:pctWidth>0</wp14:pctWidth>
            </wp14:sizeRelH>
            <wp14:sizeRelV relativeFrom="margin">
              <wp14:pctHeight>0</wp14:pctHeight>
            </wp14:sizeRelV>
          </wp:anchor>
        </w:drawing>
      </w:r>
      <w:r w:rsidR="00AB0057">
        <w:t>Figures and Figure Legends</w:t>
      </w:r>
    </w:p>
    <w:p w14:paraId="125020C5" w14:textId="1AF71810" w:rsidR="0049068C" w:rsidRDefault="0049068C" w:rsidP="006B2D5B">
      <w:pPr>
        <w:rPr>
          <w:rFonts w:cs="Times New Roman"/>
          <w:szCs w:val="24"/>
        </w:rPr>
      </w:pPr>
    </w:p>
    <w:p w14:paraId="258416C2" w14:textId="2F394190" w:rsidR="0049068C" w:rsidRDefault="009454F7" w:rsidP="006B2D5B">
      <w:pPr>
        <w:rPr>
          <w:rFonts w:cs="Times New Roman"/>
          <w:szCs w:val="24"/>
        </w:rPr>
      </w:pPr>
      <w:r w:rsidRPr="009454F7">
        <w:rPr>
          <w:rFonts w:cs="Times New Roman"/>
          <w:b/>
          <w:bCs/>
          <w:szCs w:val="24"/>
        </w:rPr>
        <w:t>Figure 1.</w:t>
      </w:r>
      <w:r w:rsidRPr="009454F7">
        <w:rPr>
          <w:rFonts w:cs="Times New Roman"/>
          <w:szCs w:val="24"/>
        </w:rPr>
        <w:t xml:space="preserve"> </w:t>
      </w:r>
      <w:r w:rsidR="00826661" w:rsidRPr="00826661">
        <w:rPr>
          <w:rFonts w:cs="Times New Roman"/>
          <w:szCs w:val="24"/>
        </w:rPr>
        <w:t>Conceptual positioning of theoretical domains. The figure does not imply empirically tested causal relationships</w:t>
      </w:r>
      <w:r w:rsidRPr="00211FDD">
        <w:rPr>
          <w:rFonts w:cs="Times New Roman"/>
          <w:szCs w:val="24"/>
        </w:rPr>
        <w:t xml:space="preserve">. </w:t>
      </w:r>
      <w:r w:rsidRPr="009454F7">
        <w:rPr>
          <w:rFonts w:cs="Times New Roman"/>
          <w:i/>
          <w:iCs/>
          <w:szCs w:val="24"/>
        </w:rPr>
        <w:t>Source: authors’ elaboration</w:t>
      </w:r>
      <w:r w:rsidR="00AB0057">
        <w:rPr>
          <w:rFonts w:cs="Times New Roman"/>
          <w:i/>
          <w:iCs/>
          <w:szCs w:val="24"/>
        </w:rPr>
        <w:t>.</w:t>
      </w:r>
    </w:p>
    <w:p w14:paraId="264CAA81" w14:textId="2705D333" w:rsidR="007370C3" w:rsidRDefault="0049068C" w:rsidP="006B2D5B">
      <w:pPr>
        <w:rPr>
          <w:rFonts w:cs="Times New Roman"/>
          <w:szCs w:val="24"/>
        </w:rPr>
      </w:pPr>
      <w:r>
        <w:rPr>
          <w:rFonts w:cs="Times New Roman"/>
          <w:noProof/>
          <w:szCs w:val="24"/>
        </w:rPr>
        <w:drawing>
          <wp:inline distT="0" distB="0" distL="0" distR="0" wp14:anchorId="18127132" wp14:editId="3C83ECFB">
            <wp:extent cx="6332798" cy="1212112"/>
            <wp:effectExtent l="0" t="0" r="0" b="7620"/>
            <wp:docPr id="331247905"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47905" name="Imagen 8" descr="Diagrama&#10;&#10;El contenido generado por IA puede ser incorrecto."/>
                    <pic:cNvPicPr/>
                  </pic:nvPicPr>
                  <pic:blipFill>
                    <a:blip r:embed="rId41">
                      <a:extLst>
                        <a:ext uri="{28A0092B-C50C-407E-A947-70E740481C1C}">
                          <a14:useLocalDpi xmlns:a14="http://schemas.microsoft.com/office/drawing/2010/main" val="0"/>
                        </a:ext>
                      </a:extLst>
                    </a:blip>
                    <a:stretch>
                      <a:fillRect/>
                    </a:stretch>
                  </pic:blipFill>
                  <pic:spPr>
                    <a:xfrm>
                      <a:off x="0" y="0"/>
                      <a:ext cx="6363516" cy="1217992"/>
                    </a:xfrm>
                    <a:prstGeom prst="rect">
                      <a:avLst/>
                    </a:prstGeom>
                  </pic:spPr>
                </pic:pic>
              </a:graphicData>
            </a:graphic>
          </wp:inline>
        </w:drawing>
      </w:r>
    </w:p>
    <w:p w14:paraId="15E791D7" w14:textId="77777777" w:rsidR="00630601" w:rsidRDefault="00630601" w:rsidP="00630601">
      <w:pPr>
        <w:rPr>
          <w:i/>
          <w:iCs/>
        </w:rPr>
      </w:pPr>
      <w:r w:rsidRPr="00630601">
        <w:rPr>
          <w:b/>
          <w:bCs/>
        </w:rPr>
        <w:t xml:space="preserve">Figure 2. </w:t>
      </w:r>
      <w:r w:rsidRPr="00630601">
        <w:t>Methodological workflow of the study illustrating the four sequential stages: data collection (Scopus, 2020–2025), bibliometric and semantic analysis (</w:t>
      </w:r>
      <w:proofErr w:type="spellStart"/>
      <w:r w:rsidRPr="00630601">
        <w:t>VOSviewer</w:t>
      </w:r>
      <w:proofErr w:type="spellEnd"/>
      <w:r w:rsidRPr="00630601">
        <w:t>, R), Analytical Hierarchy Process (AHP) for expert weighting and consistency validation, and conceptual integration into the extended Technology Acceptance Model (TAM) framework.</w:t>
      </w:r>
      <w:r w:rsidRPr="00630601">
        <w:rPr>
          <w:b/>
          <w:bCs/>
        </w:rPr>
        <w:br/>
      </w:r>
      <w:r w:rsidRPr="00630601">
        <w:rPr>
          <w:i/>
          <w:iCs/>
        </w:rPr>
        <w:t>Source: authors’ elaboration.</w:t>
      </w:r>
    </w:p>
    <w:p w14:paraId="004F55FB" w14:textId="77777777" w:rsidR="005C6FC9" w:rsidRDefault="005C6FC9" w:rsidP="00630601">
      <w:pPr>
        <w:rPr>
          <w:i/>
          <w:iCs/>
        </w:rPr>
      </w:pPr>
    </w:p>
    <w:p w14:paraId="36B36ADA" w14:textId="77777777" w:rsidR="005C6FC9" w:rsidRDefault="005C6FC9" w:rsidP="005C6FC9">
      <w:pPr>
        <w:rPr>
          <w:rFonts w:cs="Times New Roman"/>
          <w:szCs w:val="24"/>
        </w:rPr>
      </w:pPr>
      <w:r>
        <w:rPr>
          <w:rFonts w:cs="Times New Roman"/>
          <w:noProof/>
          <w:szCs w:val="24"/>
        </w:rPr>
        <w:lastRenderedPageBreak/>
        <w:drawing>
          <wp:inline distT="0" distB="0" distL="0" distR="0" wp14:anchorId="393C640A" wp14:editId="5CD6A1DB">
            <wp:extent cx="5549594" cy="2553005"/>
            <wp:effectExtent l="0" t="0" r="0" b="0"/>
            <wp:docPr id="741195596" name="Imagen 1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95596" name="Imagen 16" descr="Diagrama&#10;&#10;El contenido generado por IA puede ser incorrecto."/>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57542" cy="2556661"/>
                    </a:xfrm>
                    <a:prstGeom prst="rect">
                      <a:avLst/>
                    </a:prstGeom>
                  </pic:spPr>
                </pic:pic>
              </a:graphicData>
            </a:graphic>
          </wp:inline>
        </w:drawing>
      </w:r>
    </w:p>
    <w:p w14:paraId="2E3B5EDF" w14:textId="67548CE3" w:rsidR="005C6FC9" w:rsidRDefault="005C6FC9" w:rsidP="005C6FC9">
      <w:pPr>
        <w:rPr>
          <w:b/>
          <w:bCs/>
          <w:i/>
          <w:iCs/>
        </w:rPr>
      </w:pPr>
      <w:r w:rsidRPr="00233D4F">
        <w:rPr>
          <w:b/>
          <w:bCs/>
        </w:rPr>
        <w:t xml:space="preserve">Figure </w:t>
      </w:r>
      <w:r>
        <w:rPr>
          <w:b/>
          <w:bCs/>
        </w:rPr>
        <w:t>3</w:t>
      </w:r>
      <w:r w:rsidRPr="00233D4F">
        <w:rPr>
          <w:b/>
          <w:bCs/>
        </w:rPr>
        <w:t xml:space="preserve">. </w:t>
      </w:r>
      <w:r w:rsidR="007E1EE6" w:rsidRPr="007E1EE6">
        <w:t>Extended Technology Acceptance Model (TAM) integrating behavioural (perceived usefulness, perceived ease of use) and institutional (trust, transparency, legitimacy, community support) dimensions. The figure represents a conceptual articulation of individual cognitive evaluations and institutional conditions framing technology acceptance in environmental and social contexts.</w:t>
      </w:r>
      <w:r w:rsidRPr="00233D4F">
        <w:br/>
      </w:r>
      <w:r w:rsidRPr="00233D4F">
        <w:rPr>
          <w:i/>
          <w:iCs/>
        </w:rPr>
        <w:t>Source: authors’ elaboration (based on Scopus data, retrieved October 2025</w:t>
      </w:r>
      <w:r>
        <w:rPr>
          <w:i/>
          <w:iCs/>
        </w:rPr>
        <w:t>).</w:t>
      </w:r>
    </w:p>
    <w:p w14:paraId="38521F3C" w14:textId="3EDF2A9B" w:rsidR="0049068C" w:rsidRDefault="009454F7" w:rsidP="006B2D5B">
      <w:pPr>
        <w:rPr>
          <w:rFonts w:cs="Times New Roman"/>
          <w:szCs w:val="24"/>
        </w:rPr>
      </w:pPr>
      <w:r>
        <w:rPr>
          <w:rFonts w:cs="Times New Roman"/>
          <w:noProof/>
          <w:szCs w:val="24"/>
        </w:rPr>
        <w:drawing>
          <wp:inline distT="0" distB="0" distL="0" distR="0" wp14:anchorId="12725181" wp14:editId="47381C37">
            <wp:extent cx="5591908" cy="4054519"/>
            <wp:effectExtent l="0" t="0" r="8890" b="3175"/>
            <wp:docPr id="1863546740"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46740" name="Imagen 9" descr="Diagrama&#10;&#10;El contenido generado por IA puede ser incorrecto."/>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93330" cy="4055550"/>
                    </a:xfrm>
                    <a:prstGeom prst="rect">
                      <a:avLst/>
                    </a:prstGeom>
                  </pic:spPr>
                </pic:pic>
              </a:graphicData>
            </a:graphic>
          </wp:inline>
        </w:drawing>
      </w:r>
    </w:p>
    <w:p w14:paraId="4FBAC531" w14:textId="0BA1374B" w:rsidR="00630601" w:rsidRDefault="00630601" w:rsidP="00630601">
      <w:pPr>
        <w:rPr>
          <w:b/>
          <w:bCs/>
          <w:i/>
          <w:iCs/>
        </w:rPr>
      </w:pPr>
      <w:r w:rsidRPr="00630601">
        <w:rPr>
          <w:b/>
          <w:bCs/>
        </w:rPr>
        <w:t xml:space="preserve">Figure </w:t>
      </w:r>
      <w:r w:rsidR="005C6FC9">
        <w:rPr>
          <w:b/>
          <w:bCs/>
        </w:rPr>
        <w:t>4</w:t>
      </w:r>
      <w:r w:rsidRPr="00630601">
        <w:rPr>
          <w:b/>
          <w:bCs/>
        </w:rPr>
        <w:t xml:space="preserve"> </w:t>
      </w:r>
      <w:r w:rsidRPr="00630601">
        <w:t xml:space="preserve">Co-occurrence network of author keywords (minimum 20 occurrences) generated using </w:t>
      </w:r>
      <w:proofErr w:type="spellStart"/>
      <w:r w:rsidRPr="00630601">
        <w:t>VOSviewer</w:t>
      </w:r>
      <w:proofErr w:type="spellEnd"/>
      <w:r w:rsidRPr="00630601">
        <w:t xml:space="preserve"> 1.6.20. Four </w:t>
      </w:r>
      <w:proofErr w:type="spellStart"/>
      <w:r w:rsidRPr="00630601">
        <w:t>colour</w:t>
      </w:r>
      <w:proofErr w:type="spellEnd"/>
      <w:r w:rsidRPr="00630601">
        <w:t xml:space="preserve">-coded clusters represent the conceptual structure of the field: </w:t>
      </w:r>
      <w:r w:rsidRPr="00630601">
        <w:lastRenderedPageBreak/>
        <w:t>behavioural and technological adoption (red), sustainability and environmental perception (green), psychosocial and demographic factors (blue), and educational applications (yellow).</w:t>
      </w:r>
      <w:r w:rsidRPr="00630601">
        <w:br/>
      </w:r>
      <w:r w:rsidRPr="00630601">
        <w:rPr>
          <w:i/>
          <w:iCs/>
        </w:rPr>
        <w:t>Source: authors’ elaboration based on Scopus data (n = 789, retrieved October 2025).</w:t>
      </w:r>
    </w:p>
    <w:p w14:paraId="3EEDC2B1" w14:textId="3DD7F727" w:rsidR="009454F7" w:rsidRDefault="00CD05AC" w:rsidP="006B2D5B">
      <w:pPr>
        <w:rPr>
          <w:rFonts w:cs="Times New Roman"/>
          <w:szCs w:val="24"/>
        </w:rPr>
      </w:pPr>
      <w:r>
        <w:rPr>
          <w:rFonts w:cs="Times New Roman"/>
          <w:noProof/>
          <w:szCs w:val="24"/>
        </w:rPr>
        <w:drawing>
          <wp:inline distT="0" distB="0" distL="0" distR="0" wp14:anchorId="3363B919" wp14:editId="010A6283">
            <wp:extent cx="5490992" cy="2830982"/>
            <wp:effectExtent l="0" t="0" r="0" b="7620"/>
            <wp:docPr id="1386922751" name="Imagen 2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22751" name="Imagen 22" descr="Diagrama&#10;&#10;El contenido generado por IA puede ser incorrecto."/>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12253" cy="2841944"/>
                    </a:xfrm>
                    <a:prstGeom prst="rect">
                      <a:avLst/>
                    </a:prstGeom>
                  </pic:spPr>
                </pic:pic>
              </a:graphicData>
            </a:graphic>
          </wp:inline>
        </w:drawing>
      </w:r>
    </w:p>
    <w:p w14:paraId="7718F9B3" w14:textId="14304F6D" w:rsidR="00233D4F" w:rsidRDefault="00233D4F" w:rsidP="006B2D5B">
      <w:pPr>
        <w:rPr>
          <w:i/>
          <w:iCs/>
        </w:rPr>
      </w:pPr>
      <w:r w:rsidRPr="00233D4F">
        <w:rPr>
          <w:b/>
          <w:bCs/>
        </w:rPr>
        <w:t xml:space="preserve">Figure 5. </w:t>
      </w:r>
      <w:r w:rsidRPr="00233D4F">
        <w:t>Analytical Hierarchy Process (AHP) structure integrating behavioural and institutional determinants within the extended Technology Acceptance Model (TAM). The model depicts the hierarchical relationships between the overall goal (technology acceptance decision), higher-level constructs (behavioural and institutional determinants), and mediating variables (legitimacy, trust, community support, transparency).</w:t>
      </w:r>
      <w:r w:rsidRPr="00233D4F">
        <w:br/>
      </w:r>
      <w:r w:rsidRPr="00233D4F">
        <w:rPr>
          <w:i/>
          <w:iCs/>
        </w:rPr>
        <w:t>Source: authors’ elaboration based on Scopus data and expert evaluation (retrieved October 2025).</w:t>
      </w:r>
    </w:p>
    <w:p w14:paraId="76657FB4" w14:textId="2B199DFC" w:rsidR="009454F7" w:rsidRPr="00233D4F" w:rsidRDefault="00E96E5C" w:rsidP="006B2D5B">
      <w:pPr>
        <w:rPr>
          <w:i/>
          <w:iCs/>
        </w:rPr>
      </w:pPr>
      <w:r w:rsidRPr="00233D4F">
        <w:rPr>
          <w:rFonts w:cs="Times New Roman"/>
          <w:noProof/>
          <w:szCs w:val="24"/>
        </w:rPr>
        <w:drawing>
          <wp:inline distT="0" distB="0" distL="0" distR="0" wp14:anchorId="575D17ED" wp14:editId="39DD7D2A">
            <wp:extent cx="4183873" cy="3489350"/>
            <wp:effectExtent l="0" t="0" r="7620" b="0"/>
            <wp:docPr id="558146366" name="Imagen 23"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46366" name="Imagen 23" descr="Imagen que contiene Patrón de fondo&#10;&#10;El contenido generado por IA puede ser incorrecto."/>
                    <pic:cNvPicPr/>
                  </pic:nvPicPr>
                  <pic:blipFill>
                    <a:blip r:embed="rId45">
                      <a:extLst>
                        <a:ext uri="{28A0092B-C50C-407E-A947-70E740481C1C}">
                          <a14:useLocalDpi xmlns:a14="http://schemas.microsoft.com/office/drawing/2010/main" val="0"/>
                        </a:ext>
                      </a:extLst>
                    </a:blip>
                    <a:stretch>
                      <a:fillRect/>
                    </a:stretch>
                  </pic:blipFill>
                  <pic:spPr>
                    <a:xfrm>
                      <a:off x="0" y="0"/>
                      <a:ext cx="4191703" cy="3495880"/>
                    </a:xfrm>
                    <a:prstGeom prst="rect">
                      <a:avLst/>
                    </a:prstGeom>
                  </pic:spPr>
                </pic:pic>
              </a:graphicData>
            </a:graphic>
          </wp:inline>
        </w:drawing>
      </w:r>
    </w:p>
    <w:p w14:paraId="298C978E" w14:textId="62B49DF0" w:rsidR="003A74FC" w:rsidRPr="0088513A" w:rsidRDefault="0044065E" w:rsidP="0044065E">
      <w:pPr>
        <w:rPr>
          <w:rFonts w:cs="Times New Roman"/>
          <w:szCs w:val="24"/>
        </w:rPr>
      </w:pPr>
      <w:r w:rsidRPr="0044065E">
        <w:rPr>
          <w:rFonts w:cs="Times New Roman"/>
          <w:b/>
          <w:bCs/>
          <w:szCs w:val="24"/>
        </w:rPr>
        <w:lastRenderedPageBreak/>
        <w:t xml:space="preserve">Figure 6. </w:t>
      </w:r>
      <w:r w:rsidRPr="0044065E">
        <w:rPr>
          <w:rFonts w:cs="Times New Roman"/>
          <w:szCs w:val="24"/>
        </w:rPr>
        <w:t>Heatmap of the top twenty co-occurring author keywords (abbreviated labels).</w:t>
      </w:r>
      <w:r w:rsidRPr="0044065E">
        <w:rPr>
          <w:rFonts w:cs="Times New Roman"/>
          <w:szCs w:val="24"/>
        </w:rPr>
        <w:br/>
        <w:t xml:space="preserve">Abbreviations: TAM = Technology Acceptance Model; GT = Green Technology; PU = Perceived Usefulness; </w:t>
      </w:r>
      <w:proofErr w:type="spellStart"/>
      <w:r w:rsidRPr="0044065E">
        <w:rPr>
          <w:rFonts w:cs="Times New Roman"/>
          <w:szCs w:val="24"/>
        </w:rPr>
        <w:t>EoU</w:t>
      </w:r>
      <w:proofErr w:type="spellEnd"/>
      <w:r w:rsidRPr="0044065E">
        <w:rPr>
          <w:rFonts w:cs="Times New Roman"/>
          <w:szCs w:val="24"/>
        </w:rPr>
        <w:t xml:space="preserve"> = Ease of Use; TR = Trust; TS = Transparency; LEG = Legitimacy; COM = Community Support; BI = Behavioural Intention; AI = Artificial Intelligence; ENV = Environmental Behaviour; HE = Higher Education; SD = Sustainable Development; POL = Policy; CS = Citizen Science; DT = Digital Transformation; DM = Decision-Making; EDU = Education; SOC = Social Norms; INN = Innovation.</w:t>
      </w:r>
      <w:r w:rsidRPr="0044065E">
        <w:rPr>
          <w:rFonts w:cs="Times New Roman"/>
          <w:szCs w:val="24"/>
        </w:rPr>
        <w:br/>
        <w:t>The heatmap illustrates the co-occurrence strength among the twenty most frequent keywords in the 2021–2025 Scopus corpus, revealing conceptual convergence between behavioural, institutional, and technological determinants.</w:t>
      </w:r>
      <w:r w:rsidRPr="0044065E">
        <w:rPr>
          <w:rFonts w:cs="Times New Roman"/>
          <w:szCs w:val="24"/>
        </w:rPr>
        <w:br/>
      </w:r>
      <w:r w:rsidRPr="0044065E">
        <w:rPr>
          <w:rFonts w:cs="Times New Roman"/>
          <w:i/>
          <w:iCs/>
          <w:szCs w:val="24"/>
        </w:rPr>
        <w:t>Source: authors’ elaboration based on Scopus data (retrieved October 2025).</w:t>
      </w:r>
    </w:p>
    <w:sectPr w:rsidR="003A74FC" w:rsidRPr="0088513A" w:rsidSect="00307583">
      <w:headerReference w:type="even" r:id="rId46"/>
      <w:headerReference w:type="default" r:id="rId47"/>
      <w:footerReference w:type="even" r:id="rId48"/>
      <w:footerReference w:type="default" r:id="rId49"/>
      <w:headerReference w:type="first" r:id="rId50"/>
      <w:footerReference w:type="first" r:id="rId51"/>
      <w:pgSz w:w="12240" w:h="15840"/>
      <w:pgMar w:top="1138" w:right="1181" w:bottom="1138" w:left="1282" w:header="283"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28BBB" w14:textId="77777777" w:rsidR="007F100A" w:rsidRDefault="007F100A" w:rsidP="00117666">
      <w:pPr>
        <w:spacing w:after="0"/>
      </w:pPr>
      <w:r>
        <w:separator/>
      </w:r>
    </w:p>
  </w:endnote>
  <w:endnote w:type="continuationSeparator" w:id="0">
    <w:p w14:paraId="0B5DABD3" w14:textId="77777777" w:rsidR="007F100A" w:rsidRDefault="007F100A" w:rsidP="001176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FCB79" w14:textId="77777777" w:rsidR="00686C9D" w:rsidRPr="00577C4C" w:rsidRDefault="00C52A7B">
    <w:pPr>
      <w:pStyle w:val="Piedepgina"/>
      <w:rPr>
        <w:color w:val="C00000"/>
        <w:szCs w:val="24"/>
      </w:rPr>
    </w:pPr>
    <w:r w:rsidRPr="00577C4C">
      <w:rPr>
        <w:noProof/>
        <w:color w:val="C00000"/>
        <w:szCs w:val="24"/>
        <w:lang w:val="en-GB" w:eastAsia="en-GB"/>
      </w:rPr>
      <mc:AlternateContent>
        <mc:Choice Requires="wps">
          <w:drawing>
            <wp:anchor distT="0" distB="0" distL="114300" distR="114300" simplePos="0" relativeHeight="251683840" behindDoc="0" locked="0" layoutInCell="1" allowOverlap="1" wp14:anchorId="5744FF29" wp14:editId="0CFDB4C5">
              <wp:simplePos x="0" y="0"/>
              <wp:positionH relativeFrom="column">
                <wp:posOffset>-108280</wp:posOffset>
              </wp:positionH>
              <wp:positionV relativeFrom="paragraph">
                <wp:posOffset>-58420</wp:posOffset>
              </wp:positionV>
              <wp:extent cx="3672231" cy="1403985"/>
              <wp:effectExtent l="0" t="0" r="444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231" cy="1403985"/>
                      </a:xfrm>
                      <a:prstGeom prst="rect">
                        <a:avLst/>
                      </a:prstGeom>
                      <a:solidFill>
                        <a:srgbClr val="FFFFFF"/>
                      </a:solidFill>
                      <a:ln w="9525">
                        <a:noFill/>
                        <a:miter lim="800000"/>
                        <a:headEnd/>
                        <a:tailEnd/>
                      </a:ln>
                    </wps:spPr>
                    <wps:txbx>
                      <w:txbxContent>
                        <w:p w14:paraId="7B187B51" w14:textId="77777777" w:rsidR="00686C9D" w:rsidRPr="00E9561B" w:rsidRDefault="00C52A7B">
                          <w:pPr>
                            <w:rPr>
                              <w:color w:val="C00000"/>
                            </w:rPr>
                          </w:pPr>
                          <w:r w:rsidRPr="00E9561B">
                            <w:rPr>
                              <w:color w:val="C00000"/>
                            </w:rPr>
                            <w:t>This is a provisional file, not the final typeset article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44FF29" id="_x0000_t202" coordsize="21600,21600" o:spt="202" path="m,l,21600r21600,l21600,xe">
              <v:stroke joinstyle="miter"/>
              <v:path gradientshapeok="t" o:connecttype="rect"/>
            </v:shapetype>
            <v:shape id="Text Box 2" o:spid="_x0000_s1026" type="#_x0000_t202" style="position:absolute;margin-left:-8.55pt;margin-top:-4.6pt;width:289.15pt;height:110.55pt;z-index:251683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" stroked="f">
              <v:textbox style="mso-fit-shape-to-text:t">
                <w:txbxContent>
                  <w:p w14:paraId="7B187B51" w14:textId="77777777" w:rsidR="00686C9D" w:rsidRPr="00E9561B" w:rsidRDefault="00C52A7B">
                    <w:pPr>
                      <w:rPr>
                        <w:color w:val="C00000"/>
                      </w:rPr>
                    </w:pPr>
                    <w:r w:rsidRPr="00E9561B">
                      <w:rPr>
                        <w:color w:val="C00000"/>
                      </w:rPr>
                      <w:t>This is a provisional file, not the final typeset article</w:t>
                    </w:r>
                  </w:p>
                </w:txbxContent>
              </v:textbox>
            </v:shape>
          </w:pict>
        </mc:Fallback>
      </mc:AlternateContent>
    </w:r>
    <w:r>
      <w:rPr>
        <w:noProof/>
        <w:lang w:val="en-GB" w:eastAsia="en-GB"/>
      </w:rPr>
      <mc:AlternateContent>
        <mc:Choice Requires="wps">
          <w:drawing>
            <wp:anchor distT="0" distB="0" distL="114300" distR="114300" simplePos="0" relativeHeight="251665408" behindDoc="0" locked="0" layoutInCell="1" allowOverlap="1" wp14:anchorId="7C0C9A1E" wp14:editId="0A8165B7">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2B86276A"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C0C9A1E" id="Text Box 1" o:spid="_x0000_s1027" type="#_x0000_t202" style="position:absolute;margin-left:67.6pt;margin-top:0;width:118.8pt;height:31.15pt;z-index:251665408;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EnIA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" filled="f" stroked="f" strokeweight=".5pt">
              <v:textbox style="mso-fit-shape-to-text:t">
                <w:txbxContent>
                  <w:p w14:paraId="2B86276A"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8A60F" w14:textId="77777777" w:rsidR="00686C9D" w:rsidRPr="00577C4C" w:rsidRDefault="00C52A7B">
    <w:pPr>
      <w:pStyle w:val="Piedepgina"/>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2127D7DA" wp14:editId="10908CC8">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04C0BEFB"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127D7DA" id="_x0000_t202" coordsize="21600,21600" o:spt="202" path="m,l,21600r21600,l21600,xe">
              <v:stroke joinstyle="miter"/>
              <v:path gradientshapeok="t" o:connecttype="rect"/>
            </v:shapetype>
            <v:shape id="Text Box 56" o:spid="_x0000_s1028"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6CDIg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" filled="f" stroked="f" strokeweight=".5pt">
              <v:textbox style="mso-fit-shape-to-text:t">
                <w:txbxContent>
                  <w:p w14:paraId="04C0BEFB"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v:textbox>
              <w10:wrap anchorx="margin" anchory="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C8EE" w14:textId="77777777" w:rsidR="003A75AA" w:rsidRDefault="003A75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D83AE" w14:textId="77777777" w:rsidR="007F100A" w:rsidRDefault="007F100A" w:rsidP="00117666">
      <w:pPr>
        <w:spacing w:after="0"/>
      </w:pPr>
      <w:r>
        <w:separator/>
      </w:r>
    </w:p>
  </w:footnote>
  <w:footnote w:type="continuationSeparator" w:id="0">
    <w:p w14:paraId="1C632577" w14:textId="77777777" w:rsidR="007F100A" w:rsidRDefault="007F100A" w:rsidP="001176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DE3F" w14:textId="46E549D4" w:rsidR="003A75AA" w:rsidRDefault="003A75A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CAF79" w14:textId="654E1F0F" w:rsidR="003A75AA" w:rsidRDefault="003A75A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4DC69" w14:textId="718CF022" w:rsidR="00686C9D" w:rsidRDefault="005A1D84" w:rsidP="00A53000">
    <w:pPr>
      <w:pStyle w:val="Encabezado"/>
    </w:pPr>
    <w:r w:rsidRPr="005A1D84">
      <w:rPr>
        <w:noProof/>
        <w:color w:val="A6A6A6" w:themeColor="background1" w:themeShade="A6"/>
        <w:lang w:val="en-GB" w:eastAsia="en-GB"/>
      </w:rPr>
      <w:drawing>
        <wp:inline distT="0" distB="0" distL="0" distR="0" wp14:anchorId="14758C2E" wp14:editId="7C8F8B09">
          <wp:extent cx="1382534" cy="497091"/>
          <wp:effectExtent l="0" t="0" r="0" b="0"/>
          <wp:docPr id="6" name="Picture 6"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r w:rsidR="00C52A7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666"/>
    <w:multiLevelType w:val="multilevel"/>
    <w:tmpl w:val="4432892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833A80"/>
    <w:multiLevelType w:val="multilevel"/>
    <w:tmpl w:val="E26C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A03CD"/>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EC0601A"/>
    <w:multiLevelType w:val="multilevel"/>
    <w:tmpl w:val="08C27CD8"/>
    <w:styleLink w:val="Headings"/>
    <w:lvl w:ilvl="0">
      <w:start w:val="1"/>
      <w:numFmt w:val="decimal"/>
      <w:pStyle w:val="Ttulo1"/>
      <w:lvlText w:val="%1"/>
      <w:lvlJc w:val="left"/>
      <w:pPr>
        <w:tabs>
          <w:tab w:val="num" w:pos="567"/>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pStyle w:val="Ttulo4"/>
      <w:lvlText w:val="%1.%2.%3.%4"/>
      <w:lvlJc w:val="left"/>
      <w:pPr>
        <w:tabs>
          <w:tab w:val="num" w:pos="567"/>
        </w:tabs>
        <w:ind w:left="567" w:hanging="567"/>
      </w:pPr>
      <w:rPr>
        <w:rFonts w:hint="default"/>
      </w:rPr>
    </w:lvl>
    <w:lvl w:ilvl="4">
      <w:start w:val="1"/>
      <w:numFmt w:val="decimal"/>
      <w:pStyle w:val="Ttulo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5" w15:restartNumberingAfterBreak="0">
    <w:nsid w:val="225305B5"/>
    <w:multiLevelType w:val="hybridMultilevel"/>
    <w:tmpl w:val="4F8C24FA"/>
    <w:lvl w:ilvl="0" w:tplc="A9DCD718">
      <w:start w:val="1"/>
      <w:numFmt w:val="bullet"/>
      <w:pStyle w:val="Prrafodelista"/>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2FFD40A8"/>
    <w:multiLevelType w:val="multilevel"/>
    <w:tmpl w:val="49967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A7CAC"/>
    <w:multiLevelType w:val="multilevel"/>
    <w:tmpl w:val="08C27CD8"/>
    <w:numStyleLink w:val="Headings"/>
  </w:abstractNum>
  <w:abstractNum w:abstractNumId="8" w15:restartNumberingAfterBreak="0">
    <w:nsid w:val="36D30736"/>
    <w:multiLevelType w:val="hybridMultilevel"/>
    <w:tmpl w:val="BC1E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17787E"/>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AE92CDE"/>
    <w:multiLevelType w:val="hybridMultilevel"/>
    <w:tmpl w:val="294E0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1539C0"/>
    <w:multiLevelType w:val="hybridMultilevel"/>
    <w:tmpl w:val="675E0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8E502C"/>
    <w:multiLevelType w:val="hybridMultilevel"/>
    <w:tmpl w:val="C2165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216449"/>
    <w:multiLevelType w:val="hybridMultilevel"/>
    <w:tmpl w:val="60E244E0"/>
    <w:lvl w:ilvl="0" w:tplc="BB925A6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D8113DE"/>
    <w:multiLevelType w:val="multilevel"/>
    <w:tmpl w:val="ADB20C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10322B2"/>
    <w:multiLevelType w:val="multilevel"/>
    <w:tmpl w:val="9F88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290D83"/>
    <w:multiLevelType w:val="hybridMultilevel"/>
    <w:tmpl w:val="D1E4BA92"/>
    <w:lvl w:ilvl="0" w:tplc="E9807BE6">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BC6F29"/>
    <w:multiLevelType w:val="multilevel"/>
    <w:tmpl w:val="08C27CD8"/>
    <w:numStyleLink w:val="Headings"/>
  </w:abstractNum>
  <w:abstractNum w:abstractNumId="20" w15:restartNumberingAfterBreak="0">
    <w:nsid w:val="7F983756"/>
    <w:multiLevelType w:val="multilevel"/>
    <w:tmpl w:val="F300CEF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20148494">
    <w:abstractNumId w:val="0"/>
  </w:num>
  <w:num w:numId="2" w16cid:durableId="1175342395">
    <w:abstractNumId w:val="16"/>
  </w:num>
  <w:num w:numId="3" w16cid:durableId="1144352800">
    <w:abstractNumId w:val="1"/>
  </w:num>
  <w:num w:numId="4" w16cid:durableId="769737119">
    <w:abstractNumId w:val="18"/>
  </w:num>
  <w:num w:numId="5" w16cid:durableId="17016633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534203">
    <w:abstractNumId w:val="12"/>
  </w:num>
  <w:num w:numId="7" w16cid:durableId="773479634">
    <w:abstractNumId w:val="10"/>
  </w:num>
  <w:num w:numId="8" w16cid:durableId="2072000685">
    <w:abstractNumId w:val="8"/>
  </w:num>
  <w:num w:numId="9" w16cid:durableId="1213807494">
    <w:abstractNumId w:val="11"/>
  </w:num>
  <w:num w:numId="10" w16cid:durableId="308825289">
    <w:abstractNumId w:val="9"/>
  </w:num>
  <w:num w:numId="11" w16cid:durableId="372848954">
    <w:abstractNumId w:val="3"/>
  </w:num>
  <w:num w:numId="12" w16cid:durableId="213006365">
    <w:abstractNumId w:val="20"/>
  </w:num>
  <w:num w:numId="13" w16cid:durableId="1411196366">
    <w:abstractNumId w:val="14"/>
  </w:num>
  <w:num w:numId="14" w16cid:durableId="944966812">
    <w:abstractNumId w:val="5"/>
  </w:num>
  <w:num w:numId="15" w16cid:durableId="1662200756">
    <w:abstractNumId w:val="13"/>
  </w:num>
  <w:num w:numId="16" w16cid:durableId="2141485750">
    <w:abstractNumId w:val="17"/>
  </w:num>
  <w:num w:numId="17" w16cid:durableId="2002923295">
    <w:abstractNumId w:val="4"/>
    <w:lvlOverride w:ilvl="0">
      <w:lvl w:ilvl="0">
        <w:start w:val="1"/>
        <w:numFmt w:val="decimal"/>
        <w:pStyle w:val="Ttulo1"/>
        <w:lvlText w:val="%1"/>
        <w:lvlJc w:val="left"/>
        <w:pPr>
          <w:tabs>
            <w:tab w:val="num" w:pos="567"/>
          </w:tabs>
          <w:ind w:left="567" w:hanging="567"/>
        </w:pPr>
        <w:rPr>
          <w:rFonts w:hint="default"/>
          <w:b/>
          <w:bCs/>
        </w:rPr>
      </w:lvl>
    </w:lvlOverride>
    <w:lvlOverride w:ilvl="1">
      <w:lvl w:ilvl="1">
        <w:start w:val="1"/>
        <w:numFmt w:val="decimal"/>
        <w:pStyle w:val="Ttulo2"/>
        <w:lvlText w:val="%1.%2"/>
        <w:lvlJc w:val="left"/>
        <w:pPr>
          <w:tabs>
            <w:tab w:val="num" w:pos="567"/>
          </w:tabs>
          <w:ind w:left="567" w:hanging="567"/>
        </w:pPr>
        <w:rPr>
          <w:rFonts w:hint="default"/>
        </w:rPr>
      </w:lvl>
    </w:lvlOverride>
  </w:num>
  <w:num w:numId="18" w16cid:durableId="13005275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14516991">
    <w:abstractNumId w:val="7"/>
  </w:num>
  <w:num w:numId="20" w16cid:durableId="58940097">
    <w:abstractNumId w:val="19"/>
  </w:num>
  <w:num w:numId="21" w16cid:durableId="490292411">
    <w:abstractNumId w:val="4"/>
  </w:num>
  <w:num w:numId="22" w16cid:durableId="1120419941">
    <w:abstractNumId w:val="4"/>
    <w:lvlOverride w:ilvl="0">
      <w:startOverride w:val="1"/>
      <w:lvl w:ilvl="0">
        <w:start w:val="1"/>
        <w:numFmt w:val="decimal"/>
        <w:pStyle w:val="Ttulo1"/>
        <w:lvlText w:val="%1"/>
        <w:lvlJc w:val="left"/>
        <w:pPr>
          <w:tabs>
            <w:tab w:val="num" w:pos="567"/>
          </w:tabs>
          <w:ind w:left="567" w:hanging="567"/>
        </w:pPr>
      </w:lvl>
    </w:lvlOverride>
    <w:lvlOverride w:ilvl="1">
      <w:startOverride w:val="1"/>
      <w:lvl w:ilvl="1">
        <w:start w:val="1"/>
        <w:numFmt w:val="decimal"/>
        <w:pStyle w:val="Ttulo2"/>
        <w:lvlText w:val="%1.%2"/>
        <w:lvlJc w:val="left"/>
        <w:pPr>
          <w:tabs>
            <w:tab w:val="num" w:pos="567"/>
          </w:tabs>
          <w:ind w:left="567" w:hanging="567"/>
        </w:pPr>
      </w:lvl>
    </w:lvlOverride>
    <w:lvlOverride w:ilvl="2">
      <w:startOverride w:val="1"/>
      <w:lvl w:ilvl="2">
        <w:start w:val="1"/>
        <w:numFmt w:val="decimal"/>
        <w:pStyle w:val="Ttulo3"/>
        <w:lvlText w:val=""/>
        <w:lvlJc w:val="left"/>
      </w:lvl>
    </w:lvlOverride>
    <w:lvlOverride w:ilvl="3">
      <w:startOverride w:val="1"/>
      <w:lvl w:ilvl="3">
        <w:start w:val="1"/>
        <w:numFmt w:val="decimal"/>
        <w:pStyle w:val="Ttulo4"/>
        <w:lvlText w:val=""/>
        <w:lvlJc w:val="left"/>
      </w:lvl>
    </w:lvlOverride>
    <w:lvlOverride w:ilvl="4">
      <w:startOverride w:val="1"/>
      <w:lvl w:ilvl="4">
        <w:start w:val="1"/>
        <w:numFmt w:val="decimal"/>
        <w:pStyle w:val="Ttulo5"/>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3" w16cid:durableId="1687823813">
    <w:abstractNumId w:val="4"/>
    <w:lvlOverride w:ilvl="0">
      <w:lvl w:ilvl="0">
        <w:start w:val="1"/>
        <w:numFmt w:val="decimal"/>
        <w:pStyle w:val="Ttulo1"/>
        <w:lvlText w:val="%1"/>
        <w:lvlJc w:val="left"/>
        <w:pPr>
          <w:tabs>
            <w:tab w:val="num" w:pos="567"/>
          </w:tabs>
          <w:ind w:left="567" w:hanging="567"/>
        </w:pPr>
        <w:rPr>
          <w:rFonts w:hint="default"/>
        </w:rPr>
      </w:lvl>
    </w:lvlOverride>
    <w:lvlOverride w:ilvl="1">
      <w:lvl w:ilvl="1">
        <w:start w:val="1"/>
        <w:numFmt w:val="decimal"/>
        <w:pStyle w:val="Ttulo2"/>
        <w:lvlText w:val="%1.%2"/>
        <w:lvlJc w:val="left"/>
        <w:pPr>
          <w:tabs>
            <w:tab w:val="num" w:pos="567"/>
          </w:tabs>
          <w:ind w:left="567" w:hanging="567"/>
        </w:pPr>
        <w:rPr>
          <w:rFonts w:hint="default"/>
        </w:rPr>
      </w:lvl>
    </w:lvlOverride>
  </w:num>
  <w:num w:numId="24" w16cid:durableId="310332623">
    <w:abstractNumId w:val="4"/>
    <w:lvlOverride w:ilvl="0">
      <w:lvl w:ilvl="0">
        <w:start w:val="1"/>
        <w:numFmt w:val="decimal"/>
        <w:pStyle w:val="Ttulo1"/>
        <w:lvlText w:val="%1"/>
        <w:lvlJc w:val="left"/>
        <w:pPr>
          <w:tabs>
            <w:tab w:val="num" w:pos="567"/>
          </w:tabs>
          <w:ind w:left="567" w:hanging="567"/>
        </w:pPr>
        <w:rPr>
          <w:rFonts w:hint="default"/>
        </w:rPr>
      </w:lvl>
    </w:lvlOverride>
    <w:lvlOverride w:ilvl="1">
      <w:lvl w:ilvl="1">
        <w:start w:val="1"/>
        <w:numFmt w:val="decimal"/>
        <w:pStyle w:val="Ttulo2"/>
        <w:lvlText w:val="%1.%2"/>
        <w:lvlJc w:val="left"/>
        <w:pPr>
          <w:tabs>
            <w:tab w:val="num" w:pos="567"/>
          </w:tabs>
          <w:ind w:left="567" w:hanging="567"/>
        </w:pPr>
        <w:rPr>
          <w:rFonts w:hint="default"/>
        </w:rPr>
      </w:lvl>
    </w:lvlOverride>
  </w:num>
  <w:num w:numId="25" w16cid:durableId="520125972">
    <w:abstractNumId w:val="4"/>
    <w:lvlOverride w:ilvl="0">
      <w:lvl w:ilvl="0">
        <w:start w:val="1"/>
        <w:numFmt w:val="decimal"/>
        <w:pStyle w:val="Ttulo1"/>
        <w:lvlText w:val="%1"/>
        <w:lvlJc w:val="left"/>
        <w:pPr>
          <w:tabs>
            <w:tab w:val="num" w:pos="567"/>
          </w:tabs>
          <w:ind w:left="567" w:hanging="567"/>
        </w:pPr>
        <w:rPr>
          <w:rFonts w:hint="default"/>
        </w:rPr>
      </w:lvl>
    </w:lvlOverride>
    <w:lvlOverride w:ilvl="1">
      <w:lvl w:ilvl="1">
        <w:start w:val="1"/>
        <w:numFmt w:val="decimal"/>
        <w:pStyle w:val="Ttulo2"/>
        <w:lvlText w:val="%1.%2"/>
        <w:lvlJc w:val="left"/>
        <w:pPr>
          <w:tabs>
            <w:tab w:val="num" w:pos="567"/>
          </w:tabs>
          <w:ind w:left="567" w:hanging="567"/>
        </w:pPr>
        <w:rPr>
          <w:rFonts w:hint="default"/>
        </w:rPr>
      </w:lvl>
    </w:lvlOverride>
  </w:num>
  <w:num w:numId="26" w16cid:durableId="1171068299">
    <w:abstractNumId w:val="4"/>
    <w:lvlOverride w:ilvl="0">
      <w:lvl w:ilvl="0">
        <w:start w:val="1"/>
        <w:numFmt w:val="decimal"/>
        <w:pStyle w:val="Ttulo1"/>
        <w:lvlText w:val="%1"/>
        <w:lvlJc w:val="left"/>
        <w:pPr>
          <w:tabs>
            <w:tab w:val="num" w:pos="567"/>
          </w:tabs>
          <w:ind w:left="567" w:hanging="567"/>
        </w:pPr>
        <w:rPr>
          <w:rFonts w:hint="default"/>
        </w:rPr>
      </w:lvl>
    </w:lvlOverride>
    <w:lvlOverride w:ilvl="1">
      <w:lvl w:ilvl="1">
        <w:start w:val="1"/>
        <w:numFmt w:val="decimal"/>
        <w:pStyle w:val="Ttulo2"/>
        <w:lvlText w:val="%1.%2"/>
        <w:lvlJc w:val="left"/>
        <w:pPr>
          <w:tabs>
            <w:tab w:val="num" w:pos="567"/>
          </w:tabs>
          <w:ind w:left="567" w:hanging="567"/>
        </w:pPr>
        <w:rPr>
          <w:rFonts w:hint="default"/>
        </w:rPr>
      </w:lvl>
    </w:lvlOverride>
  </w:num>
  <w:num w:numId="27" w16cid:durableId="1734348694">
    <w:abstractNumId w:val="4"/>
    <w:lvlOverride w:ilvl="0">
      <w:lvl w:ilvl="0">
        <w:start w:val="1"/>
        <w:numFmt w:val="decimal"/>
        <w:pStyle w:val="Ttulo1"/>
        <w:lvlText w:val="%1"/>
        <w:lvlJc w:val="left"/>
        <w:pPr>
          <w:tabs>
            <w:tab w:val="num" w:pos="567"/>
          </w:tabs>
          <w:ind w:left="567" w:hanging="567"/>
        </w:pPr>
        <w:rPr>
          <w:rFonts w:hint="default"/>
        </w:rPr>
      </w:lvl>
    </w:lvlOverride>
    <w:lvlOverride w:ilvl="1">
      <w:lvl w:ilvl="1">
        <w:start w:val="1"/>
        <w:numFmt w:val="decimal"/>
        <w:pStyle w:val="Ttulo2"/>
        <w:lvlText w:val="%1.%2"/>
        <w:lvlJc w:val="left"/>
        <w:pPr>
          <w:tabs>
            <w:tab w:val="num" w:pos="567"/>
          </w:tabs>
          <w:ind w:left="567" w:hanging="567"/>
        </w:pPr>
        <w:rPr>
          <w:rFonts w:hint="default"/>
        </w:rPr>
      </w:lvl>
    </w:lvlOverride>
  </w:num>
  <w:num w:numId="28" w16cid:durableId="214512037">
    <w:abstractNumId w:val="2"/>
  </w:num>
  <w:num w:numId="29" w16cid:durableId="1781290319">
    <w:abstractNumId w:val="4"/>
    <w:lvlOverride w:ilvl="0">
      <w:lvl w:ilvl="0">
        <w:start w:val="1"/>
        <w:numFmt w:val="decimal"/>
        <w:pStyle w:val="Ttulo1"/>
        <w:lvlText w:val="%1"/>
        <w:lvlJc w:val="left"/>
        <w:pPr>
          <w:tabs>
            <w:tab w:val="num" w:pos="567"/>
          </w:tabs>
          <w:ind w:left="567" w:hanging="567"/>
        </w:pPr>
        <w:rPr>
          <w:rFonts w:hint="default"/>
        </w:rPr>
      </w:lvl>
    </w:lvlOverride>
    <w:lvlOverride w:ilvl="1">
      <w:lvl w:ilvl="1">
        <w:start w:val="1"/>
        <w:numFmt w:val="decimal"/>
        <w:pStyle w:val="Ttulo2"/>
        <w:lvlText w:val="%1.%2"/>
        <w:lvlJc w:val="left"/>
        <w:pPr>
          <w:tabs>
            <w:tab w:val="num" w:pos="567"/>
          </w:tabs>
          <w:ind w:left="567" w:hanging="567"/>
        </w:pPr>
        <w:rPr>
          <w:rFonts w:hint="default"/>
        </w:rPr>
      </w:lvl>
    </w:lvlOverride>
  </w:num>
  <w:num w:numId="30" w16cid:durableId="598174426">
    <w:abstractNumId w:val="4"/>
    <w:lvlOverride w:ilvl="0">
      <w:lvl w:ilvl="0">
        <w:start w:val="1"/>
        <w:numFmt w:val="decimal"/>
        <w:pStyle w:val="Ttulo1"/>
        <w:lvlText w:val="%1"/>
        <w:lvlJc w:val="left"/>
        <w:pPr>
          <w:tabs>
            <w:tab w:val="num" w:pos="567"/>
          </w:tabs>
          <w:ind w:left="567" w:hanging="567"/>
        </w:pPr>
        <w:rPr>
          <w:rFonts w:hint="default"/>
        </w:rPr>
      </w:lvl>
    </w:lvlOverride>
    <w:lvlOverride w:ilvl="1">
      <w:lvl w:ilvl="1">
        <w:start w:val="1"/>
        <w:numFmt w:val="decimal"/>
        <w:pStyle w:val="Ttulo2"/>
        <w:lvlText w:val="%1.%2"/>
        <w:lvlJc w:val="left"/>
        <w:pPr>
          <w:tabs>
            <w:tab w:val="num" w:pos="567"/>
          </w:tabs>
          <w:ind w:left="567" w:hanging="567"/>
        </w:pPr>
        <w:rPr>
          <w:rFonts w:hint="default"/>
        </w:rPr>
      </w:lvl>
    </w:lvlOverride>
  </w:num>
  <w:num w:numId="31" w16cid:durableId="1247303538">
    <w:abstractNumId w:val="15"/>
  </w:num>
  <w:num w:numId="32" w16cid:durableId="1667006010">
    <w:abstractNumId w:val="4"/>
    <w:lvlOverride w:ilvl="0">
      <w:lvl w:ilvl="0">
        <w:start w:val="1"/>
        <w:numFmt w:val="decimal"/>
        <w:pStyle w:val="Ttulo1"/>
        <w:lvlText w:val="%1"/>
        <w:lvlJc w:val="left"/>
        <w:pPr>
          <w:tabs>
            <w:tab w:val="num" w:pos="567"/>
          </w:tabs>
          <w:ind w:left="567" w:hanging="567"/>
        </w:pPr>
        <w:rPr>
          <w:rFonts w:hint="default"/>
        </w:rPr>
      </w:lvl>
    </w:lvlOverride>
    <w:lvlOverride w:ilvl="1">
      <w:lvl w:ilvl="1">
        <w:start w:val="1"/>
        <w:numFmt w:val="decimal"/>
        <w:pStyle w:val="Ttulo2"/>
        <w:lvlText w:val="%1.%2"/>
        <w:lvlJc w:val="left"/>
        <w:pPr>
          <w:tabs>
            <w:tab w:val="num" w:pos="567"/>
          </w:tabs>
          <w:ind w:left="567" w:hanging="567"/>
        </w:pPr>
        <w:rPr>
          <w:rFonts w:hint="default"/>
        </w:rPr>
      </w:lvl>
    </w:lvlOverride>
  </w:num>
  <w:num w:numId="33" w16cid:durableId="1083840218">
    <w:abstractNumId w:val="4"/>
    <w:lvlOverride w:ilvl="0">
      <w:lvl w:ilvl="0">
        <w:start w:val="1"/>
        <w:numFmt w:val="decimal"/>
        <w:pStyle w:val="Ttulo1"/>
        <w:lvlText w:val="%1"/>
        <w:lvlJc w:val="left"/>
        <w:pPr>
          <w:tabs>
            <w:tab w:val="num" w:pos="567"/>
          </w:tabs>
          <w:ind w:left="567" w:hanging="567"/>
        </w:pPr>
        <w:rPr>
          <w:rFonts w:hint="default"/>
        </w:rPr>
      </w:lvl>
    </w:lvlOverride>
    <w:lvlOverride w:ilvl="1">
      <w:lvl w:ilvl="1">
        <w:start w:val="1"/>
        <w:numFmt w:val="decimal"/>
        <w:pStyle w:val="Ttulo2"/>
        <w:lvlText w:val="%1.%2"/>
        <w:lvlJc w:val="left"/>
        <w:pPr>
          <w:tabs>
            <w:tab w:val="num" w:pos="567"/>
          </w:tabs>
          <w:ind w:left="567" w:hanging="567"/>
        </w:pPr>
        <w:rPr>
          <w:rFonts w:hint="default"/>
        </w:rPr>
      </w:lvl>
    </w:lvlOverride>
  </w:num>
  <w:num w:numId="34" w16cid:durableId="634602969">
    <w:abstractNumId w:val="4"/>
    <w:lvlOverride w:ilvl="0">
      <w:lvl w:ilvl="0">
        <w:start w:val="1"/>
        <w:numFmt w:val="decimal"/>
        <w:pStyle w:val="Ttulo1"/>
        <w:lvlText w:val="%1"/>
        <w:lvlJc w:val="left"/>
        <w:pPr>
          <w:tabs>
            <w:tab w:val="num" w:pos="567"/>
          </w:tabs>
          <w:ind w:left="567" w:hanging="567"/>
        </w:pPr>
        <w:rPr>
          <w:rFonts w:hint="default"/>
        </w:rPr>
      </w:lvl>
    </w:lvlOverride>
    <w:lvlOverride w:ilvl="1">
      <w:lvl w:ilvl="1">
        <w:start w:val="1"/>
        <w:numFmt w:val="decimal"/>
        <w:pStyle w:val="Ttulo2"/>
        <w:lvlText w:val="%1.%2"/>
        <w:lvlJc w:val="left"/>
        <w:pPr>
          <w:tabs>
            <w:tab w:val="num" w:pos="567"/>
          </w:tabs>
          <w:ind w:left="567" w:hanging="567"/>
        </w:pPr>
        <w:rPr>
          <w:rFonts w:hint="default"/>
        </w:rPr>
      </w:lvl>
    </w:lvlOverride>
  </w:num>
  <w:num w:numId="35" w16cid:durableId="88042825">
    <w:abstractNumId w:val="4"/>
    <w:lvlOverride w:ilvl="0">
      <w:lvl w:ilvl="0">
        <w:start w:val="1"/>
        <w:numFmt w:val="decimal"/>
        <w:pStyle w:val="Ttulo1"/>
        <w:lvlText w:val="%1"/>
        <w:lvlJc w:val="left"/>
        <w:pPr>
          <w:tabs>
            <w:tab w:val="num" w:pos="567"/>
          </w:tabs>
          <w:ind w:left="567" w:hanging="567"/>
        </w:pPr>
        <w:rPr>
          <w:rFonts w:hint="default"/>
        </w:rPr>
      </w:lvl>
    </w:lvlOverride>
    <w:lvlOverride w:ilvl="1">
      <w:lvl w:ilvl="1">
        <w:start w:val="1"/>
        <w:numFmt w:val="decimal"/>
        <w:pStyle w:val="Ttulo2"/>
        <w:lvlText w:val="%1.%2"/>
        <w:lvlJc w:val="left"/>
        <w:pPr>
          <w:tabs>
            <w:tab w:val="num" w:pos="567"/>
          </w:tabs>
          <w:ind w:left="567" w:hanging="567"/>
        </w:pPr>
        <w:rPr>
          <w:rFonts w:hint="default"/>
        </w:rPr>
      </w:lvl>
    </w:lvlOverride>
  </w:num>
  <w:num w:numId="36" w16cid:durableId="992297484">
    <w:abstractNumId w:val="4"/>
    <w:lvlOverride w:ilvl="0">
      <w:lvl w:ilvl="0">
        <w:start w:val="1"/>
        <w:numFmt w:val="decimal"/>
        <w:pStyle w:val="Ttulo1"/>
        <w:lvlText w:val="%1"/>
        <w:lvlJc w:val="left"/>
        <w:pPr>
          <w:tabs>
            <w:tab w:val="num" w:pos="567"/>
          </w:tabs>
          <w:ind w:left="567" w:hanging="567"/>
        </w:pPr>
        <w:rPr>
          <w:rFonts w:hint="default"/>
        </w:rPr>
      </w:lvl>
    </w:lvlOverride>
    <w:lvlOverride w:ilvl="1">
      <w:lvl w:ilvl="1">
        <w:start w:val="1"/>
        <w:numFmt w:val="decimal"/>
        <w:pStyle w:val="Ttulo2"/>
        <w:lvlText w:val="%1.%2"/>
        <w:lvlJc w:val="left"/>
        <w:pPr>
          <w:tabs>
            <w:tab w:val="num" w:pos="567"/>
          </w:tabs>
          <w:ind w:left="567" w:hanging="567"/>
        </w:pPr>
        <w:rPr>
          <w:rFonts w:hint="default"/>
        </w:rPr>
      </w:lvl>
    </w:lvlOverride>
  </w:num>
  <w:num w:numId="37" w16cid:durableId="1754084539">
    <w:abstractNumId w:val="6"/>
  </w:num>
  <w:num w:numId="38" w16cid:durableId="792408319">
    <w:abstractNumId w:val="4"/>
    <w:lvlOverride w:ilvl="0">
      <w:startOverride w:val="13"/>
      <w:lvl w:ilvl="0">
        <w:start w:val="13"/>
        <w:numFmt w:val="decimal"/>
        <w:pStyle w:val="Ttulo1"/>
        <w:lvlText w:val="%1"/>
        <w:lvlJc w:val="left"/>
        <w:pPr>
          <w:tabs>
            <w:tab w:val="num" w:pos="567"/>
          </w:tabs>
          <w:ind w:left="567" w:hanging="567"/>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attachedTemplate r:id="rId1"/>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20"/>
    <w:rsid w:val="000001BE"/>
    <w:rsid w:val="00001B01"/>
    <w:rsid w:val="00015D7B"/>
    <w:rsid w:val="0002273A"/>
    <w:rsid w:val="00034304"/>
    <w:rsid w:val="00035434"/>
    <w:rsid w:val="00045678"/>
    <w:rsid w:val="000458E4"/>
    <w:rsid w:val="00063D84"/>
    <w:rsid w:val="0006636D"/>
    <w:rsid w:val="00077D53"/>
    <w:rsid w:val="00081394"/>
    <w:rsid w:val="000B2E2A"/>
    <w:rsid w:val="000B34BD"/>
    <w:rsid w:val="000B7B0F"/>
    <w:rsid w:val="000C7E2A"/>
    <w:rsid w:val="000D1217"/>
    <w:rsid w:val="000F4CFB"/>
    <w:rsid w:val="000F7440"/>
    <w:rsid w:val="0011502D"/>
    <w:rsid w:val="00117666"/>
    <w:rsid w:val="001223A7"/>
    <w:rsid w:val="00134256"/>
    <w:rsid w:val="00147395"/>
    <w:rsid w:val="00152161"/>
    <w:rsid w:val="001552C9"/>
    <w:rsid w:val="001635B9"/>
    <w:rsid w:val="00171530"/>
    <w:rsid w:val="00177D84"/>
    <w:rsid w:val="001964EF"/>
    <w:rsid w:val="001B1A2C"/>
    <w:rsid w:val="001B4815"/>
    <w:rsid w:val="001D5C23"/>
    <w:rsid w:val="001E4F08"/>
    <w:rsid w:val="001F4C07"/>
    <w:rsid w:val="00206322"/>
    <w:rsid w:val="00211FDD"/>
    <w:rsid w:val="00217BA1"/>
    <w:rsid w:val="00220AEA"/>
    <w:rsid w:val="00226954"/>
    <w:rsid w:val="00233D4F"/>
    <w:rsid w:val="002368CB"/>
    <w:rsid w:val="00236C1B"/>
    <w:rsid w:val="002629A3"/>
    <w:rsid w:val="00265660"/>
    <w:rsid w:val="002677A0"/>
    <w:rsid w:val="00267D18"/>
    <w:rsid w:val="002868E2"/>
    <w:rsid w:val="002869C3"/>
    <w:rsid w:val="002936E4"/>
    <w:rsid w:val="00296B88"/>
    <w:rsid w:val="002A08E0"/>
    <w:rsid w:val="002A260D"/>
    <w:rsid w:val="002C0117"/>
    <w:rsid w:val="002C74CA"/>
    <w:rsid w:val="002F40D0"/>
    <w:rsid w:val="002F744D"/>
    <w:rsid w:val="00303DE6"/>
    <w:rsid w:val="00307583"/>
    <w:rsid w:val="00310124"/>
    <w:rsid w:val="00322306"/>
    <w:rsid w:val="00326C3A"/>
    <w:rsid w:val="003328BF"/>
    <w:rsid w:val="00336C4C"/>
    <w:rsid w:val="00340BA9"/>
    <w:rsid w:val="003544FB"/>
    <w:rsid w:val="00365D63"/>
    <w:rsid w:val="00365DDF"/>
    <w:rsid w:val="0036793B"/>
    <w:rsid w:val="00372682"/>
    <w:rsid w:val="00374F44"/>
    <w:rsid w:val="00376CC5"/>
    <w:rsid w:val="0039693B"/>
    <w:rsid w:val="003A1E8D"/>
    <w:rsid w:val="003A74FC"/>
    <w:rsid w:val="003A75AA"/>
    <w:rsid w:val="003B3C40"/>
    <w:rsid w:val="003D2F2D"/>
    <w:rsid w:val="00401590"/>
    <w:rsid w:val="004122E9"/>
    <w:rsid w:val="0044065E"/>
    <w:rsid w:val="00446E4C"/>
    <w:rsid w:val="004504B0"/>
    <w:rsid w:val="00463E3D"/>
    <w:rsid w:val="004645AE"/>
    <w:rsid w:val="004853BF"/>
    <w:rsid w:val="0049068C"/>
    <w:rsid w:val="004A15D0"/>
    <w:rsid w:val="004C039C"/>
    <w:rsid w:val="004C2A6F"/>
    <w:rsid w:val="004D3E33"/>
    <w:rsid w:val="00510770"/>
    <w:rsid w:val="00513A65"/>
    <w:rsid w:val="0052252B"/>
    <w:rsid w:val="005250F2"/>
    <w:rsid w:val="00551A66"/>
    <w:rsid w:val="00561085"/>
    <w:rsid w:val="00571E99"/>
    <w:rsid w:val="005A1D84"/>
    <w:rsid w:val="005A70EA"/>
    <w:rsid w:val="005C1088"/>
    <w:rsid w:val="005C2E82"/>
    <w:rsid w:val="005C3963"/>
    <w:rsid w:val="005C6FC9"/>
    <w:rsid w:val="005D1840"/>
    <w:rsid w:val="005D35E4"/>
    <w:rsid w:val="005D65C5"/>
    <w:rsid w:val="005D7910"/>
    <w:rsid w:val="005E7BB2"/>
    <w:rsid w:val="005F51B0"/>
    <w:rsid w:val="00614C68"/>
    <w:rsid w:val="0061650F"/>
    <w:rsid w:val="006208AC"/>
    <w:rsid w:val="0062154F"/>
    <w:rsid w:val="00626026"/>
    <w:rsid w:val="00630601"/>
    <w:rsid w:val="00631A8C"/>
    <w:rsid w:val="00642F32"/>
    <w:rsid w:val="00651CA2"/>
    <w:rsid w:val="00653D60"/>
    <w:rsid w:val="00660D05"/>
    <w:rsid w:val="00671D9A"/>
    <w:rsid w:val="00673952"/>
    <w:rsid w:val="006851B9"/>
    <w:rsid w:val="00686C9D"/>
    <w:rsid w:val="006873C3"/>
    <w:rsid w:val="006B10EC"/>
    <w:rsid w:val="006B2D5B"/>
    <w:rsid w:val="006B6C6C"/>
    <w:rsid w:val="006B7D14"/>
    <w:rsid w:val="006C186D"/>
    <w:rsid w:val="006D5B93"/>
    <w:rsid w:val="006D6103"/>
    <w:rsid w:val="006E1832"/>
    <w:rsid w:val="006E18DE"/>
    <w:rsid w:val="006E54C5"/>
    <w:rsid w:val="00711B4B"/>
    <w:rsid w:val="00725A7D"/>
    <w:rsid w:val="00727093"/>
    <w:rsid w:val="007279C7"/>
    <w:rsid w:val="0073085C"/>
    <w:rsid w:val="007370C3"/>
    <w:rsid w:val="00746505"/>
    <w:rsid w:val="00752FD1"/>
    <w:rsid w:val="00763B8A"/>
    <w:rsid w:val="0076499B"/>
    <w:rsid w:val="00773E29"/>
    <w:rsid w:val="00790957"/>
    <w:rsid w:val="00790BB3"/>
    <w:rsid w:val="00792043"/>
    <w:rsid w:val="00797EDD"/>
    <w:rsid w:val="007B0322"/>
    <w:rsid w:val="007B3DCD"/>
    <w:rsid w:val="007C0E3F"/>
    <w:rsid w:val="007C206C"/>
    <w:rsid w:val="007C5729"/>
    <w:rsid w:val="007D78B2"/>
    <w:rsid w:val="007E1EE6"/>
    <w:rsid w:val="007E5BCC"/>
    <w:rsid w:val="007F100A"/>
    <w:rsid w:val="00800E53"/>
    <w:rsid w:val="008111E4"/>
    <w:rsid w:val="0081301C"/>
    <w:rsid w:val="00817DD6"/>
    <w:rsid w:val="00821C4A"/>
    <w:rsid w:val="00826661"/>
    <w:rsid w:val="00842094"/>
    <w:rsid w:val="008629A9"/>
    <w:rsid w:val="0088322C"/>
    <w:rsid w:val="0088513A"/>
    <w:rsid w:val="00893C19"/>
    <w:rsid w:val="00895308"/>
    <w:rsid w:val="008A0240"/>
    <w:rsid w:val="008B3A4F"/>
    <w:rsid w:val="008D6C8D"/>
    <w:rsid w:val="008E2B54"/>
    <w:rsid w:val="008E4404"/>
    <w:rsid w:val="008E58C7"/>
    <w:rsid w:val="008F5021"/>
    <w:rsid w:val="00900BE1"/>
    <w:rsid w:val="009017E9"/>
    <w:rsid w:val="00927DFE"/>
    <w:rsid w:val="00943573"/>
    <w:rsid w:val="009454F7"/>
    <w:rsid w:val="00962EF4"/>
    <w:rsid w:val="00971B61"/>
    <w:rsid w:val="00973989"/>
    <w:rsid w:val="0097502E"/>
    <w:rsid w:val="00980C31"/>
    <w:rsid w:val="009955FF"/>
    <w:rsid w:val="009B2942"/>
    <w:rsid w:val="009C2860"/>
    <w:rsid w:val="009D259D"/>
    <w:rsid w:val="009F69C9"/>
    <w:rsid w:val="00A00487"/>
    <w:rsid w:val="00A30809"/>
    <w:rsid w:val="00A353B4"/>
    <w:rsid w:val="00A36AFF"/>
    <w:rsid w:val="00A4575E"/>
    <w:rsid w:val="00A50D9D"/>
    <w:rsid w:val="00A53000"/>
    <w:rsid w:val="00A545C6"/>
    <w:rsid w:val="00A55FFF"/>
    <w:rsid w:val="00A67364"/>
    <w:rsid w:val="00A7371A"/>
    <w:rsid w:val="00A74078"/>
    <w:rsid w:val="00A75F87"/>
    <w:rsid w:val="00A850A2"/>
    <w:rsid w:val="00A93702"/>
    <w:rsid w:val="00A95D8B"/>
    <w:rsid w:val="00AB0057"/>
    <w:rsid w:val="00AC0270"/>
    <w:rsid w:val="00AC3EA3"/>
    <w:rsid w:val="00AC792D"/>
    <w:rsid w:val="00B21BDD"/>
    <w:rsid w:val="00B22AA3"/>
    <w:rsid w:val="00B2557D"/>
    <w:rsid w:val="00B53EAE"/>
    <w:rsid w:val="00B632C6"/>
    <w:rsid w:val="00B657B8"/>
    <w:rsid w:val="00B84920"/>
    <w:rsid w:val="00B8556A"/>
    <w:rsid w:val="00B92A34"/>
    <w:rsid w:val="00B96056"/>
    <w:rsid w:val="00BB2F4A"/>
    <w:rsid w:val="00BB41CE"/>
    <w:rsid w:val="00BB6949"/>
    <w:rsid w:val="00BD607A"/>
    <w:rsid w:val="00BD7709"/>
    <w:rsid w:val="00BE3E44"/>
    <w:rsid w:val="00BF23C9"/>
    <w:rsid w:val="00C012A3"/>
    <w:rsid w:val="00C16F19"/>
    <w:rsid w:val="00C30EB1"/>
    <w:rsid w:val="00C356C2"/>
    <w:rsid w:val="00C52A7B"/>
    <w:rsid w:val="00C5783A"/>
    <w:rsid w:val="00C6324C"/>
    <w:rsid w:val="00C679AA"/>
    <w:rsid w:val="00C724CF"/>
    <w:rsid w:val="00C74C80"/>
    <w:rsid w:val="00C75972"/>
    <w:rsid w:val="00C82792"/>
    <w:rsid w:val="00C86C13"/>
    <w:rsid w:val="00C87D65"/>
    <w:rsid w:val="00C948FD"/>
    <w:rsid w:val="00CA5421"/>
    <w:rsid w:val="00CB2220"/>
    <w:rsid w:val="00CB43D5"/>
    <w:rsid w:val="00CC76F9"/>
    <w:rsid w:val="00CD05AC"/>
    <w:rsid w:val="00CD066B"/>
    <w:rsid w:val="00CD3ECE"/>
    <w:rsid w:val="00CD46E2"/>
    <w:rsid w:val="00D0097C"/>
    <w:rsid w:val="00D00D0B"/>
    <w:rsid w:val="00D04B69"/>
    <w:rsid w:val="00D17FBC"/>
    <w:rsid w:val="00D40420"/>
    <w:rsid w:val="00D40857"/>
    <w:rsid w:val="00D537FA"/>
    <w:rsid w:val="00D67348"/>
    <w:rsid w:val="00D733AD"/>
    <w:rsid w:val="00D80D99"/>
    <w:rsid w:val="00D9503C"/>
    <w:rsid w:val="00DC0ABF"/>
    <w:rsid w:val="00DD73EF"/>
    <w:rsid w:val="00DE23E8"/>
    <w:rsid w:val="00DE5310"/>
    <w:rsid w:val="00DF187F"/>
    <w:rsid w:val="00DF2FE4"/>
    <w:rsid w:val="00E00FEC"/>
    <w:rsid w:val="00E0128B"/>
    <w:rsid w:val="00E11C78"/>
    <w:rsid w:val="00E24209"/>
    <w:rsid w:val="00E50A06"/>
    <w:rsid w:val="00E61165"/>
    <w:rsid w:val="00E64E17"/>
    <w:rsid w:val="00E81D52"/>
    <w:rsid w:val="00E82E1B"/>
    <w:rsid w:val="00E852EA"/>
    <w:rsid w:val="00E96E5C"/>
    <w:rsid w:val="00EA3D3C"/>
    <w:rsid w:val="00EC7CC3"/>
    <w:rsid w:val="00EE67CA"/>
    <w:rsid w:val="00F254A4"/>
    <w:rsid w:val="00F304BD"/>
    <w:rsid w:val="00F46494"/>
    <w:rsid w:val="00F558AB"/>
    <w:rsid w:val="00F61D89"/>
    <w:rsid w:val="00F76358"/>
    <w:rsid w:val="00F81D9C"/>
    <w:rsid w:val="00F86ABB"/>
    <w:rsid w:val="00F9469C"/>
    <w:rsid w:val="00F97039"/>
    <w:rsid w:val="00FB5610"/>
    <w:rsid w:val="00FD7648"/>
    <w:rsid w:val="00FE0AFB"/>
    <w:rsid w:val="00FE2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EA237"/>
  <w15:docId w15:val="{757ABA37-7D5A-42D5-8BA2-C3ABF0C36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D99"/>
    <w:pPr>
      <w:spacing w:before="120" w:after="240" w:line="240" w:lineRule="auto"/>
    </w:pPr>
    <w:rPr>
      <w:rFonts w:ascii="Times New Roman" w:hAnsi="Times New Roman"/>
      <w:sz w:val="24"/>
    </w:rPr>
  </w:style>
  <w:style w:type="paragraph" w:styleId="Ttulo1">
    <w:name w:val="heading 1"/>
    <w:basedOn w:val="Prrafodelista"/>
    <w:next w:val="Normal"/>
    <w:link w:val="Ttulo1Car"/>
    <w:uiPriority w:val="2"/>
    <w:qFormat/>
    <w:rsid w:val="00D80D99"/>
    <w:pPr>
      <w:numPr>
        <w:numId w:val="17"/>
      </w:numPr>
      <w:spacing w:before="240"/>
      <w:contextualSpacing w:val="0"/>
      <w:outlineLvl w:val="0"/>
    </w:pPr>
    <w:rPr>
      <w:b/>
    </w:rPr>
  </w:style>
  <w:style w:type="paragraph" w:styleId="Ttulo2">
    <w:name w:val="heading 2"/>
    <w:basedOn w:val="Ttulo1"/>
    <w:next w:val="Normal"/>
    <w:link w:val="Ttulo2Car"/>
    <w:uiPriority w:val="2"/>
    <w:qFormat/>
    <w:rsid w:val="00D80D99"/>
    <w:pPr>
      <w:numPr>
        <w:ilvl w:val="1"/>
      </w:numPr>
      <w:spacing w:after="200"/>
      <w:outlineLvl w:val="1"/>
    </w:pPr>
  </w:style>
  <w:style w:type="paragraph" w:styleId="Ttulo3">
    <w:name w:val="heading 3"/>
    <w:basedOn w:val="Normal"/>
    <w:next w:val="Normal"/>
    <w:link w:val="Ttulo3Car"/>
    <w:uiPriority w:val="2"/>
    <w:qFormat/>
    <w:rsid w:val="00D80D99"/>
    <w:pPr>
      <w:keepNext/>
      <w:keepLines/>
      <w:numPr>
        <w:ilvl w:val="2"/>
        <w:numId w:val="17"/>
      </w:numPr>
      <w:spacing w:before="40" w:after="120"/>
      <w:outlineLvl w:val="2"/>
    </w:pPr>
    <w:rPr>
      <w:rFonts w:eastAsiaTheme="majorEastAsia" w:cstheme="majorBidi"/>
      <w:b/>
      <w:szCs w:val="24"/>
    </w:rPr>
  </w:style>
  <w:style w:type="paragraph" w:styleId="Ttulo4">
    <w:name w:val="heading 4"/>
    <w:basedOn w:val="Ttulo3"/>
    <w:next w:val="Normal"/>
    <w:link w:val="Ttulo4Car"/>
    <w:uiPriority w:val="2"/>
    <w:qFormat/>
    <w:rsid w:val="00D80D99"/>
    <w:pPr>
      <w:numPr>
        <w:ilvl w:val="3"/>
      </w:numPr>
      <w:outlineLvl w:val="3"/>
    </w:pPr>
    <w:rPr>
      <w:iCs/>
    </w:rPr>
  </w:style>
  <w:style w:type="paragraph" w:styleId="Ttulo5">
    <w:name w:val="heading 5"/>
    <w:basedOn w:val="Ttulo4"/>
    <w:next w:val="Normal"/>
    <w:link w:val="Ttulo5Car"/>
    <w:uiPriority w:val="2"/>
    <w:qFormat/>
    <w:rsid w:val="00D80D99"/>
    <w:pPr>
      <w:numPr>
        <w:ilvl w:val="4"/>
      </w:numPr>
      <w:outlineLvl w:val="4"/>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2"/>
    <w:rsid w:val="00147395"/>
    <w:rPr>
      <w:rFonts w:ascii="Times New Roman" w:eastAsia="Cambria" w:hAnsi="Times New Roman" w:cs="Times New Roman"/>
      <w:b/>
      <w:sz w:val="24"/>
      <w:szCs w:val="24"/>
    </w:rPr>
  </w:style>
  <w:style w:type="character" w:customStyle="1" w:styleId="Ttulo2Car">
    <w:name w:val="Título 2 Car"/>
    <w:basedOn w:val="Fuentedeprrafopredeter"/>
    <w:link w:val="Ttulo2"/>
    <w:uiPriority w:val="2"/>
    <w:rsid w:val="00147395"/>
    <w:rPr>
      <w:rFonts w:ascii="Times New Roman" w:eastAsia="Cambria" w:hAnsi="Times New Roman" w:cs="Times New Roman"/>
      <w:b/>
      <w:sz w:val="24"/>
      <w:szCs w:val="24"/>
    </w:rPr>
  </w:style>
  <w:style w:type="character" w:styleId="nfasis">
    <w:name w:val="Emphasis"/>
    <w:basedOn w:val="Fuentedeprrafopredeter"/>
    <w:uiPriority w:val="20"/>
    <w:qFormat/>
    <w:rsid w:val="00C724CF"/>
    <w:rPr>
      <w:rFonts w:ascii="Times New Roman" w:hAnsi="Times New Roman"/>
      <w:i/>
      <w:iCs/>
    </w:rPr>
  </w:style>
  <w:style w:type="paragraph" w:styleId="Prrafodelista">
    <w:name w:val="List Paragraph"/>
    <w:basedOn w:val="Normal"/>
    <w:uiPriority w:val="3"/>
    <w:qFormat/>
    <w:rsid w:val="00310124"/>
    <w:pPr>
      <w:numPr>
        <w:numId w:val="14"/>
      </w:numPr>
      <w:ind w:left="1434" w:hanging="357"/>
      <w:contextualSpacing/>
    </w:pPr>
    <w:rPr>
      <w:rFonts w:eastAsia="Cambria" w:cs="Times New Roman"/>
      <w:szCs w:val="24"/>
    </w:rPr>
  </w:style>
  <w:style w:type="character" w:styleId="Textoennegrita">
    <w:name w:val="Strong"/>
    <w:basedOn w:val="Fuentedeprrafopredeter"/>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rPr>
      <w:rFonts w:eastAsia="Times New Roman" w:cs="Times New Roman"/>
      <w:szCs w:val="24"/>
    </w:rPr>
  </w:style>
  <w:style w:type="paragraph" w:styleId="Encabezado">
    <w:name w:val="header"/>
    <w:basedOn w:val="Normal"/>
    <w:link w:val="EncabezadoCar"/>
    <w:uiPriority w:val="99"/>
    <w:unhideWhenUsed/>
    <w:rsid w:val="00A53000"/>
    <w:pPr>
      <w:tabs>
        <w:tab w:val="center" w:pos="4844"/>
        <w:tab w:val="right" w:pos="9689"/>
      </w:tabs>
    </w:pPr>
    <w:rPr>
      <w:b/>
    </w:rPr>
  </w:style>
  <w:style w:type="character" w:customStyle="1" w:styleId="EncabezadoCar">
    <w:name w:val="Encabezado Car"/>
    <w:basedOn w:val="Fuentedeprrafopredeter"/>
    <w:link w:val="Encabezado"/>
    <w:uiPriority w:val="99"/>
    <w:rsid w:val="00A53000"/>
    <w:rPr>
      <w:rFonts w:ascii="Times New Roman" w:hAnsi="Times New Roman"/>
      <w:b/>
      <w:sz w:val="24"/>
    </w:rPr>
  </w:style>
  <w:style w:type="paragraph" w:styleId="Piedepgina">
    <w:name w:val="footer"/>
    <w:basedOn w:val="Normal"/>
    <w:link w:val="PiedepginaCar"/>
    <w:uiPriority w:val="99"/>
    <w:unhideWhenUsed/>
    <w:rsid w:val="00117666"/>
    <w:pPr>
      <w:tabs>
        <w:tab w:val="center" w:pos="4844"/>
        <w:tab w:val="right" w:pos="9689"/>
      </w:tabs>
      <w:spacing w:after="0"/>
    </w:pPr>
  </w:style>
  <w:style w:type="character" w:customStyle="1" w:styleId="PiedepginaCar">
    <w:name w:val="Pie de página Car"/>
    <w:basedOn w:val="Fuentedeprrafopredeter"/>
    <w:link w:val="Piedepgina"/>
    <w:uiPriority w:val="99"/>
    <w:rsid w:val="00117666"/>
  </w:style>
  <w:style w:type="table" w:styleId="Tablaconcuadrcula">
    <w:name w:val="Table Grid"/>
    <w:basedOn w:val="Tablanormal"/>
    <w:uiPriority w:val="59"/>
    <w:rsid w:val="00117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117666"/>
    <w:pPr>
      <w:spacing w:after="0"/>
    </w:pPr>
    <w:rPr>
      <w:sz w:val="20"/>
      <w:szCs w:val="20"/>
    </w:rPr>
  </w:style>
  <w:style w:type="character" w:customStyle="1" w:styleId="TextonotapieCar">
    <w:name w:val="Texto nota pie Car"/>
    <w:basedOn w:val="Fuentedeprrafopredeter"/>
    <w:link w:val="Textonotapie"/>
    <w:uiPriority w:val="99"/>
    <w:semiHidden/>
    <w:rsid w:val="00117666"/>
    <w:rPr>
      <w:sz w:val="20"/>
      <w:szCs w:val="20"/>
    </w:rPr>
  </w:style>
  <w:style w:type="character" w:styleId="Refdenotaalpie">
    <w:name w:val="footnote reference"/>
    <w:basedOn w:val="Fuentedeprrafopredeter"/>
    <w:uiPriority w:val="99"/>
    <w:semiHidden/>
    <w:unhideWhenUsed/>
    <w:rsid w:val="00117666"/>
    <w:rPr>
      <w:vertAlign w:val="superscript"/>
    </w:rPr>
  </w:style>
  <w:style w:type="paragraph" w:styleId="Descripcin">
    <w:name w:val="caption"/>
    <w:basedOn w:val="Normal"/>
    <w:next w:val="Sinespaciado"/>
    <w:uiPriority w:val="35"/>
    <w:unhideWhenUsed/>
    <w:qFormat/>
    <w:rsid w:val="00A53000"/>
    <w:pPr>
      <w:keepNext/>
    </w:pPr>
    <w:rPr>
      <w:rFonts w:cs="Times New Roman"/>
      <w:b/>
      <w:bCs/>
      <w:szCs w:val="24"/>
    </w:rPr>
  </w:style>
  <w:style w:type="paragraph" w:styleId="Textodeglobo">
    <w:name w:val="Balloon Text"/>
    <w:basedOn w:val="Normal"/>
    <w:link w:val="TextodegloboCar"/>
    <w:uiPriority w:val="99"/>
    <w:semiHidden/>
    <w:unhideWhenUsed/>
    <w:rsid w:val="00117666"/>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17666"/>
    <w:rPr>
      <w:rFonts w:ascii="Tahoma" w:hAnsi="Tahoma" w:cs="Tahoma"/>
      <w:sz w:val="16"/>
      <w:szCs w:val="16"/>
    </w:rPr>
  </w:style>
  <w:style w:type="character" w:styleId="Nmerodelnea">
    <w:name w:val="line number"/>
    <w:basedOn w:val="Fuentedeprrafopredeter"/>
    <w:uiPriority w:val="99"/>
    <w:semiHidden/>
    <w:unhideWhenUsed/>
    <w:rsid w:val="00117666"/>
  </w:style>
  <w:style w:type="paragraph" w:styleId="Textonotaalfinal">
    <w:name w:val="endnote text"/>
    <w:basedOn w:val="Normal"/>
    <w:link w:val="TextonotaalfinalCar"/>
    <w:uiPriority w:val="99"/>
    <w:semiHidden/>
    <w:unhideWhenUsed/>
    <w:rsid w:val="00CD066B"/>
    <w:pPr>
      <w:spacing w:after="0"/>
    </w:pPr>
    <w:rPr>
      <w:sz w:val="20"/>
      <w:szCs w:val="20"/>
    </w:rPr>
  </w:style>
  <w:style w:type="character" w:customStyle="1" w:styleId="TextonotaalfinalCar">
    <w:name w:val="Texto nota al final Car"/>
    <w:basedOn w:val="Fuentedeprrafopredeter"/>
    <w:link w:val="Textonotaalfinal"/>
    <w:uiPriority w:val="99"/>
    <w:semiHidden/>
    <w:rsid w:val="00CD066B"/>
    <w:rPr>
      <w:sz w:val="20"/>
      <w:szCs w:val="20"/>
    </w:rPr>
  </w:style>
  <w:style w:type="character" w:styleId="Refdenotaalfinal">
    <w:name w:val="endnote reference"/>
    <w:basedOn w:val="Fuentedeprrafopredeter"/>
    <w:uiPriority w:val="99"/>
    <w:semiHidden/>
    <w:unhideWhenUsed/>
    <w:rsid w:val="00CD066B"/>
    <w:rPr>
      <w:vertAlign w:val="superscript"/>
    </w:rPr>
  </w:style>
  <w:style w:type="character" w:styleId="Refdecomentario">
    <w:name w:val="annotation reference"/>
    <w:basedOn w:val="Fuentedeprrafopredeter"/>
    <w:uiPriority w:val="99"/>
    <w:semiHidden/>
    <w:unhideWhenUsed/>
    <w:rsid w:val="00725A7D"/>
    <w:rPr>
      <w:sz w:val="16"/>
      <w:szCs w:val="16"/>
    </w:rPr>
  </w:style>
  <w:style w:type="paragraph" w:styleId="Textocomentario">
    <w:name w:val="annotation text"/>
    <w:basedOn w:val="Normal"/>
    <w:link w:val="TextocomentarioCar"/>
    <w:uiPriority w:val="99"/>
    <w:semiHidden/>
    <w:unhideWhenUsed/>
    <w:rsid w:val="00725A7D"/>
    <w:rPr>
      <w:sz w:val="20"/>
      <w:szCs w:val="20"/>
    </w:rPr>
  </w:style>
  <w:style w:type="character" w:customStyle="1" w:styleId="TextocomentarioCar">
    <w:name w:val="Texto comentario Car"/>
    <w:basedOn w:val="Fuentedeprrafopredeter"/>
    <w:link w:val="Textocomentario"/>
    <w:uiPriority w:val="99"/>
    <w:semiHidden/>
    <w:rsid w:val="00725A7D"/>
    <w:rPr>
      <w:sz w:val="20"/>
      <w:szCs w:val="20"/>
    </w:rPr>
  </w:style>
  <w:style w:type="paragraph" w:styleId="Asuntodelcomentario">
    <w:name w:val="annotation subject"/>
    <w:basedOn w:val="Textocomentario"/>
    <w:next w:val="Textocomentario"/>
    <w:link w:val="AsuntodelcomentarioCar"/>
    <w:uiPriority w:val="99"/>
    <w:semiHidden/>
    <w:unhideWhenUsed/>
    <w:rsid w:val="00725A7D"/>
    <w:rPr>
      <w:b/>
      <w:bCs/>
    </w:rPr>
  </w:style>
  <w:style w:type="character" w:customStyle="1" w:styleId="AsuntodelcomentarioCar">
    <w:name w:val="Asunto del comentario Car"/>
    <w:basedOn w:val="TextocomentarioCar"/>
    <w:link w:val="Asuntodelcomentario"/>
    <w:uiPriority w:val="99"/>
    <w:semiHidden/>
    <w:rsid w:val="00725A7D"/>
    <w:rPr>
      <w:b/>
      <w:bCs/>
      <w:sz w:val="20"/>
      <w:szCs w:val="20"/>
    </w:rPr>
  </w:style>
  <w:style w:type="character" w:styleId="Hipervnculo">
    <w:name w:val="Hyperlink"/>
    <w:basedOn w:val="Fuentedeprrafopredeter"/>
    <w:uiPriority w:val="99"/>
    <w:unhideWhenUsed/>
    <w:rsid w:val="005A1D84"/>
    <w:rPr>
      <w:color w:val="0000FF"/>
      <w:u w:val="single"/>
    </w:rPr>
  </w:style>
  <w:style w:type="character" w:styleId="Hipervnculovisitado">
    <w:name w:val="FollowedHyperlink"/>
    <w:basedOn w:val="Fuentedeprrafopredeter"/>
    <w:uiPriority w:val="99"/>
    <w:semiHidden/>
    <w:unhideWhenUsed/>
    <w:rsid w:val="006D5B93"/>
    <w:rPr>
      <w:color w:val="800080" w:themeColor="followedHyperlink"/>
      <w:u w:val="single"/>
    </w:rPr>
  </w:style>
  <w:style w:type="paragraph" w:styleId="Ttulo">
    <w:name w:val="Title"/>
    <w:basedOn w:val="Normal"/>
    <w:next w:val="Normal"/>
    <w:link w:val="TtuloCar"/>
    <w:qFormat/>
    <w:rsid w:val="00D80D99"/>
    <w:pPr>
      <w:suppressLineNumbers/>
      <w:spacing w:before="240" w:after="360"/>
      <w:jc w:val="center"/>
    </w:pPr>
    <w:rPr>
      <w:rFonts w:cs="Times New Roman"/>
      <w:b/>
      <w:sz w:val="32"/>
      <w:szCs w:val="32"/>
    </w:rPr>
  </w:style>
  <w:style w:type="character" w:customStyle="1" w:styleId="TtuloCar">
    <w:name w:val="Título Car"/>
    <w:basedOn w:val="Fuentedeprrafopredeter"/>
    <w:link w:val="Ttulo"/>
    <w:rsid w:val="00D80D99"/>
    <w:rPr>
      <w:rFonts w:ascii="Times New Roman" w:hAnsi="Times New Roman" w:cs="Times New Roman"/>
      <w:b/>
      <w:sz w:val="32"/>
      <w:szCs w:val="32"/>
    </w:rPr>
  </w:style>
  <w:style w:type="paragraph" w:styleId="Subttulo">
    <w:name w:val="Subtitle"/>
    <w:basedOn w:val="Normal"/>
    <w:next w:val="Normal"/>
    <w:link w:val="SubttuloCar"/>
    <w:uiPriority w:val="99"/>
    <w:unhideWhenUsed/>
    <w:qFormat/>
    <w:rsid w:val="00AC0270"/>
    <w:pPr>
      <w:spacing w:before="240"/>
    </w:pPr>
    <w:rPr>
      <w:rFonts w:cs="Times New Roman"/>
      <w:b/>
      <w:szCs w:val="24"/>
    </w:rPr>
  </w:style>
  <w:style w:type="character" w:customStyle="1" w:styleId="SubttuloCar">
    <w:name w:val="Subtítulo Car"/>
    <w:basedOn w:val="Fuentedeprrafopredeter"/>
    <w:link w:val="Subttulo"/>
    <w:uiPriority w:val="99"/>
    <w:rsid w:val="00651CA2"/>
    <w:rPr>
      <w:rFonts w:ascii="Times New Roman" w:hAnsi="Times New Roman" w:cs="Times New Roman"/>
      <w:b/>
      <w:sz w:val="24"/>
      <w:szCs w:val="24"/>
    </w:rPr>
  </w:style>
  <w:style w:type="character" w:customStyle="1" w:styleId="Ttulo3Car">
    <w:name w:val="Título 3 Car"/>
    <w:basedOn w:val="Fuentedeprrafopredeter"/>
    <w:link w:val="Ttulo3"/>
    <w:uiPriority w:val="2"/>
    <w:rsid w:val="005D1840"/>
    <w:rPr>
      <w:rFonts w:ascii="Times New Roman" w:eastAsiaTheme="majorEastAsia" w:hAnsi="Times New Roman" w:cstheme="majorBidi"/>
      <w:b/>
      <w:sz w:val="24"/>
      <w:szCs w:val="24"/>
    </w:rPr>
  </w:style>
  <w:style w:type="paragraph" w:styleId="Sinespaciado">
    <w:name w:val="No Spacing"/>
    <w:uiPriority w:val="99"/>
    <w:unhideWhenUsed/>
    <w:qFormat/>
    <w:rsid w:val="00A53000"/>
    <w:pPr>
      <w:spacing w:after="0" w:line="240" w:lineRule="auto"/>
    </w:pPr>
    <w:rPr>
      <w:rFonts w:ascii="Times New Roman" w:hAnsi="Times New Roman"/>
      <w:sz w:val="24"/>
    </w:rPr>
  </w:style>
  <w:style w:type="character" w:customStyle="1" w:styleId="Ttulo4Car">
    <w:name w:val="Título 4 Car"/>
    <w:basedOn w:val="Fuentedeprrafopredeter"/>
    <w:link w:val="Ttulo4"/>
    <w:uiPriority w:val="2"/>
    <w:rsid w:val="005D1840"/>
    <w:rPr>
      <w:rFonts w:ascii="Times New Roman" w:eastAsiaTheme="majorEastAsia" w:hAnsi="Times New Roman" w:cstheme="majorBidi"/>
      <w:b/>
      <w:iCs/>
      <w:sz w:val="24"/>
      <w:szCs w:val="24"/>
    </w:rPr>
  </w:style>
  <w:style w:type="character" w:customStyle="1" w:styleId="Ttulo5Car">
    <w:name w:val="Título 5 Car"/>
    <w:basedOn w:val="Fuentedeprrafopredeter"/>
    <w:link w:val="Ttulo5"/>
    <w:uiPriority w:val="2"/>
    <w:rsid w:val="005D1840"/>
    <w:rPr>
      <w:rFonts w:ascii="Times New Roman" w:eastAsiaTheme="majorEastAsia" w:hAnsi="Times New Roman" w:cstheme="majorBidi"/>
      <w:b/>
      <w:iCs/>
      <w:sz w:val="24"/>
      <w:szCs w:val="24"/>
    </w:rPr>
  </w:style>
  <w:style w:type="paragraph" w:customStyle="1" w:styleId="AuthorList">
    <w:name w:val="Author List"/>
    <w:aliases w:val="Keywords,Abstract"/>
    <w:basedOn w:val="Subttulo"/>
    <w:next w:val="Normal"/>
    <w:uiPriority w:val="1"/>
    <w:qFormat/>
    <w:rsid w:val="00651CA2"/>
  </w:style>
  <w:style w:type="character" w:styleId="nfasissutil">
    <w:name w:val="Subtle Emphasis"/>
    <w:basedOn w:val="Fuentedeprrafopredeter"/>
    <w:uiPriority w:val="19"/>
    <w:qFormat/>
    <w:rsid w:val="00C724CF"/>
    <w:rPr>
      <w:rFonts w:ascii="Times New Roman" w:hAnsi="Times New Roman"/>
      <w:i/>
      <w:iCs/>
      <w:color w:val="404040" w:themeColor="text1" w:themeTint="BF"/>
    </w:rPr>
  </w:style>
  <w:style w:type="character" w:styleId="nfasisintenso">
    <w:name w:val="Intense Emphasis"/>
    <w:basedOn w:val="Fuentedeprrafopredeter"/>
    <w:uiPriority w:val="21"/>
    <w:unhideWhenUsed/>
    <w:rsid w:val="00C724CF"/>
    <w:rPr>
      <w:rFonts w:ascii="Times New Roman" w:hAnsi="Times New Roman"/>
      <w:i/>
      <w:iCs/>
      <w:color w:val="auto"/>
    </w:rPr>
  </w:style>
  <w:style w:type="paragraph" w:styleId="Cita">
    <w:name w:val="Quote"/>
    <w:basedOn w:val="Normal"/>
    <w:next w:val="Normal"/>
    <w:link w:val="CitaCar"/>
    <w:uiPriority w:val="29"/>
    <w:qFormat/>
    <w:rsid w:val="00C724CF"/>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C724CF"/>
    <w:rPr>
      <w:rFonts w:ascii="Times New Roman" w:hAnsi="Times New Roman"/>
      <w:i/>
      <w:iCs/>
      <w:color w:val="404040" w:themeColor="text1" w:themeTint="BF"/>
      <w:sz w:val="24"/>
    </w:rPr>
  </w:style>
  <w:style w:type="character" w:styleId="Referenciaintensa">
    <w:name w:val="Intense Reference"/>
    <w:basedOn w:val="Fuentedeprrafopredeter"/>
    <w:uiPriority w:val="32"/>
    <w:qFormat/>
    <w:rsid w:val="00C724CF"/>
    <w:rPr>
      <w:b/>
      <w:bCs/>
      <w:smallCaps/>
      <w:color w:val="auto"/>
      <w:spacing w:val="5"/>
    </w:rPr>
  </w:style>
  <w:style w:type="character" w:styleId="Ttulodellibro">
    <w:name w:val="Book Title"/>
    <w:basedOn w:val="Fuentedeprrafopredeter"/>
    <w:uiPriority w:val="33"/>
    <w:qFormat/>
    <w:rsid w:val="00C724CF"/>
    <w:rPr>
      <w:rFonts w:ascii="Times New Roman" w:hAnsi="Times New Roman"/>
      <w:b/>
      <w:bCs/>
      <w:i/>
      <w:iCs/>
      <w:spacing w:val="5"/>
    </w:rPr>
  </w:style>
  <w:style w:type="numbering" w:customStyle="1" w:styleId="Headings">
    <w:name w:val="Headings"/>
    <w:uiPriority w:val="99"/>
    <w:rsid w:val="00D80D99"/>
    <w:pPr>
      <w:numPr>
        <w:numId w:val="21"/>
      </w:numPr>
    </w:pPr>
  </w:style>
  <w:style w:type="paragraph" w:styleId="Revisin">
    <w:name w:val="Revision"/>
    <w:hidden/>
    <w:uiPriority w:val="99"/>
    <w:semiHidden/>
    <w:rsid w:val="00A545C6"/>
    <w:pPr>
      <w:spacing w:after="0" w:line="240" w:lineRule="auto"/>
    </w:pPr>
    <w:rPr>
      <w:rFonts w:ascii="Times New Roman" w:hAnsi="Times New Roman"/>
      <w:sz w:val="24"/>
    </w:rPr>
  </w:style>
  <w:style w:type="character" w:styleId="Mencinsinresolver">
    <w:name w:val="Unresolved Mention"/>
    <w:basedOn w:val="Fuentedeprrafopredeter"/>
    <w:uiPriority w:val="99"/>
    <w:semiHidden/>
    <w:unhideWhenUsed/>
    <w:rsid w:val="00895308"/>
    <w:rPr>
      <w:color w:val="605E5C"/>
      <w:shd w:val="clear" w:color="auto" w:fill="E1DFDD"/>
    </w:rPr>
  </w:style>
  <w:style w:type="character" w:styleId="CdigoHTML">
    <w:name w:val="HTML Code"/>
    <w:basedOn w:val="Fuentedeprrafopredeter"/>
    <w:uiPriority w:val="99"/>
    <w:semiHidden/>
    <w:unhideWhenUsed/>
    <w:rsid w:val="00EE67CA"/>
    <w:rPr>
      <w:rFonts w:ascii="Courier New" w:eastAsia="Times New Roman" w:hAnsi="Courier New" w:cs="Courier New"/>
      <w:sz w:val="20"/>
      <w:szCs w:val="20"/>
    </w:rPr>
  </w:style>
  <w:style w:type="table" w:styleId="Tablanormal2">
    <w:name w:val="Plain Table 2"/>
    <w:basedOn w:val="Tablanormal"/>
    <w:uiPriority w:val="42"/>
    <w:rsid w:val="003A1E8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4">
    <w:name w:val="Plain Table 4"/>
    <w:basedOn w:val="Tablanormal"/>
    <w:uiPriority w:val="44"/>
    <w:rsid w:val="00D0097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D009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38501">
      <w:bodyDiv w:val="1"/>
      <w:marLeft w:val="0"/>
      <w:marRight w:val="0"/>
      <w:marTop w:val="0"/>
      <w:marBottom w:val="0"/>
      <w:divBdr>
        <w:top w:val="none" w:sz="0" w:space="0" w:color="auto"/>
        <w:left w:val="none" w:sz="0" w:space="0" w:color="auto"/>
        <w:bottom w:val="none" w:sz="0" w:space="0" w:color="auto"/>
        <w:right w:val="none" w:sz="0" w:space="0" w:color="auto"/>
      </w:divBdr>
    </w:div>
    <w:div w:id="41952381">
      <w:bodyDiv w:val="1"/>
      <w:marLeft w:val="0"/>
      <w:marRight w:val="0"/>
      <w:marTop w:val="0"/>
      <w:marBottom w:val="0"/>
      <w:divBdr>
        <w:top w:val="none" w:sz="0" w:space="0" w:color="auto"/>
        <w:left w:val="none" w:sz="0" w:space="0" w:color="auto"/>
        <w:bottom w:val="none" w:sz="0" w:space="0" w:color="auto"/>
        <w:right w:val="none" w:sz="0" w:space="0" w:color="auto"/>
      </w:divBdr>
    </w:div>
    <w:div w:id="43412310">
      <w:bodyDiv w:val="1"/>
      <w:marLeft w:val="0"/>
      <w:marRight w:val="0"/>
      <w:marTop w:val="0"/>
      <w:marBottom w:val="0"/>
      <w:divBdr>
        <w:top w:val="none" w:sz="0" w:space="0" w:color="auto"/>
        <w:left w:val="none" w:sz="0" w:space="0" w:color="auto"/>
        <w:bottom w:val="none" w:sz="0" w:space="0" w:color="auto"/>
        <w:right w:val="none" w:sz="0" w:space="0" w:color="auto"/>
      </w:divBdr>
    </w:div>
    <w:div w:id="45841795">
      <w:bodyDiv w:val="1"/>
      <w:marLeft w:val="0"/>
      <w:marRight w:val="0"/>
      <w:marTop w:val="0"/>
      <w:marBottom w:val="0"/>
      <w:divBdr>
        <w:top w:val="none" w:sz="0" w:space="0" w:color="auto"/>
        <w:left w:val="none" w:sz="0" w:space="0" w:color="auto"/>
        <w:bottom w:val="none" w:sz="0" w:space="0" w:color="auto"/>
        <w:right w:val="none" w:sz="0" w:space="0" w:color="auto"/>
      </w:divBdr>
    </w:div>
    <w:div w:id="48115948">
      <w:bodyDiv w:val="1"/>
      <w:marLeft w:val="0"/>
      <w:marRight w:val="0"/>
      <w:marTop w:val="0"/>
      <w:marBottom w:val="0"/>
      <w:divBdr>
        <w:top w:val="none" w:sz="0" w:space="0" w:color="auto"/>
        <w:left w:val="none" w:sz="0" w:space="0" w:color="auto"/>
        <w:bottom w:val="none" w:sz="0" w:space="0" w:color="auto"/>
        <w:right w:val="none" w:sz="0" w:space="0" w:color="auto"/>
      </w:divBdr>
    </w:div>
    <w:div w:id="55903041">
      <w:bodyDiv w:val="1"/>
      <w:marLeft w:val="0"/>
      <w:marRight w:val="0"/>
      <w:marTop w:val="0"/>
      <w:marBottom w:val="0"/>
      <w:divBdr>
        <w:top w:val="none" w:sz="0" w:space="0" w:color="auto"/>
        <w:left w:val="none" w:sz="0" w:space="0" w:color="auto"/>
        <w:bottom w:val="none" w:sz="0" w:space="0" w:color="auto"/>
        <w:right w:val="none" w:sz="0" w:space="0" w:color="auto"/>
      </w:divBdr>
    </w:div>
    <w:div w:id="69622369">
      <w:bodyDiv w:val="1"/>
      <w:marLeft w:val="0"/>
      <w:marRight w:val="0"/>
      <w:marTop w:val="0"/>
      <w:marBottom w:val="0"/>
      <w:divBdr>
        <w:top w:val="none" w:sz="0" w:space="0" w:color="auto"/>
        <w:left w:val="none" w:sz="0" w:space="0" w:color="auto"/>
        <w:bottom w:val="none" w:sz="0" w:space="0" w:color="auto"/>
        <w:right w:val="none" w:sz="0" w:space="0" w:color="auto"/>
      </w:divBdr>
      <w:divsChild>
        <w:div w:id="1897429684">
          <w:marLeft w:val="0"/>
          <w:marRight w:val="0"/>
          <w:marTop w:val="0"/>
          <w:marBottom w:val="0"/>
          <w:divBdr>
            <w:top w:val="none" w:sz="0" w:space="0" w:color="auto"/>
            <w:left w:val="none" w:sz="0" w:space="0" w:color="auto"/>
            <w:bottom w:val="none" w:sz="0" w:space="0" w:color="auto"/>
            <w:right w:val="none" w:sz="0" w:space="0" w:color="auto"/>
          </w:divBdr>
          <w:divsChild>
            <w:div w:id="113687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1254">
      <w:bodyDiv w:val="1"/>
      <w:marLeft w:val="0"/>
      <w:marRight w:val="0"/>
      <w:marTop w:val="0"/>
      <w:marBottom w:val="0"/>
      <w:divBdr>
        <w:top w:val="none" w:sz="0" w:space="0" w:color="auto"/>
        <w:left w:val="none" w:sz="0" w:space="0" w:color="auto"/>
        <w:bottom w:val="none" w:sz="0" w:space="0" w:color="auto"/>
        <w:right w:val="none" w:sz="0" w:space="0" w:color="auto"/>
      </w:divBdr>
    </w:div>
    <w:div w:id="95105308">
      <w:bodyDiv w:val="1"/>
      <w:marLeft w:val="0"/>
      <w:marRight w:val="0"/>
      <w:marTop w:val="0"/>
      <w:marBottom w:val="0"/>
      <w:divBdr>
        <w:top w:val="none" w:sz="0" w:space="0" w:color="auto"/>
        <w:left w:val="none" w:sz="0" w:space="0" w:color="auto"/>
        <w:bottom w:val="none" w:sz="0" w:space="0" w:color="auto"/>
        <w:right w:val="none" w:sz="0" w:space="0" w:color="auto"/>
      </w:divBdr>
    </w:div>
    <w:div w:id="124086367">
      <w:bodyDiv w:val="1"/>
      <w:marLeft w:val="0"/>
      <w:marRight w:val="0"/>
      <w:marTop w:val="0"/>
      <w:marBottom w:val="0"/>
      <w:divBdr>
        <w:top w:val="none" w:sz="0" w:space="0" w:color="auto"/>
        <w:left w:val="none" w:sz="0" w:space="0" w:color="auto"/>
        <w:bottom w:val="none" w:sz="0" w:space="0" w:color="auto"/>
        <w:right w:val="none" w:sz="0" w:space="0" w:color="auto"/>
      </w:divBdr>
    </w:div>
    <w:div w:id="143669064">
      <w:bodyDiv w:val="1"/>
      <w:marLeft w:val="0"/>
      <w:marRight w:val="0"/>
      <w:marTop w:val="0"/>
      <w:marBottom w:val="0"/>
      <w:divBdr>
        <w:top w:val="none" w:sz="0" w:space="0" w:color="auto"/>
        <w:left w:val="none" w:sz="0" w:space="0" w:color="auto"/>
        <w:bottom w:val="none" w:sz="0" w:space="0" w:color="auto"/>
        <w:right w:val="none" w:sz="0" w:space="0" w:color="auto"/>
      </w:divBdr>
    </w:div>
    <w:div w:id="164322350">
      <w:bodyDiv w:val="1"/>
      <w:marLeft w:val="0"/>
      <w:marRight w:val="0"/>
      <w:marTop w:val="0"/>
      <w:marBottom w:val="0"/>
      <w:divBdr>
        <w:top w:val="none" w:sz="0" w:space="0" w:color="auto"/>
        <w:left w:val="none" w:sz="0" w:space="0" w:color="auto"/>
        <w:bottom w:val="none" w:sz="0" w:space="0" w:color="auto"/>
        <w:right w:val="none" w:sz="0" w:space="0" w:color="auto"/>
      </w:divBdr>
    </w:div>
    <w:div w:id="171993267">
      <w:bodyDiv w:val="1"/>
      <w:marLeft w:val="0"/>
      <w:marRight w:val="0"/>
      <w:marTop w:val="0"/>
      <w:marBottom w:val="0"/>
      <w:divBdr>
        <w:top w:val="none" w:sz="0" w:space="0" w:color="auto"/>
        <w:left w:val="none" w:sz="0" w:space="0" w:color="auto"/>
        <w:bottom w:val="none" w:sz="0" w:space="0" w:color="auto"/>
        <w:right w:val="none" w:sz="0" w:space="0" w:color="auto"/>
      </w:divBdr>
    </w:div>
    <w:div w:id="202401550">
      <w:bodyDiv w:val="1"/>
      <w:marLeft w:val="0"/>
      <w:marRight w:val="0"/>
      <w:marTop w:val="0"/>
      <w:marBottom w:val="0"/>
      <w:divBdr>
        <w:top w:val="none" w:sz="0" w:space="0" w:color="auto"/>
        <w:left w:val="none" w:sz="0" w:space="0" w:color="auto"/>
        <w:bottom w:val="none" w:sz="0" w:space="0" w:color="auto"/>
        <w:right w:val="none" w:sz="0" w:space="0" w:color="auto"/>
      </w:divBdr>
    </w:div>
    <w:div w:id="205262926">
      <w:bodyDiv w:val="1"/>
      <w:marLeft w:val="0"/>
      <w:marRight w:val="0"/>
      <w:marTop w:val="0"/>
      <w:marBottom w:val="0"/>
      <w:divBdr>
        <w:top w:val="none" w:sz="0" w:space="0" w:color="auto"/>
        <w:left w:val="none" w:sz="0" w:space="0" w:color="auto"/>
        <w:bottom w:val="none" w:sz="0" w:space="0" w:color="auto"/>
        <w:right w:val="none" w:sz="0" w:space="0" w:color="auto"/>
      </w:divBdr>
    </w:div>
    <w:div w:id="206650801">
      <w:bodyDiv w:val="1"/>
      <w:marLeft w:val="0"/>
      <w:marRight w:val="0"/>
      <w:marTop w:val="0"/>
      <w:marBottom w:val="0"/>
      <w:divBdr>
        <w:top w:val="none" w:sz="0" w:space="0" w:color="auto"/>
        <w:left w:val="none" w:sz="0" w:space="0" w:color="auto"/>
        <w:bottom w:val="none" w:sz="0" w:space="0" w:color="auto"/>
        <w:right w:val="none" w:sz="0" w:space="0" w:color="auto"/>
      </w:divBdr>
    </w:div>
    <w:div w:id="219560773">
      <w:bodyDiv w:val="1"/>
      <w:marLeft w:val="0"/>
      <w:marRight w:val="0"/>
      <w:marTop w:val="0"/>
      <w:marBottom w:val="0"/>
      <w:divBdr>
        <w:top w:val="none" w:sz="0" w:space="0" w:color="auto"/>
        <w:left w:val="none" w:sz="0" w:space="0" w:color="auto"/>
        <w:bottom w:val="none" w:sz="0" w:space="0" w:color="auto"/>
        <w:right w:val="none" w:sz="0" w:space="0" w:color="auto"/>
      </w:divBdr>
    </w:div>
    <w:div w:id="241528589">
      <w:bodyDiv w:val="1"/>
      <w:marLeft w:val="0"/>
      <w:marRight w:val="0"/>
      <w:marTop w:val="0"/>
      <w:marBottom w:val="0"/>
      <w:divBdr>
        <w:top w:val="none" w:sz="0" w:space="0" w:color="auto"/>
        <w:left w:val="none" w:sz="0" w:space="0" w:color="auto"/>
        <w:bottom w:val="none" w:sz="0" w:space="0" w:color="auto"/>
        <w:right w:val="none" w:sz="0" w:space="0" w:color="auto"/>
      </w:divBdr>
    </w:div>
    <w:div w:id="256796516">
      <w:bodyDiv w:val="1"/>
      <w:marLeft w:val="0"/>
      <w:marRight w:val="0"/>
      <w:marTop w:val="0"/>
      <w:marBottom w:val="0"/>
      <w:divBdr>
        <w:top w:val="none" w:sz="0" w:space="0" w:color="auto"/>
        <w:left w:val="none" w:sz="0" w:space="0" w:color="auto"/>
        <w:bottom w:val="none" w:sz="0" w:space="0" w:color="auto"/>
        <w:right w:val="none" w:sz="0" w:space="0" w:color="auto"/>
      </w:divBdr>
    </w:div>
    <w:div w:id="279452958">
      <w:bodyDiv w:val="1"/>
      <w:marLeft w:val="0"/>
      <w:marRight w:val="0"/>
      <w:marTop w:val="0"/>
      <w:marBottom w:val="0"/>
      <w:divBdr>
        <w:top w:val="none" w:sz="0" w:space="0" w:color="auto"/>
        <w:left w:val="none" w:sz="0" w:space="0" w:color="auto"/>
        <w:bottom w:val="none" w:sz="0" w:space="0" w:color="auto"/>
        <w:right w:val="none" w:sz="0" w:space="0" w:color="auto"/>
      </w:divBdr>
    </w:div>
    <w:div w:id="303891889">
      <w:bodyDiv w:val="1"/>
      <w:marLeft w:val="0"/>
      <w:marRight w:val="0"/>
      <w:marTop w:val="0"/>
      <w:marBottom w:val="0"/>
      <w:divBdr>
        <w:top w:val="none" w:sz="0" w:space="0" w:color="auto"/>
        <w:left w:val="none" w:sz="0" w:space="0" w:color="auto"/>
        <w:bottom w:val="none" w:sz="0" w:space="0" w:color="auto"/>
        <w:right w:val="none" w:sz="0" w:space="0" w:color="auto"/>
      </w:divBdr>
    </w:div>
    <w:div w:id="330254591">
      <w:bodyDiv w:val="1"/>
      <w:marLeft w:val="0"/>
      <w:marRight w:val="0"/>
      <w:marTop w:val="0"/>
      <w:marBottom w:val="0"/>
      <w:divBdr>
        <w:top w:val="none" w:sz="0" w:space="0" w:color="auto"/>
        <w:left w:val="none" w:sz="0" w:space="0" w:color="auto"/>
        <w:bottom w:val="none" w:sz="0" w:space="0" w:color="auto"/>
        <w:right w:val="none" w:sz="0" w:space="0" w:color="auto"/>
      </w:divBdr>
    </w:div>
    <w:div w:id="348413828">
      <w:bodyDiv w:val="1"/>
      <w:marLeft w:val="0"/>
      <w:marRight w:val="0"/>
      <w:marTop w:val="0"/>
      <w:marBottom w:val="0"/>
      <w:divBdr>
        <w:top w:val="none" w:sz="0" w:space="0" w:color="auto"/>
        <w:left w:val="none" w:sz="0" w:space="0" w:color="auto"/>
        <w:bottom w:val="none" w:sz="0" w:space="0" w:color="auto"/>
        <w:right w:val="none" w:sz="0" w:space="0" w:color="auto"/>
      </w:divBdr>
    </w:div>
    <w:div w:id="367723890">
      <w:bodyDiv w:val="1"/>
      <w:marLeft w:val="0"/>
      <w:marRight w:val="0"/>
      <w:marTop w:val="0"/>
      <w:marBottom w:val="0"/>
      <w:divBdr>
        <w:top w:val="none" w:sz="0" w:space="0" w:color="auto"/>
        <w:left w:val="none" w:sz="0" w:space="0" w:color="auto"/>
        <w:bottom w:val="none" w:sz="0" w:space="0" w:color="auto"/>
        <w:right w:val="none" w:sz="0" w:space="0" w:color="auto"/>
      </w:divBdr>
    </w:div>
    <w:div w:id="368335732">
      <w:bodyDiv w:val="1"/>
      <w:marLeft w:val="0"/>
      <w:marRight w:val="0"/>
      <w:marTop w:val="0"/>
      <w:marBottom w:val="0"/>
      <w:divBdr>
        <w:top w:val="none" w:sz="0" w:space="0" w:color="auto"/>
        <w:left w:val="none" w:sz="0" w:space="0" w:color="auto"/>
        <w:bottom w:val="none" w:sz="0" w:space="0" w:color="auto"/>
        <w:right w:val="none" w:sz="0" w:space="0" w:color="auto"/>
      </w:divBdr>
    </w:div>
    <w:div w:id="381370193">
      <w:bodyDiv w:val="1"/>
      <w:marLeft w:val="0"/>
      <w:marRight w:val="0"/>
      <w:marTop w:val="0"/>
      <w:marBottom w:val="0"/>
      <w:divBdr>
        <w:top w:val="none" w:sz="0" w:space="0" w:color="auto"/>
        <w:left w:val="none" w:sz="0" w:space="0" w:color="auto"/>
        <w:bottom w:val="none" w:sz="0" w:space="0" w:color="auto"/>
        <w:right w:val="none" w:sz="0" w:space="0" w:color="auto"/>
      </w:divBdr>
    </w:div>
    <w:div w:id="448279033">
      <w:bodyDiv w:val="1"/>
      <w:marLeft w:val="0"/>
      <w:marRight w:val="0"/>
      <w:marTop w:val="0"/>
      <w:marBottom w:val="0"/>
      <w:divBdr>
        <w:top w:val="none" w:sz="0" w:space="0" w:color="auto"/>
        <w:left w:val="none" w:sz="0" w:space="0" w:color="auto"/>
        <w:bottom w:val="none" w:sz="0" w:space="0" w:color="auto"/>
        <w:right w:val="none" w:sz="0" w:space="0" w:color="auto"/>
      </w:divBdr>
    </w:div>
    <w:div w:id="448546645">
      <w:bodyDiv w:val="1"/>
      <w:marLeft w:val="0"/>
      <w:marRight w:val="0"/>
      <w:marTop w:val="0"/>
      <w:marBottom w:val="0"/>
      <w:divBdr>
        <w:top w:val="none" w:sz="0" w:space="0" w:color="auto"/>
        <w:left w:val="none" w:sz="0" w:space="0" w:color="auto"/>
        <w:bottom w:val="none" w:sz="0" w:space="0" w:color="auto"/>
        <w:right w:val="none" w:sz="0" w:space="0" w:color="auto"/>
      </w:divBdr>
    </w:div>
    <w:div w:id="454642737">
      <w:bodyDiv w:val="1"/>
      <w:marLeft w:val="0"/>
      <w:marRight w:val="0"/>
      <w:marTop w:val="0"/>
      <w:marBottom w:val="0"/>
      <w:divBdr>
        <w:top w:val="none" w:sz="0" w:space="0" w:color="auto"/>
        <w:left w:val="none" w:sz="0" w:space="0" w:color="auto"/>
        <w:bottom w:val="none" w:sz="0" w:space="0" w:color="auto"/>
        <w:right w:val="none" w:sz="0" w:space="0" w:color="auto"/>
      </w:divBdr>
    </w:div>
    <w:div w:id="461653661">
      <w:bodyDiv w:val="1"/>
      <w:marLeft w:val="0"/>
      <w:marRight w:val="0"/>
      <w:marTop w:val="0"/>
      <w:marBottom w:val="0"/>
      <w:divBdr>
        <w:top w:val="none" w:sz="0" w:space="0" w:color="auto"/>
        <w:left w:val="none" w:sz="0" w:space="0" w:color="auto"/>
        <w:bottom w:val="none" w:sz="0" w:space="0" w:color="auto"/>
        <w:right w:val="none" w:sz="0" w:space="0" w:color="auto"/>
      </w:divBdr>
    </w:div>
    <w:div w:id="463430675">
      <w:bodyDiv w:val="1"/>
      <w:marLeft w:val="0"/>
      <w:marRight w:val="0"/>
      <w:marTop w:val="0"/>
      <w:marBottom w:val="0"/>
      <w:divBdr>
        <w:top w:val="none" w:sz="0" w:space="0" w:color="auto"/>
        <w:left w:val="none" w:sz="0" w:space="0" w:color="auto"/>
        <w:bottom w:val="none" w:sz="0" w:space="0" w:color="auto"/>
        <w:right w:val="none" w:sz="0" w:space="0" w:color="auto"/>
      </w:divBdr>
    </w:div>
    <w:div w:id="476724946">
      <w:bodyDiv w:val="1"/>
      <w:marLeft w:val="0"/>
      <w:marRight w:val="0"/>
      <w:marTop w:val="0"/>
      <w:marBottom w:val="0"/>
      <w:divBdr>
        <w:top w:val="none" w:sz="0" w:space="0" w:color="auto"/>
        <w:left w:val="none" w:sz="0" w:space="0" w:color="auto"/>
        <w:bottom w:val="none" w:sz="0" w:space="0" w:color="auto"/>
        <w:right w:val="none" w:sz="0" w:space="0" w:color="auto"/>
      </w:divBdr>
    </w:div>
    <w:div w:id="483813017">
      <w:bodyDiv w:val="1"/>
      <w:marLeft w:val="0"/>
      <w:marRight w:val="0"/>
      <w:marTop w:val="0"/>
      <w:marBottom w:val="0"/>
      <w:divBdr>
        <w:top w:val="none" w:sz="0" w:space="0" w:color="auto"/>
        <w:left w:val="none" w:sz="0" w:space="0" w:color="auto"/>
        <w:bottom w:val="none" w:sz="0" w:space="0" w:color="auto"/>
        <w:right w:val="none" w:sz="0" w:space="0" w:color="auto"/>
      </w:divBdr>
    </w:div>
    <w:div w:id="507717935">
      <w:bodyDiv w:val="1"/>
      <w:marLeft w:val="0"/>
      <w:marRight w:val="0"/>
      <w:marTop w:val="0"/>
      <w:marBottom w:val="0"/>
      <w:divBdr>
        <w:top w:val="none" w:sz="0" w:space="0" w:color="auto"/>
        <w:left w:val="none" w:sz="0" w:space="0" w:color="auto"/>
        <w:bottom w:val="none" w:sz="0" w:space="0" w:color="auto"/>
        <w:right w:val="none" w:sz="0" w:space="0" w:color="auto"/>
      </w:divBdr>
    </w:div>
    <w:div w:id="542790596">
      <w:bodyDiv w:val="1"/>
      <w:marLeft w:val="0"/>
      <w:marRight w:val="0"/>
      <w:marTop w:val="0"/>
      <w:marBottom w:val="0"/>
      <w:divBdr>
        <w:top w:val="none" w:sz="0" w:space="0" w:color="auto"/>
        <w:left w:val="none" w:sz="0" w:space="0" w:color="auto"/>
        <w:bottom w:val="none" w:sz="0" w:space="0" w:color="auto"/>
        <w:right w:val="none" w:sz="0" w:space="0" w:color="auto"/>
      </w:divBdr>
    </w:div>
    <w:div w:id="566258189">
      <w:bodyDiv w:val="1"/>
      <w:marLeft w:val="0"/>
      <w:marRight w:val="0"/>
      <w:marTop w:val="0"/>
      <w:marBottom w:val="0"/>
      <w:divBdr>
        <w:top w:val="none" w:sz="0" w:space="0" w:color="auto"/>
        <w:left w:val="none" w:sz="0" w:space="0" w:color="auto"/>
        <w:bottom w:val="none" w:sz="0" w:space="0" w:color="auto"/>
        <w:right w:val="none" w:sz="0" w:space="0" w:color="auto"/>
      </w:divBdr>
    </w:div>
    <w:div w:id="572617591">
      <w:bodyDiv w:val="1"/>
      <w:marLeft w:val="0"/>
      <w:marRight w:val="0"/>
      <w:marTop w:val="0"/>
      <w:marBottom w:val="0"/>
      <w:divBdr>
        <w:top w:val="none" w:sz="0" w:space="0" w:color="auto"/>
        <w:left w:val="none" w:sz="0" w:space="0" w:color="auto"/>
        <w:bottom w:val="none" w:sz="0" w:space="0" w:color="auto"/>
        <w:right w:val="none" w:sz="0" w:space="0" w:color="auto"/>
      </w:divBdr>
    </w:div>
    <w:div w:id="591354940">
      <w:bodyDiv w:val="1"/>
      <w:marLeft w:val="0"/>
      <w:marRight w:val="0"/>
      <w:marTop w:val="0"/>
      <w:marBottom w:val="0"/>
      <w:divBdr>
        <w:top w:val="none" w:sz="0" w:space="0" w:color="auto"/>
        <w:left w:val="none" w:sz="0" w:space="0" w:color="auto"/>
        <w:bottom w:val="none" w:sz="0" w:space="0" w:color="auto"/>
        <w:right w:val="none" w:sz="0" w:space="0" w:color="auto"/>
      </w:divBdr>
    </w:div>
    <w:div w:id="600453928">
      <w:bodyDiv w:val="1"/>
      <w:marLeft w:val="0"/>
      <w:marRight w:val="0"/>
      <w:marTop w:val="0"/>
      <w:marBottom w:val="0"/>
      <w:divBdr>
        <w:top w:val="none" w:sz="0" w:space="0" w:color="auto"/>
        <w:left w:val="none" w:sz="0" w:space="0" w:color="auto"/>
        <w:bottom w:val="none" w:sz="0" w:space="0" w:color="auto"/>
        <w:right w:val="none" w:sz="0" w:space="0" w:color="auto"/>
      </w:divBdr>
    </w:div>
    <w:div w:id="608438276">
      <w:bodyDiv w:val="1"/>
      <w:marLeft w:val="0"/>
      <w:marRight w:val="0"/>
      <w:marTop w:val="0"/>
      <w:marBottom w:val="0"/>
      <w:divBdr>
        <w:top w:val="none" w:sz="0" w:space="0" w:color="auto"/>
        <w:left w:val="none" w:sz="0" w:space="0" w:color="auto"/>
        <w:bottom w:val="none" w:sz="0" w:space="0" w:color="auto"/>
        <w:right w:val="none" w:sz="0" w:space="0" w:color="auto"/>
      </w:divBdr>
      <w:divsChild>
        <w:div w:id="1063723320">
          <w:blockQuote w:val="1"/>
          <w:marLeft w:val="720"/>
          <w:marRight w:val="720"/>
          <w:marTop w:val="100"/>
          <w:marBottom w:val="100"/>
          <w:divBdr>
            <w:top w:val="none" w:sz="0" w:space="0" w:color="auto"/>
            <w:left w:val="none" w:sz="0" w:space="0" w:color="auto"/>
            <w:bottom w:val="none" w:sz="0" w:space="0" w:color="auto"/>
            <w:right w:val="none" w:sz="0" w:space="0" w:color="auto"/>
          </w:divBdr>
        </w:div>
        <w:div w:id="28264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9557804">
      <w:bodyDiv w:val="1"/>
      <w:marLeft w:val="0"/>
      <w:marRight w:val="0"/>
      <w:marTop w:val="0"/>
      <w:marBottom w:val="0"/>
      <w:divBdr>
        <w:top w:val="none" w:sz="0" w:space="0" w:color="auto"/>
        <w:left w:val="none" w:sz="0" w:space="0" w:color="auto"/>
        <w:bottom w:val="none" w:sz="0" w:space="0" w:color="auto"/>
        <w:right w:val="none" w:sz="0" w:space="0" w:color="auto"/>
      </w:divBdr>
    </w:div>
    <w:div w:id="615791296">
      <w:bodyDiv w:val="1"/>
      <w:marLeft w:val="0"/>
      <w:marRight w:val="0"/>
      <w:marTop w:val="0"/>
      <w:marBottom w:val="0"/>
      <w:divBdr>
        <w:top w:val="none" w:sz="0" w:space="0" w:color="auto"/>
        <w:left w:val="none" w:sz="0" w:space="0" w:color="auto"/>
        <w:bottom w:val="none" w:sz="0" w:space="0" w:color="auto"/>
        <w:right w:val="none" w:sz="0" w:space="0" w:color="auto"/>
      </w:divBdr>
    </w:div>
    <w:div w:id="625626042">
      <w:bodyDiv w:val="1"/>
      <w:marLeft w:val="0"/>
      <w:marRight w:val="0"/>
      <w:marTop w:val="0"/>
      <w:marBottom w:val="0"/>
      <w:divBdr>
        <w:top w:val="none" w:sz="0" w:space="0" w:color="auto"/>
        <w:left w:val="none" w:sz="0" w:space="0" w:color="auto"/>
        <w:bottom w:val="none" w:sz="0" w:space="0" w:color="auto"/>
        <w:right w:val="none" w:sz="0" w:space="0" w:color="auto"/>
      </w:divBdr>
    </w:div>
    <w:div w:id="644623645">
      <w:bodyDiv w:val="1"/>
      <w:marLeft w:val="0"/>
      <w:marRight w:val="0"/>
      <w:marTop w:val="0"/>
      <w:marBottom w:val="0"/>
      <w:divBdr>
        <w:top w:val="none" w:sz="0" w:space="0" w:color="auto"/>
        <w:left w:val="none" w:sz="0" w:space="0" w:color="auto"/>
        <w:bottom w:val="none" w:sz="0" w:space="0" w:color="auto"/>
        <w:right w:val="none" w:sz="0" w:space="0" w:color="auto"/>
      </w:divBdr>
    </w:div>
    <w:div w:id="650329027">
      <w:bodyDiv w:val="1"/>
      <w:marLeft w:val="0"/>
      <w:marRight w:val="0"/>
      <w:marTop w:val="0"/>
      <w:marBottom w:val="0"/>
      <w:divBdr>
        <w:top w:val="none" w:sz="0" w:space="0" w:color="auto"/>
        <w:left w:val="none" w:sz="0" w:space="0" w:color="auto"/>
        <w:bottom w:val="none" w:sz="0" w:space="0" w:color="auto"/>
        <w:right w:val="none" w:sz="0" w:space="0" w:color="auto"/>
      </w:divBdr>
    </w:div>
    <w:div w:id="657151721">
      <w:bodyDiv w:val="1"/>
      <w:marLeft w:val="0"/>
      <w:marRight w:val="0"/>
      <w:marTop w:val="0"/>
      <w:marBottom w:val="0"/>
      <w:divBdr>
        <w:top w:val="none" w:sz="0" w:space="0" w:color="auto"/>
        <w:left w:val="none" w:sz="0" w:space="0" w:color="auto"/>
        <w:bottom w:val="none" w:sz="0" w:space="0" w:color="auto"/>
        <w:right w:val="none" w:sz="0" w:space="0" w:color="auto"/>
      </w:divBdr>
    </w:div>
    <w:div w:id="670722012">
      <w:bodyDiv w:val="1"/>
      <w:marLeft w:val="0"/>
      <w:marRight w:val="0"/>
      <w:marTop w:val="0"/>
      <w:marBottom w:val="0"/>
      <w:divBdr>
        <w:top w:val="none" w:sz="0" w:space="0" w:color="auto"/>
        <w:left w:val="none" w:sz="0" w:space="0" w:color="auto"/>
        <w:bottom w:val="none" w:sz="0" w:space="0" w:color="auto"/>
        <w:right w:val="none" w:sz="0" w:space="0" w:color="auto"/>
      </w:divBdr>
    </w:div>
    <w:div w:id="679550953">
      <w:bodyDiv w:val="1"/>
      <w:marLeft w:val="0"/>
      <w:marRight w:val="0"/>
      <w:marTop w:val="0"/>
      <w:marBottom w:val="0"/>
      <w:divBdr>
        <w:top w:val="none" w:sz="0" w:space="0" w:color="auto"/>
        <w:left w:val="none" w:sz="0" w:space="0" w:color="auto"/>
        <w:bottom w:val="none" w:sz="0" w:space="0" w:color="auto"/>
        <w:right w:val="none" w:sz="0" w:space="0" w:color="auto"/>
      </w:divBdr>
    </w:div>
    <w:div w:id="687945700">
      <w:bodyDiv w:val="1"/>
      <w:marLeft w:val="0"/>
      <w:marRight w:val="0"/>
      <w:marTop w:val="0"/>
      <w:marBottom w:val="0"/>
      <w:divBdr>
        <w:top w:val="none" w:sz="0" w:space="0" w:color="auto"/>
        <w:left w:val="none" w:sz="0" w:space="0" w:color="auto"/>
        <w:bottom w:val="none" w:sz="0" w:space="0" w:color="auto"/>
        <w:right w:val="none" w:sz="0" w:space="0" w:color="auto"/>
      </w:divBdr>
    </w:div>
    <w:div w:id="689835331">
      <w:bodyDiv w:val="1"/>
      <w:marLeft w:val="0"/>
      <w:marRight w:val="0"/>
      <w:marTop w:val="0"/>
      <w:marBottom w:val="0"/>
      <w:divBdr>
        <w:top w:val="none" w:sz="0" w:space="0" w:color="auto"/>
        <w:left w:val="none" w:sz="0" w:space="0" w:color="auto"/>
        <w:bottom w:val="none" w:sz="0" w:space="0" w:color="auto"/>
        <w:right w:val="none" w:sz="0" w:space="0" w:color="auto"/>
      </w:divBdr>
    </w:div>
    <w:div w:id="717630943">
      <w:bodyDiv w:val="1"/>
      <w:marLeft w:val="0"/>
      <w:marRight w:val="0"/>
      <w:marTop w:val="0"/>
      <w:marBottom w:val="0"/>
      <w:divBdr>
        <w:top w:val="none" w:sz="0" w:space="0" w:color="auto"/>
        <w:left w:val="none" w:sz="0" w:space="0" w:color="auto"/>
        <w:bottom w:val="none" w:sz="0" w:space="0" w:color="auto"/>
        <w:right w:val="none" w:sz="0" w:space="0" w:color="auto"/>
      </w:divBdr>
    </w:div>
    <w:div w:id="721900415">
      <w:bodyDiv w:val="1"/>
      <w:marLeft w:val="0"/>
      <w:marRight w:val="0"/>
      <w:marTop w:val="0"/>
      <w:marBottom w:val="0"/>
      <w:divBdr>
        <w:top w:val="none" w:sz="0" w:space="0" w:color="auto"/>
        <w:left w:val="none" w:sz="0" w:space="0" w:color="auto"/>
        <w:bottom w:val="none" w:sz="0" w:space="0" w:color="auto"/>
        <w:right w:val="none" w:sz="0" w:space="0" w:color="auto"/>
      </w:divBdr>
    </w:div>
    <w:div w:id="733167165">
      <w:bodyDiv w:val="1"/>
      <w:marLeft w:val="0"/>
      <w:marRight w:val="0"/>
      <w:marTop w:val="0"/>
      <w:marBottom w:val="0"/>
      <w:divBdr>
        <w:top w:val="none" w:sz="0" w:space="0" w:color="auto"/>
        <w:left w:val="none" w:sz="0" w:space="0" w:color="auto"/>
        <w:bottom w:val="none" w:sz="0" w:space="0" w:color="auto"/>
        <w:right w:val="none" w:sz="0" w:space="0" w:color="auto"/>
      </w:divBdr>
    </w:div>
    <w:div w:id="735008229">
      <w:bodyDiv w:val="1"/>
      <w:marLeft w:val="0"/>
      <w:marRight w:val="0"/>
      <w:marTop w:val="0"/>
      <w:marBottom w:val="0"/>
      <w:divBdr>
        <w:top w:val="none" w:sz="0" w:space="0" w:color="auto"/>
        <w:left w:val="none" w:sz="0" w:space="0" w:color="auto"/>
        <w:bottom w:val="none" w:sz="0" w:space="0" w:color="auto"/>
        <w:right w:val="none" w:sz="0" w:space="0" w:color="auto"/>
      </w:divBdr>
    </w:div>
    <w:div w:id="746996002">
      <w:bodyDiv w:val="1"/>
      <w:marLeft w:val="0"/>
      <w:marRight w:val="0"/>
      <w:marTop w:val="0"/>
      <w:marBottom w:val="0"/>
      <w:divBdr>
        <w:top w:val="none" w:sz="0" w:space="0" w:color="auto"/>
        <w:left w:val="none" w:sz="0" w:space="0" w:color="auto"/>
        <w:bottom w:val="none" w:sz="0" w:space="0" w:color="auto"/>
        <w:right w:val="none" w:sz="0" w:space="0" w:color="auto"/>
      </w:divBdr>
    </w:div>
    <w:div w:id="778835947">
      <w:bodyDiv w:val="1"/>
      <w:marLeft w:val="0"/>
      <w:marRight w:val="0"/>
      <w:marTop w:val="0"/>
      <w:marBottom w:val="0"/>
      <w:divBdr>
        <w:top w:val="none" w:sz="0" w:space="0" w:color="auto"/>
        <w:left w:val="none" w:sz="0" w:space="0" w:color="auto"/>
        <w:bottom w:val="none" w:sz="0" w:space="0" w:color="auto"/>
        <w:right w:val="none" w:sz="0" w:space="0" w:color="auto"/>
      </w:divBdr>
    </w:div>
    <w:div w:id="782264021">
      <w:bodyDiv w:val="1"/>
      <w:marLeft w:val="0"/>
      <w:marRight w:val="0"/>
      <w:marTop w:val="0"/>
      <w:marBottom w:val="0"/>
      <w:divBdr>
        <w:top w:val="none" w:sz="0" w:space="0" w:color="auto"/>
        <w:left w:val="none" w:sz="0" w:space="0" w:color="auto"/>
        <w:bottom w:val="none" w:sz="0" w:space="0" w:color="auto"/>
        <w:right w:val="none" w:sz="0" w:space="0" w:color="auto"/>
      </w:divBdr>
    </w:div>
    <w:div w:id="784269570">
      <w:bodyDiv w:val="1"/>
      <w:marLeft w:val="0"/>
      <w:marRight w:val="0"/>
      <w:marTop w:val="0"/>
      <w:marBottom w:val="0"/>
      <w:divBdr>
        <w:top w:val="none" w:sz="0" w:space="0" w:color="auto"/>
        <w:left w:val="none" w:sz="0" w:space="0" w:color="auto"/>
        <w:bottom w:val="none" w:sz="0" w:space="0" w:color="auto"/>
        <w:right w:val="none" w:sz="0" w:space="0" w:color="auto"/>
      </w:divBdr>
    </w:div>
    <w:div w:id="785587313">
      <w:bodyDiv w:val="1"/>
      <w:marLeft w:val="0"/>
      <w:marRight w:val="0"/>
      <w:marTop w:val="0"/>
      <w:marBottom w:val="0"/>
      <w:divBdr>
        <w:top w:val="none" w:sz="0" w:space="0" w:color="auto"/>
        <w:left w:val="none" w:sz="0" w:space="0" w:color="auto"/>
        <w:bottom w:val="none" w:sz="0" w:space="0" w:color="auto"/>
        <w:right w:val="none" w:sz="0" w:space="0" w:color="auto"/>
      </w:divBdr>
    </w:div>
    <w:div w:id="847061351">
      <w:bodyDiv w:val="1"/>
      <w:marLeft w:val="0"/>
      <w:marRight w:val="0"/>
      <w:marTop w:val="0"/>
      <w:marBottom w:val="0"/>
      <w:divBdr>
        <w:top w:val="none" w:sz="0" w:space="0" w:color="auto"/>
        <w:left w:val="none" w:sz="0" w:space="0" w:color="auto"/>
        <w:bottom w:val="none" w:sz="0" w:space="0" w:color="auto"/>
        <w:right w:val="none" w:sz="0" w:space="0" w:color="auto"/>
      </w:divBdr>
    </w:div>
    <w:div w:id="892816381">
      <w:bodyDiv w:val="1"/>
      <w:marLeft w:val="0"/>
      <w:marRight w:val="0"/>
      <w:marTop w:val="0"/>
      <w:marBottom w:val="0"/>
      <w:divBdr>
        <w:top w:val="none" w:sz="0" w:space="0" w:color="auto"/>
        <w:left w:val="none" w:sz="0" w:space="0" w:color="auto"/>
        <w:bottom w:val="none" w:sz="0" w:space="0" w:color="auto"/>
        <w:right w:val="none" w:sz="0" w:space="0" w:color="auto"/>
      </w:divBdr>
    </w:div>
    <w:div w:id="909313202">
      <w:bodyDiv w:val="1"/>
      <w:marLeft w:val="0"/>
      <w:marRight w:val="0"/>
      <w:marTop w:val="0"/>
      <w:marBottom w:val="0"/>
      <w:divBdr>
        <w:top w:val="none" w:sz="0" w:space="0" w:color="auto"/>
        <w:left w:val="none" w:sz="0" w:space="0" w:color="auto"/>
        <w:bottom w:val="none" w:sz="0" w:space="0" w:color="auto"/>
        <w:right w:val="none" w:sz="0" w:space="0" w:color="auto"/>
      </w:divBdr>
    </w:div>
    <w:div w:id="911889635">
      <w:bodyDiv w:val="1"/>
      <w:marLeft w:val="0"/>
      <w:marRight w:val="0"/>
      <w:marTop w:val="0"/>
      <w:marBottom w:val="0"/>
      <w:divBdr>
        <w:top w:val="none" w:sz="0" w:space="0" w:color="auto"/>
        <w:left w:val="none" w:sz="0" w:space="0" w:color="auto"/>
        <w:bottom w:val="none" w:sz="0" w:space="0" w:color="auto"/>
        <w:right w:val="none" w:sz="0" w:space="0" w:color="auto"/>
      </w:divBdr>
    </w:div>
    <w:div w:id="935138230">
      <w:bodyDiv w:val="1"/>
      <w:marLeft w:val="0"/>
      <w:marRight w:val="0"/>
      <w:marTop w:val="0"/>
      <w:marBottom w:val="0"/>
      <w:divBdr>
        <w:top w:val="none" w:sz="0" w:space="0" w:color="auto"/>
        <w:left w:val="none" w:sz="0" w:space="0" w:color="auto"/>
        <w:bottom w:val="none" w:sz="0" w:space="0" w:color="auto"/>
        <w:right w:val="none" w:sz="0" w:space="0" w:color="auto"/>
      </w:divBdr>
    </w:div>
    <w:div w:id="939139113">
      <w:bodyDiv w:val="1"/>
      <w:marLeft w:val="0"/>
      <w:marRight w:val="0"/>
      <w:marTop w:val="0"/>
      <w:marBottom w:val="0"/>
      <w:divBdr>
        <w:top w:val="none" w:sz="0" w:space="0" w:color="auto"/>
        <w:left w:val="none" w:sz="0" w:space="0" w:color="auto"/>
        <w:bottom w:val="none" w:sz="0" w:space="0" w:color="auto"/>
        <w:right w:val="none" w:sz="0" w:space="0" w:color="auto"/>
      </w:divBdr>
    </w:div>
    <w:div w:id="940256022">
      <w:bodyDiv w:val="1"/>
      <w:marLeft w:val="0"/>
      <w:marRight w:val="0"/>
      <w:marTop w:val="0"/>
      <w:marBottom w:val="0"/>
      <w:divBdr>
        <w:top w:val="none" w:sz="0" w:space="0" w:color="auto"/>
        <w:left w:val="none" w:sz="0" w:space="0" w:color="auto"/>
        <w:bottom w:val="none" w:sz="0" w:space="0" w:color="auto"/>
        <w:right w:val="none" w:sz="0" w:space="0" w:color="auto"/>
      </w:divBdr>
    </w:div>
    <w:div w:id="950630046">
      <w:bodyDiv w:val="1"/>
      <w:marLeft w:val="0"/>
      <w:marRight w:val="0"/>
      <w:marTop w:val="0"/>
      <w:marBottom w:val="0"/>
      <w:divBdr>
        <w:top w:val="none" w:sz="0" w:space="0" w:color="auto"/>
        <w:left w:val="none" w:sz="0" w:space="0" w:color="auto"/>
        <w:bottom w:val="none" w:sz="0" w:space="0" w:color="auto"/>
        <w:right w:val="none" w:sz="0" w:space="0" w:color="auto"/>
      </w:divBdr>
    </w:div>
    <w:div w:id="965623876">
      <w:bodyDiv w:val="1"/>
      <w:marLeft w:val="0"/>
      <w:marRight w:val="0"/>
      <w:marTop w:val="0"/>
      <w:marBottom w:val="0"/>
      <w:divBdr>
        <w:top w:val="none" w:sz="0" w:space="0" w:color="auto"/>
        <w:left w:val="none" w:sz="0" w:space="0" w:color="auto"/>
        <w:bottom w:val="none" w:sz="0" w:space="0" w:color="auto"/>
        <w:right w:val="none" w:sz="0" w:space="0" w:color="auto"/>
      </w:divBdr>
    </w:div>
    <w:div w:id="1002313091">
      <w:bodyDiv w:val="1"/>
      <w:marLeft w:val="0"/>
      <w:marRight w:val="0"/>
      <w:marTop w:val="0"/>
      <w:marBottom w:val="0"/>
      <w:divBdr>
        <w:top w:val="none" w:sz="0" w:space="0" w:color="auto"/>
        <w:left w:val="none" w:sz="0" w:space="0" w:color="auto"/>
        <w:bottom w:val="none" w:sz="0" w:space="0" w:color="auto"/>
        <w:right w:val="none" w:sz="0" w:space="0" w:color="auto"/>
      </w:divBdr>
    </w:div>
    <w:div w:id="1003778927">
      <w:bodyDiv w:val="1"/>
      <w:marLeft w:val="0"/>
      <w:marRight w:val="0"/>
      <w:marTop w:val="0"/>
      <w:marBottom w:val="0"/>
      <w:divBdr>
        <w:top w:val="none" w:sz="0" w:space="0" w:color="auto"/>
        <w:left w:val="none" w:sz="0" w:space="0" w:color="auto"/>
        <w:bottom w:val="none" w:sz="0" w:space="0" w:color="auto"/>
        <w:right w:val="none" w:sz="0" w:space="0" w:color="auto"/>
      </w:divBdr>
    </w:div>
    <w:div w:id="1003781792">
      <w:bodyDiv w:val="1"/>
      <w:marLeft w:val="0"/>
      <w:marRight w:val="0"/>
      <w:marTop w:val="0"/>
      <w:marBottom w:val="0"/>
      <w:divBdr>
        <w:top w:val="none" w:sz="0" w:space="0" w:color="auto"/>
        <w:left w:val="none" w:sz="0" w:space="0" w:color="auto"/>
        <w:bottom w:val="none" w:sz="0" w:space="0" w:color="auto"/>
        <w:right w:val="none" w:sz="0" w:space="0" w:color="auto"/>
      </w:divBdr>
    </w:div>
    <w:div w:id="1005207238">
      <w:bodyDiv w:val="1"/>
      <w:marLeft w:val="0"/>
      <w:marRight w:val="0"/>
      <w:marTop w:val="0"/>
      <w:marBottom w:val="0"/>
      <w:divBdr>
        <w:top w:val="none" w:sz="0" w:space="0" w:color="auto"/>
        <w:left w:val="none" w:sz="0" w:space="0" w:color="auto"/>
        <w:bottom w:val="none" w:sz="0" w:space="0" w:color="auto"/>
        <w:right w:val="none" w:sz="0" w:space="0" w:color="auto"/>
      </w:divBdr>
    </w:div>
    <w:div w:id="1015572686">
      <w:bodyDiv w:val="1"/>
      <w:marLeft w:val="0"/>
      <w:marRight w:val="0"/>
      <w:marTop w:val="0"/>
      <w:marBottom w:val="0"/>
      <w:divBdr>
        <w:top w:val="none" w:sz="0" w:space="0" w:color="auto"/>
        <w:left w:val="none" w:sz="0" w:space="0" w:color="auto"/>
        <w:bottom w:val="none" w:sz="0" w:space="0" w:color="auto"/>
        <w:right w:val="none" w:sz="0" w:space="0" w:color="auto"/>
      </w:divBdr>
    </w:div>
    <w:div w:id="1024093450">
      <w:bodyDiv w:val="1"/>
      <w:marLeft w:val="0"/>
      <w:marRight w:val="0"/>
      <w:marTop w:val="0"/>
      <w:marBottom w:val="0"/>
      <w:divBdr>
        <w:top w:val="none" w:sz="0" w:space="0" w:color="auto"/>
        <w:left w:val="none" w:sz="0" w:space="0" w:color="auto"/>
        <w:bottom w:val="none" w:sz="0" w:space="0" w:color="auto"/>
        <w:right w:val="none" w:sz="0" w:space="0" w:color="auto"/>
      </w:divBdr>
    </w:div>
    <w:div w:id="1039941419">
      <w:bodyDiv w:val="1"/>
      <w:marLeft w:val="0"/>
      <w:marRight w:val="0"/>
      <w:marTop w:val="0"/>
      <w:marBottom w:val="0"/>
      <w:divBdr>
        <w:top w:val="none" w:sz="0" w:space="0" w:color="auto"/>
        <w:left w:val="none" w:sz="0" w:space="0" w:color="auto"/>
        <w:bottom w:val="none" w:sz="0" w:space="0" w:color="auto"/>
        <w:right w:val="none" w:sz="0" w:space="0" w:color="auto"/>
      </w:divBdr>
    </w:div>
    <w:div w:id="1049456758">
      <w:bodyDiv w:val="1"/>
      <w:marLeft w:val="0"/>
      <w:marRight w:val="0"/>
      <w:marTop w:val="0"/>
      <w:marBottom w:val="0"/>
      <w:divBdr>
        <w:top w:val="none" w:sz="0" w:space="0" w:color="auto"/>
        <w:left w:val="none" w:sz="0" w:space="0" w:color="auto"/>
        <w:bottom w:val="none" w:sz="0" w:space="0" w:color="auto"/>
        <w:right w:val="none" w:sz="0" w:space="0" w:color="auto"/>
      </w:divBdr>
    </w:div>
    <w:div w:id="1079601887">
      <w:bodyDiv w:val="1"/>
      <w:marLeft w:val="0"/>
      <w:marRight w:val="0"/>
      <w:marTop w:val="0"/>
      <w:marBottom w:val="0"/>
      <w:divBdr>
        <w:top w:val="none" w:sz="0" w:space="0" w:color="auto"/>
        <w:left w:val="none" w:sz="0" w:space="0" w:color="auto"/>
        <w:bottom w:val="none" w:sz="0" w:space="0" w:color="auto"/>
        <w:right w:val="none" w:sz="0" w:space="0" w:color="auto"/>
      </w:divBdr>
    </w:div>
    <w:div w:id="1118255972">
      <w:bodyDiv w:val="1"/>
      <w:marLeft w:val="0"/>
      <w:marRight w:val="0"/>
      <w:marTop w:val="0"/>
      <w:marBottom w:val="0"/>
      <w:divBdr>
        <w:top w:val="none" w:sz="0" w:space="0" w:color="auto"/>
        <w:left w:val="none" w:sz="0" w:space="0" w:color="auto"/>
        <w:bottom w:val="none" w:sz="0" w:space="0" w:color="auto"/>
        <w:right w:val="none" w:sz="0" w:space="0" w:color="auto"/>
      </w:divBdr>
    </w:div>
    <w:div w:id="1155872751">
      <w:bodyDiv w:val="1"/>
      <w:marLeft w:val="0"/>
      <w:marRight w:val="0"/>
      <w:marTop w:val="0"/>
      <w:marBottom w:val="0"/>
      <w:divBdr>
        <w:top w:val="none" w:sz="0" w:space="0" w:color="auto"/>
        <w:left w:val="none" w:sz="0" w:space="0" w:color="auto"/>
        <w:bottom w:val="none" w:sz="0" w:space="0" w:color="auto"/>
        <w:right w:val="none" w:sz="0" w:space="0" w:color="auto"/>
      </w:divBdr>
    </w:div>
    <w:div w:id="1169491161">
      <w:bodyDiv w:val="1"/>
      <w:marLeft w:val="0"/>
      <w:marRight w:val="0"/>
      <w:marTop w:val="0"/>
      <w:marBottom w:val="0"/>
      <w:divBdr>
        <w:top w:val="none" w:sz="0" w:space="0" w:color="auto"/>
        <w:left w:val="none" w:sz="0" w:space="0" w:color="auto"/>
        <w:bottom w:val="none" w:sz="0" w:space="0" w:color="auto"/>
        <w:right w:val="none" w:sz="0" w:space="0" w:color="auto"/>
      </w:divBdr>
    </w:div>
    <w:div w:id="1169561496">
      <w:bodyDiv w:val="1"/>
      <w:marLeft w:val="0"/>
      <w:marRight w:val="0"/>
      <w:marTop w:val="0"/>
      <w:marBottom w:val="0"/>
      <w:divBdr>
        <w:top w:val="none" w:sz="0" w:space="0" w:color="auto"/>
        <w:left w:val="none" w:sz="0" w:space="0" w:color="auto"/>
        <w:bottom w:val="none" w:sz="0" w:space="0" w:color="auto"/>
        <w:right w:val="none" w:sz="0" w:space="0" w:color="auto"/>
      </w:divBdr>
    </w:div>
    <w:div w:id="1179467976">
      <w:bodyDiv w:val="1"/>
      <w:marLeft w:val="0"/>
      <w:marRight w:val="0"/>
      <w:marTop w:val="0"/>
      <w:marBottom w:val="0"/>
      <w:divBdr>
        <w:top w:val="none" w:sz="0" w:space="0" w:color="auto"/>
        <w:left w:val="none" w:sz="0" w:space="0" w:color="auto"/>
        <w:bottom w:val="none" w:sz="0" w:space="0" w:color="auto"/>
        <w:right w:val="none" w:sz="0" w:space="0" w:color="auto"/>
      </w:divBdr>
    </w:div>
    <w:div w:id="1188907577">
      <w:bodyDiv w:val="1"/>
      <w:marLeft w:val="0"/>
      <w:marRight w:val="0"/>
      <w:marTop w:val="0"/>
      <w:marBottom w:val="0"/>
      <w:divBdr>
        <w:top w:val="none" w:sz="0" w:space="0" w:color="auto"/>
        <w:left w:val="none" w:sz="0" w:space="0" w:color="auto"/>
        <w:bottom w:val="none" w:sz="0" w:space="0" w:color="auto"/>
        <w:right w:val="none" w:sz="0" w:space="0" w:color="auto"/>
      </w:divBdr>
    </w:div>
    <w:div w:id="1202522709">
      <w:bodyDiv w:val="1"/>
      <w:marLeft w:val="0"/>
      <w:marRight w:val="0"/>
      <w:marTop w:val="0"/>
      <w:marBottom w:val="0"/>
      <w:divBdr>
        <w:top w:val="none" w:sz="0" w:space="0" w:color="auto"/>
        <w:left w:val="none" w:sz="0" w:space="0" w:color="auto"/>
        <w:bottom w:val="none" w:sz="0" w:space="0" w:color="auto"/>
        <w:right w:val="none" w:sz="0" w:space="0" w:color="auto"/>
      </w:divBdr>
    </w:div>
    <w:div w:id="1218933397">
      <w:bodyDiv w:val="1"/>
      <w:marLeft w:val="0"/>
      <w:marRight w:val="0"/>
      <w:marTop w:val="0"/>
      <w:marBottom w:val="0"/>
      <w:divBdr>
        <w:top w:val="none" w:sz="0" w:space="0" w:color="auto"/>
        <w:left w:val="none" w:sz="0" w:space="0" w:color="auto"/>
        <w:bottom w:val="none" w:sz="0" w:space="0" w:color="auto"/>
        <w:right w:val="none" w:sz="0" w:space="0" w:color="auto"/>
      </w:divBdr>
    </w:div>
    <w:div w:id="1232737504">
      <w:bodyDiv w:val="1"/>
      <w:marLeft w:val="0"/>
      <w:marRight w:val="0"/>
      <w:marTop w:val="0"/>
      <w:marBottom w:val="0"/>
      <w:divBdr>
        <w:top w:val="none" w:sz="0" w:space="0" w:color="auto"/>
        <w:left w:val="none" w:sz="0" w:space="0" w:color="auto"/>
        <w:bottom w:val="none" w:sz="0" w:space="0" w:color="auto"/>
        <w:right w:val="none" w:sz="0" w:space="0" w:color="auto"/>
      </w:divBdr>
    </w:div>
    <w:div w:id="1248492331">
      <w:bodyDiv w:val="1"/>
      <w:marLeft w:val="0"/>
      <w:marRight w:val="0"/>
      <w:marTop w:val="0"/>
      <w:marBottom w:val="0"/>
      <w:divBdr>
        <w:top w:val="none" w:sz="0" w:space="0" w:color="auto"/>
        <w:left w:val="none" w:sz="0" w:space="0" w:color="auto"/>
        <w:bottom w:val="none" w:sz="0" w:space="0" w:color="auto"/>
        <w:right w:val="none" w:sz="0" w:space="0" w:color="auto"/>
      </w:divBdr>
    </w:div>
    <w:div w:id="1293904897">
      <w:bodyDiv w:val="1"/>
      <w:marLeft w:val="0"/>
      <w:marRight w:val="0"/>
      <w:marTop w:val="0"/>
      <w:marBottom w:val="0"/>
      <w:divBdr>
        <w:top w:val="none" w:sz="0" w:space="0" w:color="auto"/>
        <w:left w:val="none" w:sz="0" w:space="0" w:color="auto"/>
        <w:bottom w:val="none" w:sz="0" w:space="0" w:color="auto"/>
        <w:right w:val="none" w:sz="0" w:space="0" w:color="auto"/>
      </w:divBdr>
    </w:div>
    <w:div w:id="1300302269">
      <w:bodyDiv w:val="1"/>
      <w:marLeft w:val="0"/>
      <w:marRight w:val="0"/>
      <w:marTop w:val="0"/>
      <w:marBottom w:val="0"/>
      <w:divBdr>
        <w:top w:val="none" w:sz="0" w:space="0" w:color="auto"/>
        <w:left w:val="none" w:sz="0" w:space="0" w:color="auto"/>
        <w:bottom w:val="none" w:sz="0" w:space="0" w:color="auto"/>
        <w:right w:val="none" w:sz="0" w:space="0" w:color="auto"/>
      </w:divBdr>
    </w:div>
    <w:div w:id="1335451458">
      <w:bodyDiv w:val="1"/>
      <w:marLeft w:val="0"/>
      <w:marRight w:val="0"/>
      <w:marTop w:val="0"/>
      <w:marBottom w:val="0"/>
      <w:divBdr>
        <w:top w:val="none" w:sz="0" w:space="0" w:color="auto"/>
        <w:left w:val="none" w:sz="0" w:space="0" w:color="auto"/>
        <w:bottom w:val="none" w:sz="0" w:space="0" w:color="auto"/>
        <w:right w:val="none" w:sz="0" w:space="0" w:color="auto"/>
      </w:divBdr>
    </w:div>
    <w:div w:id="1353649075">
      <w:bodyDiv w:val="1"/>
      <w:marLeft w:val="0"/>
      <w:marRight w:val="0"/>
      <w:marTop w:val="0"/>
      <w:marBottom w:val="0"/>
      <w:divBdr>
        <w:top w:val="none" w:sz="0" w:space="0" w:color="auto"/>
        <w:left w:val="none" w:sz="0" w:space="0" w:color="auto"/>
        <w:bottom w:val="none" w:sz="0" w:space="0" w:color="auto"/>
        <w:right w:val="none" w:sz="0" w:space="0" w:color="auto"/>
      </w:divBdr>
    </w:div>
    <w:div w:id="1362516890">
      <w:bodyDiv w:val="1"/>
      <w:marLeft w:val="0"/>
      <w:marRight w:val="0"/>
      <w:marTop w:val="0"/>
      <w:marBottom w:val="0"/>
      <w:divBdr>
        <w:top w:val="none" w:sz="0" w:space="0" w:color="auto"/>
        <w:left w:val="none" w:sz="0" w:space="0" w:color="auto"/>
        <w:bottom w:val="none" w:sz="0" w:space="0" w:color="auto"/>
        <w:right w:val="none" w:sz="0" w:space="0" w:color="auto"/>
      </w:divBdr>
    </w:div>
    <w:div w:id="1378509301">
      <w:bodyDiv w:val="1"/>
      <w:marLeft w:val="0"/>
      <w:marRight w:val="0"/>
      <w:marTop w:val="0"/>
      <w:marBottom w:val="0"/>
      <w:divBdr>
        <w:top w:val="none" w:sz="0" w:space="0" w:color="auto"/>
        <w:left w:val="none" w:sz="0" w:space="0" w:color="auto"/>
        <w:bottom w:val="none" w:sz="0" w:space="0" w:color="auto"/>
        <w:right w:val="none" w:sz="0" w:space="0" w:color="auto"/>
      </w:divBdr>
    </w:div>
    <w:div w:id="1423407270">
      <w:bodyDiv w:val="1"/>
      <w:marLeft w:val="0"/>
      <w:marRight w:val="0"/>
      <w:marTop w:val="0"/>
      <w:marBottom w:val="0"/>
      <w:divBdr>
        <w:top w:val="none" w:sz="0" w:space="0" w:color="auto"/>
        <w:left w:val="none" w:sz="0" w:space="0" w:color="auto"/>
        <w:bottom w:val="none" w:sz="0" w:space="0" w:color="auto"/>
        <w:right w:val="none" w:sz="0" w:space="0" w:color="auto"/>
      </w:divBdr>
    </w:div>
    <w:div w:id="1430196812">
      <w:bodyDiv w:val="1"/>
      <w:marLeft w:val="0"/>
      <w:marRight w:val="0"/>
      <w:marTop w:val="0"/>
      <w:marBottom w:val="0"/>
      <w:divBdr>
        <w:top w:val="none" w:sz="0" w:space="0" w:color="auto"/>
        <w:left w:val="none" w:sz="0" w:space="0" w:color="auto"/>
        <w:bottom w:val="none" w:sz="0" w:space="0" w:color="auto"/>
        <w:right w:val="none" w:sz="0" w:space="0" w:color="auto"/>
      </w:divBdr>
    </w:div>
    <w:div w:id="1432438051">
      <w:bodyDiv w:val="1"/>
      <w:marLeft w:val="0"/>
      <w:marRight w:val="0"/>
      <w:marTop w:val="0"/>
      <w:marBottom w:val="0"/>
      <w:divBdr>
        <w:top w:val="none" w:sz="0" w:space="0" w:color="auto"/>
        <w:left w:val="none" w:sz="0" w:space="0" w:color="auto"/>
        <w:bottom w:val="none" w:sz="0" w:space="0" w:color="auto"/>
        <w:right w:val="none" w:sz="0" w:space="0" w:color="auto"/>
      </w:divBdr>
    </w:div>
    <w:div w:id="1474829831">
      <w:bodyDiv w:val="1"/>
      <w:marLeft w:val="0"/>
      <w:marRight w:val="0"/>
      <w:marTop w:val="0"/>
      <w:marBottom w:val="0"/>
      <w:divBdr>
        <w:top w:val="none" w:sz="0" w:space="0" w:color="auto"/>
        <w:left w:val="none" w:sz="0" w:space="0" w:color="auto"/>
        <w:bottom w:val="none" w:sz="0" w:space="0" w:color="auto"/>
        <w:right w:val="none" w:sz="0" w:space="0" w:color="auto"/>
      </w:divBdr>
    </w:div>
    <w:div w:id="1491213525">
      <w:bodyDiv w:val="1"/>
      <w:marLeft w:val="0"/>
      <w:marRight w:val="0"/>
      <w:marTop w:val="0"/>
      <w:marBottom w:val="0"/>
      <w:divBdr>
        <w:top w:val="none" w:sz="0" w:space="0" w:color="auto"/>
        <w:left w:val="none" w:sz="0" w:space="0" w:color="auto"/>
        <w:bottom w:val="none" w:sz="0" w:space="0" w:color="auto"/>
        <w:right w:val="none" w:sz="0" w:space="0" w:color="auto"/>
      </w:divBdr>
    </w:div>
    <w:div w:id="1504978792">
      <w:bodyDiv w:val="1"/>
      <w:marLeft w:val="0"/>
      <w:marRight w:val="0"/>
      <w:marTop w:val="0"/>
      <w:marBottom w:val="0"/>
      <w:divBdr>
        <w:top w:val="none" w:sz="0" w:space="0" w:color="auto"/>
        <w:left w:val="none" w:sz="0" w:space="0" w:color="auto"/>
        <w:bottom w:val="none" w:sz="0" w:space="0" w:color="auto"/>
        <w:right w:val="none" w:sz="0" w:space="0" w:color="auto"/>
      </w:divBdr>
    </w:div>
    <w:div w:id="1537424809">
      <w:bodyDiv w:val="1"/>
      <w:marLeft w:val="0"/>
      <w:marRight w:val="0"/>
      <w:marTop w:val="0"/>
      <w:marBottom w:val="0"/>
      <w:divBdr>
        <w:top w:val="none" w:sz="0" w:space="0" w:color="auto"/>
        <w:left w:val="none" w:sz="0" w:space="0" w:color="auto"/>
        <w:bottom w:val="none" w:sz="0" w:space="0" w:color="auto"/>
        <w:right w:val="none" w:sz="0" w:space="0" w:color="auto"/>
      </w:divBdr>
    </w:div>
    <w:div w:id="1539319867">
      <w:bodyDiv w:val="1"/>
      <w:marLeft w:val="0"/>
      <w:marRight w:val="0"/>
      <w:marTop w:val="0"/>
      <w:marBottom w:val="0"/>
      <w:divBdr>
        <w:top w:val="none" w:sz="0" w:space="0" w:color="auto"/>
        <w:left w:val="none" w:sz="0" w:space="0" w:color="auto"/>
        <w:bottom w:val="none" w:sz="0" w:space="0" w:color="auto"/>
        <w:right w:val="none" w:sz="0" w:space="0" w:color="auto"/>
      </w:divBdr>
    </w:div>
    <w:div w:id="1554073845">
      <w:bodyDiv w:val="1"/>
      <w:marLeft w:val="0"/>
      <w:marRight w:val="0"/>
      <w:marTop w:val="0"/>
      <w:marBottom w:val="0"/>
      <w:divBdr>
        <w:top w:val="none" w:sz="0" w:space="0" w:color="auto"/>
        <w:left w:val="none" w:sz="0" w:space="0" w:color="auto"/>
        <w:bottom w:val="none" w:sz="0" w:space="0" w:color="auto"/>
        <w:right w:val="none" w:sz="0" w:space="0" w:color="auto"/>
      </w:divBdr>
    </w:div>
    <w:div w:id="1565413252">
      <w:bodyDiv w:val="1"/>
      <w:marLeft w:val="0"/>
      <w:marRight w:val="0"/>
      <w:marTop w:val="0"/>
      <w:marBottom w:val="0"/>
      <w:divBdr>
        <w:top w:val="none" w:sz="0" w:space="0" w:color="auto"/>
        <w:left w:val="none" w:sz="0" w:space="0" w:color="auto"/>
        <w:bottom w:val="none" w:sz="0" w:space="0" w:color="auto"/>
        <w:right w:val="none" w:sz="0" w:space="0" w:color="auto"/>
      </w:divBdr>
    </w:div>
    <w:div w:id="1595094507">
      <w:bodyDiv w:val="1"/>
      <w:marLeft w:val="0"/>
      <w:marRight w:val="0"/>
      <w:marTop w:val="0"/>
      <w:marBottom w:val="0"/>
      <w:divBdr>
        <w:top w:val="none" w:sz="0" w:space="0" w:color="auto"/>
        <w:left w:val="none" w:sz="0" w:space="0" w:color="auto"/>
        <w:bottom w:val="none" w:sz="0" w:space="0" w:color="auto"/>
        <w:right w:val="none" w:sz="0" w:space="0" w:color="auto"/>
      </w:divBdr>
    </w:div>
    <w:div w:id="1597664796">
      <w:bodyDiv w:val="1"/>
      <w:marLeft w:val="0"/>
      <w:marRight w:val="0"/>
      <w:marTop w:val="0"/>
      <w:marBottom w:val="0"/>
      <w:divBdr>
        <w:top w:val="none" w:sz="0" w:space="0" w:color="auto"/>
        <w:left w:val="none" w:sz="0" w:space="0" w:color="auto"/>
        <w:bottom w:val="none" w:sz="0" w:space="0" w:color="auto"/>
        <w:right w:val="none" w:sz="0" w:space="0" w:color="auto"/>
      </w:divBdr>
    </w:div>
    <w:div w:id="1610312035">
      <w:bodyDiv w:val="1"/>
      <w:marLeft w:val="0"/>
      <w:marRight w:val="0"/>
      <w:marTop w:val="0"/>
      <w:marBottom w:val="0"/>
      <w:divBdr>
        <w:top w:val="none" w:sz="0" w:space="0" w:color="auto"/>
        <w:left w:val="none" w:sz="0" w:space="0" w:color="auto"/>
        <w:bottom w:val="none" w:sz="0" w:space="0" w:color="auto"/>
        <w:right w:val="none" w:sz="0" w:space="0" w:color="auto"/>
      </w:divBdr>
    </w:div>
    <w:div w:id="1648627448">
      <w:bodyDiv w:val="1"/>
      <w:marLeft w:val="0"/>
      <w:marRight w:val="0"/>
      <w:marTop w:val="0"/>
      <w:marBottom w:val="0"/>
      <w:divBdr>
        <w:top w:val="none" w:sz="0" w:space="0" w:color="auto"/>
        <w:left w:val="none" w:sz="0" w:space="0" w:color="auto"/>
        <w:bottom w:val="none" w:sz="0" w:space="0" w:color="auto"/>
        <w:right w:val="none" w:sz="0" w:space="0" w:color="auto"/>
      </w:divBdr>
    </w:div>
    <w:div w:id="1653944643">
      <w:bodyDiv w:val="1"/>
      <w:marLeft w:val="0"/>
      <w:marRight w:val="0"/>
      <w:marTop w:val="0"/>
      <w:marBottom w:val="0"/>
      <w:divBdr>
        <w:top w:val="none" w:sz="0" w:space="0" w:color="auto"/>
        <w:left w:val="none" w:sz="0" w:space="0" w:color="auto"/>
        <w:bottom w:val="none" w:sz="0" w:space="0" w:color="auto"/>
        <w:right w:val="none" w:sz="0" w:space="0" w:color="auto"/>
      </w:divBdr>
    </w:div>
    <w:div w:id="1656253834">
      <w:bodyDiv w:val="1"/>
      <w:marLeft w:val="0"/>
      <w:marRight w:val="0"/>
      <w:marTop w:val="0"/>
      <w:marBottom w:val="0"/>
      <w:divBdr>
        <w:top w:val="none" w:sz="0" w:space="0" w:color="auto"/>
        <w:left w:val="none" w:sz="0" w:space="0" w:color="auto"/>
        <w:bottom w:val="none" w:sz="0" w:space="0" w:color="auto"/>
        <w:right w:val="none" w:sz="0" w:space="0" w:color="auto"/>
      </w:divBdr>
    </w:div>
    <w:div w:id="1672221075">
      <w:bodyDiv w:val="1"/>
      <w:marLeft w:val="0"/>
      <w:marRight w:val="0"/>
      <w:marTop w:val="0"/>
      <w:marBottom w:val="0"/>
      <w:divBdr>
        <w:top w:val="none" w:sz="0" w:space="0" w:color="auto"/>
        <w:left w:val="none" w:sz="0" w:space="0" w:color="auto"/>
        <w:bottom w:val="none" w:sz="0" w:space="0" w:color="auto"/>
        <w:right w:val="none" w:sz="0" w:space="0" w:color="auto"/>
      </w:divBdr>
    </w:div>
    <w:div w:id="1696268765">
      <w:bodyDiv w:val="1"/>
      <w:marLeft w:val="0"/>
      <w:marRight w:val="0"/>
      <w:marTop w:val="0"/>
      <w:marBottom w:val="0"/>
      <w:divBdr>
        <w:top w:val="none" w:sz="0" w:space="0" w:color="auto"/>
        <w:left w:val="none" w:sz="0" w:space="0" w:color="auto"/>
        <w:bottom w:val="none" w:sz="0" w:space="0" w:color="auto"/>
        <w:right w:val="none" w:sz="0" w:space="0" w:color="auto"/>
      </w:divBdr>
      <w:divsChild>
        <w:div w:id="1012805785">
          <w:marLeft w:val="0"/>
          <w:marRight w:val="0"/>
          <w:marTop w:val="0"/>
          <w:marBottom w:val="0"/>
          <w:divBdr>
            <w:top w:val="none" w:sz="0" w:space="0" w:color="auto"/>
            <w:left w:val="none" w:sz="0" w:space="0" w:color="auto"/>
            <w:bottom w:val="none" w:sz="0" w:space="0" w:color="auto"/>
            <w:right w:val="none" w:sz="0" w:space="0" w:color="auto"/>
          </w:divBdr>
          <w:divsChild>
            <w:div w:id="165991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156868">
      <w:bodyDiv w:val="1"/>
      <w:marLeft w:val="0"/>
      <w:marRight w:val="0"/>
      <w:marTop w:val="0"/>
      <w:marBottom w:val="0"/>
      <w:divBdr>
        <w:top w:val="none" w:sz="0" w:space="0" w:color="auto"/>
        <w:left w:val="none" w:sz="0" w:space="0" w:color="auto"/>
        <w:bottom w:val="none" w:sz="0" w:space="0" w:color="auto"/>
        <w:right w:val="none" w:sz="0" w:space="0" w:color="auto"/>
      </w:divBdr>
    </w:div>
    <w:div w:id="1718621186">
      <w:bodyDiv w:val="1"/>
      <w:marLeft w:val="0"/>
      <w:marRight w:val="0"/>
      <w:marTop w:val="0"/>
      <w:marBottom w:val="0"/>
      <w:divBdr>
        <w:top w:val="none" w:sz="0" w:space="0" w:color="auto"/>
        <w:left w:val="none" w:sz="0" w:space="0" w:color="auto"/>
        <w:bottom w:val="none" w:sz="0" w:space="0" w:color="auto"/>
        <w:right w:val="none" w:sz="0" w:space="0" w:color="auto"/>
      </w:divBdr>
    </w:div>
    <w:div w:id="1727026937">
      <w:bodyDiv w:val="1"/>
      <w:marLeft w:val="0"/>
      <w:marRight w:val="0"/>
      <w:marTop w:val="0"/>
      <w:marBottom w:val="0"/>
      <w:divBdr>
        <w:top w:val="none" w:sz="0" w:space="0" w:color="auto"/>
        <w:left w:val="none" w:sz="0" w:space="0" w:color="auto"/>
        <w:bottom w:val="none" w:sz="0" w:space="0" w:color="auto"/>
        <w:right w:val="none" w:sz="0" w:space="0" w:color="auto"/>
      </w:divBdr>
    </w:div>
    <w:div w:id="1774278975">
      <w:bodyDiv w:val="1"/>
      <w:marLeft w:val="0"/>
      <w:marRight w:val="0"/>
      <w:marTop w:val="0"/>
      <w:marBottom w:val="0"/>
      <w:divBdr>
        <w:top w:val="none" w:sz="0" w:space="0" w:color="auto"/>
        <w:left w:val="none" w:sz="0" w:space="0" w:color="auto"/>
        <w:bottom w:val="none" w:sz="0" w:space="0" w:color="auto"/>
        <w:right w:val="none" w:sz="0" w:space="0" w:color="auto"/>
      </w:divBdr>
    </w:div>
    <w:div w:id="1775781020">
      <w:bodyDiv w:val="1"/>
      <w:marLeft w:val="0"/>
      <w:marRight w:val="0"/>
      <w:marTop w:val="0"/>
      <w:marBottom w:val="0"/>
      <w:divBdr>
        <w:top w:val="none" w:sz="0" w:space="0" w:color="auto"/>
        <w:left w:val="none" w:sz="0" w:space="0" w:color="auto"/>
        <w:bottom w:val="none" w:sz="0" w:space="0" w:color="auto"/>
        <w:right w:val="none" w:sz="0" w:space="0" w:color="auto"/>
      </w:divBdr>
    </w:div>
    <w:div w:id="1784615024">
      <w:bodyDiv w:val="1"/>
      <w:marLeft w:val="0"/>
      <w:marRight w:val="0"/>
      <w:marTop w:val="0"/>
      <w:marBottom w:val="0"/>
      <w:divBdr>
        <w:top w:val="none" w:sz="0" w:space="0" w:color="auto"/>
        <w:left w:val="none" w:sz="0" w:space="0" w:color="auto"/>
        <w:bottom w:val="none" w:sz="0" w:space="0" w:color="auto"/>
        <w:right w:val="none" w:sz="0" w:space="0" w:color="auto"/>
      </w:divBdr>
    </w:div>
    <w:div w:id="1812484273">
      <w:bodyDiv w:val="1"/>
      <w:marLeft w:val="0"/>
      <w:marRight w:val="0"/>
      <w:marTop w:val="0"/>
      <w:marBottom w:val="0"/>
      <w:divBdr>
        <w:top w:val="none" w:sz="0" w:space="0" w:color="auto"/>
        <w:left w:val="none" w:sz="0" w:space="0" w:color="auto"/>
        <w:bottom w:val="none" w:sz="0" w:space="0" w:color="auto"/>
        <w:right w:val="none" w:sz="0" w:space="0" w:color="auto"/>
      </w:divBdr>
    </w:div>
    <w:div w:id="1819417772">
      <w:bodyDiv w:val="1"/>
      <w:marLeft w:val="0"/>
      <w:marRight w:val="0"/>
      <w:marTop w:val="0"/>
      <w:marBottom w:val="0"/>
      <w:divBdr>
        <w:top w:val="none" w:sz="0" w:space="0" w:color="auto"/>
        <w:left w:val="none" w:sz="0" w:space="0" w:color="auto"/>
        <w:bottom w:val="none" w:sz="0" w:space="0" w:color="auto"/>
        <w:right w:val="none" w:sz="0" w:space="0" w:color="auto"/>
      </w:divBdr>
    </w:div>
    <w:div w:id="1832452433">
      <w:bodyDiv w:val="1"/>
      <w:marLeft w:val="0"/>
      <w:marRight w:val="0"/>
      <w:marTop w:val="0"/>
      <w:marBottom w:val="0"/>
      <w:divBdr>
        <w:top w:val="none" w:sz="0" w:space="0" w:color="auto"/>
        <w:left w:val="none" w:sz="0" w:space="0" w:color="auto"/>
        <w:bottom w:val="none" w:sz="0" w:space="0" w:color="auto"/>
        <w:right w:val="none" w:sz="0" w:space="0" w:color="auto"/>
      </w:divBdr>
    </w:div>
    <w:div w:id="1833598710">
      <w:bodyDiv w:val="1"/>
      <w:marLeft w:val="0"/>
      <w:marRight w:val="0"/>
      <w:marTop w:val="0"/>
      <w:marBottom w:val="0"/>
      <w:divBdr>
        <w:top w:val="none" w:sz="0" w:space="0" w:color="auto"/>
        <w:left w:val="none" w:sz="0" w:space="0" w:color="auto"/>
        <w:bottom w:val="none" w:sz="0" w:space="0" w:color="auto"/>
        <w:right w:val="none" w:sz="0" w:space="0" w:color="auto"/>
      </w:divBdr>
    </w:div>
    <w:div w:id="1840803392">
      <w:bodyDiv w:val="1"/>
      <w:marLeft w:val="0"/>
      <w:marRight w:val="0"/>
      <w:marTop w:val="0"/>
      <w:marBottom w:val="0"/>
      <w:divBdr>
        <w:top w:val="none" w:sz="0" w:space="0" w:color="auto"/>
        <w:left w:val="none" w:sz="0" w:space="0" w:color="auto"/>
        <w:bottom w:val="none" w:sz="0" w:space="0" w:color="auto"/>
        <w:right w:val="none" w:sz="0" w:space="0" w:color="auto"/>
      </w:divBdr>
    </w:div>
    <w:div w:id="1846704848">
      <w:bodyDiv w:val="1"/>
      <w:marLeft w:val="0"/>
      <w:marRight w:val="0"/>
      <w:marTop w:val="0"/>
      <w:marBottom w:val="0"/>
      <w:divBdr>
        <w:top w:val="none" w:sz="0" w:space="0" w:color="auto"/>
        <w:left w:val="none" w:sz="0" w:space="0" w:color="auto"/>
        <w:bottom w:val="none" w:sz="0" w:space="0" w:color="auto"/>
        <w:right w:val="none" w:sz="0" w:space="0" w:color="auto"/>
      </w:divBdr>
    </w:div>
    <w:div w:id="1870410087">
      <w:bodyDiv w:val="1"/>
      <w:marLeft w:val="0"/>
      <w:marRight w:val="0"/>
      <w:marTop w:val="0"/>
      <w:marBottom w:val="0"/>
      <w:divBdr>
        <w:top w:val="none" w:sz="0" w:space="0" w:color="auto"/>
        <w:left w:val="none" w:sz="0" w:space="0" w:color="auto"/>
        <w:bottom w:val="none" w:sz="0" w:space="0" w:color="auto"/>
        <w:right w:val="none" w:sz="0" w:space="0" w:color="auto"/>
      </w:divBdr>
    </w:div>
    <w:div w:id="1901670968">
      <w:bodyDiv w:val="1"/>
      <w:marLeft w:val="0"/>
      <w:marRight w:val="0"/>
      <w:marTop w:val="0"/>
      <w:marBottom w:val="0"/>
      <w:divBdr>
        <w:top w:val="none" w:sz="0" w:space="0" w:color="auto"/>
        <w:left w:val="none" w:sz="0" w:space="0" w:color="auto"/>
        <w:bottom w:val="none" w:sz="0" w:space="0" w:color="auto"/>
        <w:right w:val="none" w:sz="0" w:space="0" w:color="auto"/>
      </w:divBdr>
    </w:div>
    <w:div w:id="1925604299">
      <w:bodyDiv w:val="1"/>
      <w:marLeft w:val="0"/>
      <w:marRight w:val="0"/>
      <w:marTop w:val="0"/>
      <w:marBottom w:val="0"/>
      <w:divBdr>
        <w:top w:val="none" w:sz="0" w:space="0" w:color="auto"/>
        <w:left w:val="none" w:sz="0" w:space="0" w:color="auto"/>
        <w:bottom w:val="none" w:sz="0" w:space="0" w:color="auto"/>
        <w:right w:val="none" w:sz="0" w:space="0" w:color="auto"/>
      </w:divBdr>
    </w:div>
    <w:div w:id="1982228906">
      <w:bodyDiv w:val="1"/>
      <w:marLeft w:val="0"/>
      <w:marRight w:val="0"/>
      <w:marTop w:val="0"/>
      <w:marBottom w:val="0"/>
      <w:divBdr>
        <w:top w:val="none" w:sz="0" w:space="0" w:color="auto"/>
        <w:left w:val="none" w:sz="0" w:space="0" w:color="auto"/>
        <w:bottom w:val="none" w:sz="0" w:space="0" w:color="auto"/>
        <w:right w:val="none" w:sz="0" w:space="0" w:color="auto"/>
      </w:divBdr>
    </w:div>
    <w:div w:id="2000229204">
      <w:bodyDiv w:val="1"/>
      <w:marLeft w:val="0"/>
      <w:marRight w:val="0"/>
      <w:marTop w:val="0"/>
      <w:marBottom w:val="0"/>
      <w:divBdr>
        <w:top w:val="none" w:sz="0" w:space="0" w:color="auto"/>
        <w:left w:val="none" w:sz="0" w:space="0" w:color="auto"/>
        <w:bottom w:val="none" w:sz="0" w:space="0" w:color="auto"/>
        <w:right w:val="none" w:sz="0" w:space="0" w:color="auto"/>
      </w:divBdr>
    </w:div>
    <w:div w:id="2000229516">
      <w:bodyDiv w:val="1"/>
      <w:marLeft w:val="0"/>
      <w:marRight w:val="0"/>
      <w:marTop w:val="0"/>
      <w:marBottom w:val="0"/>
      <w:divBdr>
        <w:top w:val="none" w:sz="0" w:space="0" w:color="auto"/>
        <w:left w:val="none" w:sz="0" w:space="0" w:color="auto"/>
        <w:bottom w:val="none" w:sz="0" w:space="0" w:color="auto"/>
        <w:right w:val="none" w:sz="0" w:space="0" w:color="auto"/>
      </w:divBdr>
    </w:div>
    <w:div w:id="2011325551">
      <w:bodyDiv w:val="1"/>
      <w:marLeft w:val="0"/>
      <w:marRight w:val="0"/>
      <w:marTop w:val="0"/>
      <w:marBottom w:val="0"/>
      <w:divBdr>
        <w:top w:val="none" w:sz="0" w:space="0" w:color="auto"/>
        <w:left w:val="none" w:sz="0" w:space="0" w:color="auto"/>
        <w:bottom w:val="none" w:sz="0" w:space="0" w:color="auto"/>
        <w:right w:val="none" w:sz="0" w:space="0" w:color="auto"/>
      </w:divBdr>
    </w:div>
    <w:div w:id="2026206008">
      <w:bodyDiv w:val="1"/>
      <w:marLeft w:val="0"/>
      <w:marRight w:val="0"/>
      <w:marTop w:val="0"/>
      <w:marBottom w:val="0"/>
      <w:divBdr>
        <w:top w:val="none" w:sz="0" w:space="0" w:color="auto"/>
        <w:left w:val="none" w:sz="0" w:space="0" w:color="auto"/>
        <w:bottom w:val="none" w:sz="0" w:space="0" w:color="auto"/>
        <w:right w:val="none" w:sz="0" w:space="0" w:color="auto"/>
      </w:divBdr>
    </w:div>
    <w:div w:id="2034066985">
      <w:bodyDiv w:val="1"/>
      <w:marLeft w:val="0"/>
      <w:marRight w:val="0"/>
      <w:marTop w:val="0"/>
      <w:marBottom w:val="0"/>
      <w:divBdr>
        <w:top w:val="none" w:sz="0" w:space="0" w:color="auto"/>
        <w:left w:val="none" w:sz="0" w:space="0" w:color="auto"/>
        <w:bottom w:val="none" w:sz="0" w:space="0" w:color="auto"/>
        <w:right w:val="none" w:sz="0" w:space="0" w:color="auto"/>
      </w:divBdr>
    </w:div>
    <w:div w:id="2045211011">
      <w:bodyDiv w:val="1"/>
      <w:marLeft w:val="0"/>
      <w:marRight w:val="0"/>
      <w:marTop w:val="0"/>
      <w:marBottom w:val="0"/>
      <w:divBdr>
        <w:top w:val="none" w:sz="0" w:space="0" w:color="auto"/>
        <w:left w:val="none" w:sz="0" w:space="0" w:color="auto"/>
        <w:bottom w:val="none" w:sz="0" w:space="0" w:color="auto"/>
        <w:right w:val="none" w:sz="0" w:space="0" w:color="auto"/>
      </w:divBdr>
    </w:div>
    <w:div w:id="2050756717">
      <w:bodyDiv w:val="1"/>
      <w:marLeft w:val="0"/>
      <w:marRight w:val="0"/>
      <w:marTop w:val="0"/>
      <w:marBottom w:val="0"/>
      <w:divBdr>
        <w:top w:val="none" w:sz="0" w:space="0" w:color="auto"/>
        <w:left w:val="none" w:sz="0" w:space="0" w:color="auto"/>
        <w:bottom w:val="none" w:sz="0" w:space="0" w:color="auto"/>
        <w:right w:val="none" w:sz="0" w:space="0" w:color="auto"/>
      </w:divBdr>
    </w:div>
    <w:div w:id="2104836947">
      <w:bodyDiv w:val="1"/>
      <w:marLeft w:val="0"/>
      <w:marRight w:val="0"/>
      <w:marTop w:val="0"/>
      <w:marBottom w:val="0"/>
      <w:divBdr>
        <w:top w:val="none" w:sz="0" w:space="0" w:color="auto"/>
        <w:left w:val="none" w:sz="0" w:space="0" w:color="auto"/>
        <w:bottom w:val="none" w:sz="0" w:space="0" w:color="auto"/>
        <w:right w:val="none" w:sz="0" w:space="0" w:color="auto"/>
      </w:divBdr>
    </w:div>
    <w:div w:id="2107267790">
      <w:bodyDiv w:val="1"/>
      <w:marLeft w:val="0"/>
      <w:marRight w:val="0"/>
      <w:marTop w:val="0"/>
      <w:marBottom w:val="0"/>
      <w:divBdr>
        <w:top w:val="none" w:sz="0" w:space="0" w:color="auto"/>
        <w:left w:val="none" w:sz="0" w:space="0" w:color="auto"/>
        <w:bottom w:val="none" w:sz="0" w:space="0" w:color="auto"/>
        <w:right w:val="none" w:sz="0" w:space="0" w:color="auto"/>
      </w:divBdr>
    </w:div>
    <w:div w:id="2108455780">
      <w:bodyDiv w:val="1"/>
      <w:marLeft w:val="0"/>
      <w:marRight w:val="0"/>
      <w:marTop w:val="0"/>
      <w:marBottom w:val="0"/>
      <w:divBdr>
        <w:top w:val="none" w:sz="0" w:space="0" w:color="auto"/>
        <w:left w:val="none" w:sz="0" w:space="0" w:color="auto"/>
        <w:bottom w:val="none" w:sz="0" w:space="0" w:color="auto"/>
        <w:right w:val="none" w:sz="0" w:space="0" w:color="auto"/>
      </w:divBdr>
    </w:div>
    <w:div w:id="2113893198">
      <w:bodyDiv w:val="1"/>
      <w:marLeft w:val="0"/>
      <w:marRight w:val="0"/>
      <w:marTop w:val="0"/>
      <w:marBottom w:val="0"/>
      <w:divBdr>
        <w:top w:val="none" w:sz="0" w:space="0" w:color="auto"/>
        <w:left w:val="none" w:sz="0" w:space="0" w:color="auto"/>
        <w:bottom w:val="none" w:sz="0" w:space="0" w:color="auto"/>
        <w:right w:val="none" w:sz="0" w:space="0" w:color="auto"/>
      </w:divBdr>
    </w:div>
    <w:div w:id="213051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978-3-031-72549-4_12" TargetMode="External"/><Relationship Id="rId18" Type="http://schemas.openxmlformats.org/officeDocument/2006/relationships/hyperlink" Target="https://doi.org/10.1016/j.jclepro.2021.127059" TargetMode="External"/><Relationship Id="rId26" Type="http://schemas.openxmlformats.org/officeDocument/2006/relationships/hyperlink" Target="https://doi.org/10.1007/978-3-031-26953-0_65" TargetMode="External"/><Relationship Id="rId39" Type="http://schemas.openxmlformats.org/officeDocument/2006/relationships/hyperlink" Target="https://doi.org/10.1007/978-3-031-65972-0_6" TargetMode="External"/><Relationship Id="rId21" Type="http://schemas.openxmlformats.org/officeDocument/2006/relationships/hyperlink" Target="https://doi.org/10.3390/su15086426" TargetMode="External"/><Relationship Id="rId34" Type="http://schemas.openxmlformats.org/officeDocument/2006/relationships/hyperlink" Target="https://doi.org/10.18356/9789213589755" TargetMode="External"/><Relationship Id="rId42" Type="http://schemas.openxmlformats.org/officeDocument/2006/relationships/image" Target="media/image3.tiff"/><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doi.org/10.1080/13669877.2020.1758193" TargetMode="External"/><Relationship Id="rId29" Type="http://schemas.openxmlformats.org/officeDocument/2006/relationships/hyperlink" Target="https://doi.org/10.1016/j.scs.2023.104457" TargetMode="External"/><Relationship Id="rId11" Type="http://schemas.openxmlformats.org/officeDocument/2006/relationships/endnotes" Target="endnotes.xml"/><Relationship Id="rId24" Type="http://schemas.openxmlformats.org/officeDocument/2006/relationships/hyperlink" Target="https://doi.org/10.18357/otessaj.2024.4.3.66" TargetMode="External"/><Relationship Id="rId32" Type="http://schemas.openxmlformats.org/officeDocument/2006/relationships/hyperlink" Target="https://doi.org/10.1007/s10479-021-04432-2" TargetMode="External"/><Relationship Id="rId37" Type="http://schemas.openxmlformats.org/officeDocument/2006/relationships/hyperlink" Target="https://doi.org/10.1007/s10584-023-03636-8" TargetMode="External"/><Relationship Id="rId40" Type="http://schemas.openxmlformats.org/officeDocument/2006/relationships/image" Target="media/image1.png"/><Relationship Id="rId45" Type="http://schemas.openxmlformats.org/officeDocument/2006/relationships/image" Target="media/image6.tiff"/><Relationship Id="rId53"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yperlink" Target="https://doi.org/10.59282/reincisol.v3(6)2038-2069" TargetMode="External"/><Relationship Id="rId31" Type="http://schemas.openxmlformats.org/officeDocument/2006/relationships/hyperlink" Target="https://doi.org/10.1002/sd.2991" TargetMode="External"/><Relationship Id="rId44" Type="http://schemas.openxmlformats.org/officeDocument/2006/relationships/image" Target="media/image5.tiff"/><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oi.org/10.1016/S0065-2601(08)60330-5" TargetMode="External"/><Relationship Id="rId22" Type="http://schemas.openxmlformats.org/officeDocument/2006/relationships/hyperlink" Target="https://doi.org/10.1017/bpp.2016.7" TargetMode="External"/><Relationship Id="rId27" Type="http://schemas.openxmlformats.org/officeDocument/2006/relationships/hyperlink" Target="https://doi.org/10.3390/su141811389" TargetMode="External"/><Relationship Id="rId30" Type="http://schemas.openxmlformats.org/officeDocument/2006/relationships/hyperlink" Target="https://doi.org/10.1027/1016-9040/a000169" TargetMode="External"/><Relationship Id="rId35" Type="http://schemas.openxmlformats.org/officeDocument/2006/relationships/hyperlink" Target="https://doi.org/10.1007/s11192-009-0146-3" TargetMode="External"/><Relationship Id="rId43" Type="http://schemas.openxmlformats.org/officeDocument/2006/relationships/image" Target="media/image4.tiff"/><Relationship Id="rId48"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hyperlink" Target="https://doi.org/10.1016/j.jenvp.2023.102005" TargetMode="External"/><Relationship Id="rId17" Type="http://schemas.openxmlformats.org/officeDocument/2006/relationships/hyperlink" Target="https://doi.org/10.17645/pag.v2i2.149" TargetMode="External"/><Relationship Id="rId25" Type="http://schemas.openxmlformats.org/officeDocument/2006/relationships/hyperlink" Target="https://doi.org/10.1007/s11356-024-31848-7" TargetMode="External"/><Relationship Id="rId33" Type="http://schemas.openxmlformats.org/officeDocument/2006/relationships/hyperlink" Target="https://doi.org/10.1111/1467-8551.00375" TargetMode="External"/><Relationship Id="rId38" Type="http://schemas.openxmlformats.org/officeDocument/2006/relationships/hyperlink" Target="https://doi.org/10.1016/j.copsyc.2021.04.003" TargetMode="External"/><Relationship Id="rId46" Type="http://schemas.openxmlformats.org/officeDocument/2006/relationships/header" Target="header1.xml"/><Relationship Id="rId20" Type="http://schemas.openxmlformats.org/officeDocument/2006/relationships/hyperlink" Target="https://doi.org/10.1016/j.giq.2020.101406" TargetMode="External"/><Relationship Id="rId41" Type="http://schemas.openxmlformats.org/officeDocument/2006/relationships/image" Target="media/image2.tiff"/><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doi.org/10.2307/249008" TargetMode="External"/><Relationship Id="rId23" Type="http://schemas.openxmlformats.org/officeDocument/2006/relationships/hyperlink" Target="https://ecologyandsociety.org/vol27/iss3/art17/" TargetMode="External"/><Relationship Id="rId28" Type="http://schemas.openxmlformats.org/officeDocument/2006/relationships/hyperlink" Target="https://doi.org/10.1016/j.giq.2020.101490" TargetMode="External"/><Relationship Id="rId36" Type="http://schemas.openxmlformats.org/officeDocument/2006/relationships/hyperlink" Target="https://doi.org/10.17705/1jais.00428" TargetMode="External"/><Relationship Id="rId49"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frontier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CHICAGO.XSL" StyleName="Chicago"/>
</file>

<file path=customXml/item3.xml><?xml version="1.0" encoding="utf-8"?>
<ct:contentTypeSchema xmlns:ct="http://schemas.microsoft.com/office/2006/metadata/contentType" xmlns:ma="http://schemas.microsoft.com/office/2006/metadata/properties/metaAttributes" ct:_="" ma:_="" ma:contentTypeName="Document" ma:contentTypeID="0x01010026445AF306EBB441B7A6158762C40D43" ma:contentTypeVersion="28" ma:contentTypeDescription="Create a new document." ma:contentTypeScope="" ma:versionID="6fd1d3709ebdae3c6e0eeb2d23db798b">
  <xsd:schema xmlns:xsd="http://www.w3.org/2001/XMLSchema" xmlns:xs="http://www.w3.org/2001/XMLSchema" xmlns:p="http://schemas.microsoft.com/office/2006/metadata/properties" xmlns:ns2="26005759-6815-4540-b8ea-913958d74f23" xmlns:ns3="970c08f3-bdc0-46be-888b-e62464d9f78c" targetNamespace="http://schemas.microsoft.com/office/2006/metadata/properties" ma:root="true" ma:fieldsID="830d6d9b807b871f8ec19ed92d251fd0" ns2:_="" ns3:_="">
    <xsd:import namespace="26005759-6815-4540-b8ea-913958d74f23"/>
    <xsd:import namespace="970c08f3-bdc0-46be-888b-e62464d9f78c"/>
    <xsd:element name="properties">
      <xsd:complexType>
        <xsd:sequence>
          <xsd:element name="documentManagement">
            <xsd:complexType>
              <xsd:all>
                <xsd:element ref="ns2:_dlc_DocIdUrl" minOccurs="0"/>
                <xsd:element ref="ns2:_dlc_DocId"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DateTaken" minOccurs="0"/>
                <xsd:element ref="ns3:Status" minOccurs="0"/>
                <xsd:element ref="ns3:Lead" minOccurs="0"/>
                <xsd:element ref="ns3:Description" minOccurs="0"/>
                <xsd:element ref="ns3:_Flow_SignoffStatu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05759-6815-4540-b8ea-913958d74f23"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7" nillable="true" ma:displayName="Document ID Value" ma:description="The value of the document ID assigned to this item." ma:hidden="true" ma:internalName="_dlc_DocId" ma:readOnly="false">
      <xsd:simpleType>
        <xsd:restriction base="dms:Text"/>
      </xsd:simpleType>
    </xsd:element>
    <xsd:element name="_dlc_DocIdPersistId" ma:index="9" nillable="true" ma:displayName="Persist ID" ma:description="Keep ID on add." ma:hidden="true" ma:internalName="_dlc_DocIdPersistId" ma:readOnly="false">
      <xsd:simpleType>
        <xsd:restriction base="dms:Boolean"/>
      </xsd:simpleType>
    </xsd:element>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9" nillable="true" ma:displayName="Taxonomy Catch All Column" ma:hidden="true" ma:list="{43fa7804-5c1f-47ca-a814-a80f2ff05ca7}" ma:internalName="TaxCatchAll" ma:showField="CatchAllData" ma:web="26005759-6815-4540-b8ea-913958d74f2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70c08f3-bdc0-46be-888b-e62464d9f78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Status" ma:index="18" nillable="true" ma:displayName="Status" ma:default="New" ma:description="Archive function" ma:format="Dropdown" ma:internalName="Status">
      <xsd:simpleType>
        <xsd:restriction base="dms:Choice">
          <xsd:enumeration value="New"/>
          <xsd:enumeration value="Ongoing"/>
          <xsd:enumeration value="Finished"/>
        </xsd:restriction>
      </xsd:simpleType>
    </xsd:element>
    <xsd:element name="Lead" ma:index="19" nillable="true" ma:displayName="Lead" ma:format="Dropdown" ma:list="UserInfo" ma:SharePointGroup="0" ma:internalName="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scription" ma:index="20" nillable="true" ma:displayName="Description" ma:format="Dropdown" ma:internalName="Description">
      <xsd:simpleType>
        <xsd:restriction base="dms:Note">
          <xsd:maxLength value="255"/>
        </xsd:restriction>
      </xsd:simpleType>
    </xsd:element>
    <xsd:element name="_Flow_SignoffStatus" ma:index="21" nillable="true" ma:displayName="Sign-off status" ma:internalName="Sign_x002d_off_x0020_status">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465d274b-74f9-43c9-a5ca-fb7fe75b76d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_dlc_DocId xmlns="26005759-6815-4540-b8ea-913958d74f23">FRONDOC-1086935359-10120</_dlc_DocId>
    <_dlc_DocIdUrl xmlns="26005759-6815-4540-b8ea-913958d74f23">
      <Url>https://frontiersin.sharepoint.com/Publishing/PubOps/Production/_layouts/15/DocIdRedir.aspx?ID=FRONDOC-1086935359-10120</Url>
      <Description>FRONDOC-1086935359-10120</Description>
    </_dlc_DocIdUrl>
    <_dlc_DocIdPersistId xmlns="26005759-6815-4540-b8ea-913958d74f23">false</_dlc_DocIdPersistId>
    <Description xmlns="970c08f3-bdc0-46be-888b-e62464d9f78c" xsi:nil="true"/>
    <Lead xmlns="970c08f3-bdc0-46be-888b-e62464d9f78c">
      <UserInfo>
        <DisplayName/>
        <AccountId xsi:nil="true"/>
        <AccountType/>
      </UserInfo>
    </Lead>
    <Status xmlns="970c08f3-bdc0-46be-888b-e62464d9f78c">New</Status>
    <_Flow_SignoffStatus xmlns="970c08f3-bdc0-46be-888b-e62464d9f78c" xsi:nil="true"/>
    <SharedWithUsers xmlns="26005759-6815-4540-b8ea-913958d74f23">
      <UserInfo>
        <DisplayName/>
        <AccountId xsi:nil="true"/>
        <AccountType/>
      </UserInfo>
    </SharedWithUsers>
    <lcf76f155ced4ddcb4097134ff3c332f xmlns="970c08f3-bdc0-46be-888b-e62464d9f78c">
      <Terms xmlns="http://schemas.microsoft.com/office/infopath/2007/PartnerControls"/>
    </lcf76f155ced4ddcb4097134ff3c332f>
    <TaxCatchAll xmlns="26005759-6815-4540-b8ea-913958d74f23" xsi:nil="true"/>
  </documentManagement>
</p:properties>
</file>

<file path=customXml/itemProps1.xml><?xml version="1.0" encoding="utf-8"?>
<ds:datastoreItem xmlns:ds="http://schemas.openxmlformats.org/officeDocument/2006/customXml" ds:itemID="{A547FD6E-73F0-4542-8474-D6680317EFD1}">
  <ds:schemaRefs>
    <ds:schemaRef ds:uri="http://schemas.microsoft.com/sharepoint/v3/contenttype/forms"/>
  </ds:schemaRefs>
</ds:datastoreItem>
</file>

<file path=customXml/itemProps2.xml><?xml version="1.0" encoding="utf-8"?>
<ds:datastoreItem xmlns:ds="http://schemas.openxmlformats.org/officeDocument/2006/customXml" ds:itemID="{5F9F80FA-172A-49E6-812C-44A6388DD2F9}">
  <ds:schemaRefs>
    <ds:schemaRef ds:uri="http://schemas.openxmlformats.org/officeDocument/2006/bibliography"/>
  </ds:schemaRefs>
</ds:datastoreItem>
</file>

<file path=customXml/itemProps3.xml><?xml version="1.0" encoding="utf-8"?>
<ds:datastoreItem xmlns:ds="http://schemas.openxmlformats.org/officeDocument/2006/customXml" ds:itemID="{37D19558-80B8-407F-9A85-A5582859B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05759-6815-4540-b8ea-913958d74f23"/>
    <ds:schemaRef ds:uri="970c08f3-bdc0-46be-888b-e62464d9f7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F9E78B-9130-4244-A349-202827F2937E}">
  <ds:schemaRefs>
    <ds:schemaRef ds:uri="http://schemas.microsoft.com/sharepoint/events"/>
  </ds:schemaRefs>
</ds:datastoreItem>
</file>

<file path=customXml/itemProps5.xml><?xml version="1.0" encoding="utf-8"?>
<ds:datastoreItem xmlns:ds="http://schemas.openxmlformats.org/officeDocument/2006/customXml" ds:itemID="{C80633FE-2C4D-43D3-9027-7B70B5BC8799}">
  <ds:schemaRefs>
    <ds:schemaRef ds:uri="http://schemas.microsoft.com/office/2006/metadata/properties"/>
    <ds:schemaRef ds:uri="http://schemas.microsoft.com/office/infopath/2007/PartnerControls"/>
    <ds:schemaRef ds:uri="26005759-6815-4540-b8ea-913958d74f23"/>
    <ds:schemaRef ds:uri="970c08f3-bdc0-46be-888b-e62464d9f78c"/>
  </ds:schemaRefs>
</ds:datastoreItem>
</file>

<file path=docProps/app.xml><?xml version="1.0" encoding="utf-8"?>
<Properties xmlns="http://schemas.openxmlformats.org/officeDocument/2006/extended-properties" xmlns:vt="http://schemas.openxmlformats.org/officeDocument/2006/docPropsVTypes">
  <Template>frontiers_template.dotx</Template>
  <TotalTime>1390</TotalTime>
  <Pages>25</Pages>
  <Words>11186</Words>
  <Characters>61527</Characters>
  <Application>Microsoft Office Word</Application>
  <DocSecurity>0</DocSecurity>
  <Lines>512</Lines>
  <Paragraphs>145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Frontiers</dc:creator>
  <cp:keywords/>
  <dc:description/>
  <cp:lastModifiedBy>Caceres Tello, Jesus</cp:lastModifiedBy>
  <cp:revision>18</cp:revision>
  <cp:lastPrinted>2026-01-31T09:43:00Z</cp:lastPrinted>
  <dcterms:created xsi:type="dcterms:W3CDTF">2025-10-12T13:24:00Z</dcterms:created>
  <dcterms:modified xsi:type="dcterms:W3CDTF">2026-01-31T09:43:00Z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0x01010026445AF306EBB441B7A6158762C40D43</vt:lpwstr>
  </property>
  <property fmtid="{D5CDD505-2E9C-101B-9397-08002B2CF9AE}" pid="3" name="_dlc_DocIdItemGuid">
    <vt:lpwstr>1f20ac40-4545-4ae8-9e88-2ffc72570862</vt:lpwstr>
  </property>
  <property fmtid="{D5CDD505-2E9C-101B-9397-08002B2CF9AE}" pid="4" name="Order">
    <vt:r8>1012000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ies>
</file>