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acciones de mejora del Plan de Mejoras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90"/>
        <w:gridCol w:w="3113"/>
      </w:tblGrid>
      <w:tr>
        <w:trPr/>
        <w:tc>
          <w:tcPr>
            <w:tcW w:w="10890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ACCIÓN DE MEJORA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COMPLETADA</w:t>
            </w:r>
          </w:p>
        </w:tc>
      </w:tr>
      <w:tr>
        <w:trPr/>
        <w:tc>
          <w:tcPr>
            <w:tcW w:w="10890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${improveActions} )${item.description}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 ( ${item} in ${improveActions} ) #if( ${item.completed} == true )COMPLETADO #else NO COMPLETADA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477897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LibreOffice/6.4.6.2$Linux_X86_64 LibreOffice_project/40$Build-2</Application>
  <Pages>1</Pages>
  <Words>55</Words>
  <Characters>324</Characters>
  <CharactersWithSpaces>383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2021-02-01T19:58:05Z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