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Methods Handoff Document</w:t>
      </w:r>
    </w:p>
    <w:p>
      <w:pPr>
        <w:spacing w:after="240"/>
        <w:jc w:val="center"/>
      </w:pPr>
      <w:r>
        <w:rPr>
          <w:b/>
          <w:bCs/>
          <w:sz w:val="32"/>
          <w:szCs w:val="32"/>
        </w:rPr>
        <w:t xml:space="preserve">Study 2 — Opioid Project</w:t>
      </w:r>
    </w:p>
    <w:p>
      <w:pPr>
        <w:spacing w:after="480"/>
        <w:jc w:val="center"/>
      </w:pPr>
      <w:r>
        <w:rPr>
          <w:i/>
          <w:iCs/>
          <w:sz w:val="24"/>
          <w:szCs w:val="24"/>
        </w:rPr>
        <w:t xml:space="preserve">Post-Operative Opioid Use After Total Hip &amp; Knee Arthroplasty: The Role of Pre-Surgical Diabetes Management Strategy</w:t>
      </w:r>
    </w:p>
    <w:p>
      <w:pPr>
        <w:spacing w:after="120"/>
        <w:jc w:val="center"/>
      </w:pPr>
      <w:r>
        <w:rPr>
          <w:sz w:val="22"/>
          <w:szCs w:val="22"/>
        </w:rPr>
        <w:t xml:space="preserve">Target journal: BMC Musculoskeletal Disorders</w:t>
      </w:r>
    </w:p>
    <w:p>
      <w:pPr>
        <w:spacing w:after="120"/>
        <w:jc w:val="center"/>
      </w:pPr>
      <w:r>
        <w:rPr>
          <w:sz w:val="22"/>
          <w:szCs w:val="22"/>
        </w:rPr>
        <w:t xml:space="preserve">Companion to Study 1 (Readmission Project) — same source cohort</w:t>
      </w:r>
    </w:p>
    <w:p>
      <w:pPr>
        <w:spacing w:after="600"/>
        <w:jc w:val="center"/>
      </w:pPr>
      <w:r>
        <w:rPr>
          <w:i/>
          <w:iCs/>
          <w:sz w:val="22"/>
          <w:szCs w:val="22"/>
        </w:rPr>
        <w:t xml:space="preserve">Prepared for lab member writing the methods section</w:t>
      </w:r>
    </w:p>
    <w:p>
      <w:r>
        <w:br w:type="page"/>
      </w:r>
    </w:p>
    <w:p>
      <w:pPr>
        <w:pStyle w:val="Heading1"/>
        <w:spacing w:after="160" w:before="320"/>
      </w:pPr>
      <w:r>
        <w:t xml:space="preserve">INSTRUCTIONS — READ FIRST</w:t>
      </w:r>
    </w:p>
    <w:p>
      <w:pPr>
        <w:spacing w:after="120"/>
      </w:pPr>
      <w:r>
        <w:rPr>
          <w:b/>
          <w:bCs/>
        </w:rPr>
        <w:t xml:space="preserve">Purpose of this document. </w:t>
      </w:r>
      <w:r>
        <w:t xml:space="preserve">Use this handoff to write the formal </w:t>
      </w:r>
      <w:r>
        <w:rPr>
          <w:b/>
          <w:bCs/>
        </w:rPr>
        <w:t xml:space="preserve">Methods</w:t>
      </w:r>
      <w:r>
        <w:t xml:space="preserve"> and </w:t>
      </w:r>
      <w:r>
        <w:rPr>
          <w:b/>
          <w:bCs/>
        </w:rPr>
        <w:t xml:space="preserve">Results</w:t>
      </w:r>
      <w:r>
        <w:t xml:space="preserve"> sections of the Opioid Project manuscript. Nothing else — not the Introduction, Discussion, Abstract, or Conclusions. The Methods and Results are the two sections that depend entirely on the analysis already performed; everything required to write them is contained in this document.</w:t>
      </w:r>
    </w:p>
    <w:p>
      <w:pPr>
        <w:spacing w:after="120"/>
      </w:pPr>
      <w:r>
        <w:rPr>
          <w:b/>
          <w:bCs/>
        </w:rPr>
        <w:t xml:space="preserve">Target journal. </w:t>
      </w:r>
      <w:r>
        <w:rPr>
          <w:b/>
          <w:bCs/>
        </w:rPr>
        <w:t xml:space="preserve">BMC Musculoskeletal Disorders</w:t>
      </w:r>
      <w:r>
        <w:t xml:space="preserve"> (BioMed Central / Springer Nature). Format the Methods and Results sections according to the current BMC Musculoskeletal Disorders author guidelines: structured layout, Vancouver (numbered) reference style, no word limit on the manuscript body, structured 350-word abstract (not your responsibility here), STROBE checklist will be required as a supplementary file. Use BMC's section heading conventions (Background, Methods, Results, Conclusions at the top level; sub-headings as needed). Confirm current guidelines at </w:t>
      </w:r>
      <w:r>
        <w:rPr>
          <w:i/>
          <w:iCs/>
        </w:rPr>
        <w:t xml:space="preserve">bmcmusculoskeletdisord.biomedcentral.com</w:t>
      </w:r>
      <w:r>
        <w:t xml:space="preserve"> before submission.</w:t>
      </w:r>
    </w:p>
    <w:p>
      <w:pPr>
        <w:spacing w:after="120"/>
      </w:pPr>
      <w:r>
        <w:rPr>
          <w:b/>
          <w:bCs/>
        </w:rPr>
        <w:t xml:space="preserve">Use ONLY the data in this document. </w:t>
      </w:r>
      <w:r>
        <w:t xml:space="preserve">Every cohort number, variable definition, statistical method, adjusted odds ratio, confidence interval, p-value, sensitivity analysis result, and figure/table reference you need is already provided here, drawn directly from the workbench outputs. </w:t>
      </w:r>
      <w:r>
        <w:rPr>
          <w:b/>
          <w:bCs/>
        </w:rPr>
        <w:t xml:space="preserve">Do not add, invent, estimate, round, re-derive, or supplement with outside data. </w:t>
      </w:r>
      <w:r>
        <w:t xml:space="preserve">The original AoU workbench is no longer accessible, so any number that is not in this document or the source results PDF cannot be verified and must not appear in the manuscript. If a reviewer requests a value that is not present, the appropriate response is to acknowledge the limitation — not to fabricate or estimate it.</w:t>
      </w:r>
    </w:p>
    <w:p>
      <w:pPr>
        <w:spacing w:after="120"/>
      </w:pPr>
      <w:r>
        <w:rPr>
          <w:b/>
          <w:bCs/>
        </w:rPr>
        <w:t xml:space="preserve">What to write. </w:t>
      </w:r>
      <w:r>
        <w:t xml:space="preserve">(1) A Methods section that describes the design, data source, cohort, variables, and statistical analysis plan as documented in Sections 1–5 of this handoff. (2) A Results section that follows the writing order set by the senior author (Section 6 of this handoff): Cohort &amp; Baseline → Unadjusted outcomes → Primary adjusted analysis → Sensitivity analyses 8A through 8H, with 8F and 8G flagged. Reproduce the exact aOR, 95% CI, and p-values shown in the tables here. Reference the figures by their source-PDF numbers (Figures 1–7) and Table 1.</w:t>
      </w:r>
    </w:p>
    <w:p>
      <w:pPr>
        <w:spacing w:after="120"/>
      </w:pPr>
      <w:r>
        <w:rPr>
          <w:b/>
          <w:bCs/>
        </w:rPr>
        <w:t xml:space="preserve">What NOT to write. </w:t>
      </w:r>
      <w:r>
        <w:t xml:space="preserve">Do not write the Introduction, Discussion, Abstract, or Conclusions — those are owned by other authors and rely on framing, literature review, and clinical interpretation outside the scope of this handoff. The reviewer Q&amp;A in Section 7 is provided as background to help you anticipate referee questions and pre-empt them in the prose; do not paste the Q&amp;A into the manuscript verbatim.</w:t>
      </w:r>
    </w:p>
    <w:p>
      <w:pPr>
        <w:spacing w:after="120"/>
      </w:pPr>
      <w:r>
        <w:rPr>
          <w:b/>
          <w:bCs/>
        </w:rPr>
        <w:t xml:space="preserve">Style and tone. </w:t>
      </w:r>
      <w:r>
        <w:t xml:space="preserve">Past tense, third person, passive voice acceptable for methods ("patients were assigned…"). Use SI units. Spell out abbreviations on first use (THA, TKA, T2DM, HbA1c, aOR). Match BMC house style for numerals, citations, and statistical reporting. Report Firth and GLM cross-check estimates side-by-side as shown in Section 6.3.</w:t>
      </w:r>
    </w:p>
    <w:p>
      <w:pPr>
        <w:spacing w:after="120"/>
      </w:pPr>
      <w:r>
        <w:t xml:space="preserve">If anything in this document is unclear or appears to conflict with the source results PDF, defer to the source results PDF and flag the discrepancy to the senior author before writing.</w:t>
      </w:r>
    </w:p>
    <w:p>
      <w:r>
        <w:br w:type="page"/>
      </w:r>
    </w:p>
    <w:p>
      <w:pPr>
        <w:pStyle w:val="Heading1"/>
        <w:spacing w:after="160" w:before="320"/>
      </w:pPr>
      <w:r>
        <w:t xml:space="preserve">0. How to use this document</w:t>
      </w:r>
    </w:p>
    <w:p>
      <w:pPr>
        <w:spacing w:after="120"/>
      </w:pPr>
      <w:r>
        <w:t xml:space="preserve">This document is the complete methodological reference for the Opioid Project. It was written to be self-contained: everything the writer of the methods section needs to describe the cohort, the variables, the analytical pipeline, the results sequence, the limitations, and the most likely reviewer questions is included here. The original AoU workbench is no longer accessible. Anything that is not described in this document or the source results PDF is treated as a study limitation.</w:t>
      </w:r>
    </w:p>
    <w:p>
      <w:pPr>
        <w:spacing w:after="120"/>
      </w:pPr>
      <w:r>
        <w:t xml:space="preserve">The document follows the writing order requested by the senior author for the Discussion: (1) Cohort &amp; Baseline → (2) Unadjusted outcomes → (3) Primary adjusted analysis → (4) Sensitivity analyses 8A through 8H, with 8F (opioid-naive) and 8G (surgery-type interaction) flagged as the most important.</w:t>
      </w:r>
    </w:p>
    <w:p>
      <w:pPr>
        <w:pStyle w:val="Heading2"/>
        <w:spacing w:after="120" w:before="240"/>
      </w:pPr>
      <w:r>
        <w:t xml:space="preserve">Section map</w:t>
      </w:r>
    </w:p>
    <w:p>
      <w:pPr>
        <w:pStyle w:val="ListParagraph"/>
        <w:numPr>
          <w:ilvl w:val="0"/>
          <w:numId w:val="2"/>
        </w:numPr>
        <w:spacing w:after="80"/>
      </w:pPr>
      <w:r>
        <w:t xml:space="preserve">Section 1 — Study design and rationale</w:t>
      </w:r>
    </w:p>
    <w:p>
      <w:pPr>
        <w:pStyle w:val="ListParagraph"/>
        <w:numPr>
          <w:ilvl w:val="0"/>
          <w:numId w:val="2"/>
        </w:numPr>
        <w:spacing w:after="80"/>
      </w:pPr>
      <w:r>
        <w:t xml:space="preserve">Section 2 — Data source and ethical framework</w:t>
      </w:r>
    </w:p>
    <w:p>
      <w:pPr>
        <w:pStyle w:val="ListParagraph"/>
        <w:numPr>
          <w:ilvl w:val="0"/>
          <w:numId w:val="2"/>
        </w:numPr>
        <w:spacing w:after="80"/>
      </w:pPr>
      <w:r>
        <w:t xml:space="preserve">Section 3 — Cohort construction and exclusion flow</w:t>
      </w:r>
    </w:p>
    <w:p>
      <w:pPr>
        <w:pStyle w:val="ListParagraph"/>
        <w:numPr>
          <w:ilvl w:val="0"/>
          <w:numId w:val="2"/>
        </w:numPr>
        <w:spacing w:after="80"/>
      </w:pPr>
      <w:r>
        <w:t xml:space="preserve">Section 4 — Variables: outcomes, exposure, covariates</w:t>
      </w:r>
    </w:p>
    <w:p>
      <w:pPr>
        <w:pStyle w:val="ListParagraph"/>
        <w:numPr>
          <w:ilvl w:val="0"/>
          <w:numId w:val="2"/>
        </w:numPr>
        <w:spacing w:after="80"/>
      </w:pPr>
      <w:r>
        <w:t xml:space="preserve">Section 5 — Statistical analysis plan (primary + 8 sensitivity analyses)</w:t>
      </w:r>
    </w:p>
    <w:p>
      <w:pPr>
        <w:pStyle w:val="ListParagraph"/>
        <w:numPr>
          <w:ilvl w:val="0"/>
          <w:numId w:val="2"/>
        </w:numPr>
        <w:spacing w:after="80"/>
      </w:pPr>
      <w:r>
        <w:t xml:space="preserve">Section 6 — Results sequence to be written</w:t>
      </w:r>
    </w:p>
    <w:p>
      <w:pPr>
        <w:pStyle w:val="ListParagraph"/>
        <w:numPr>
          <w:ilvl w:val="0"/>
          <w:numId w:val="2"/>
        </w:numPr>
        <w:spacing w:after="80"/>
      </w:pPr>
      <w:r>
        <w:t xml:space="preserve">Section 7 — Anticipated reviewer questions and suggested responses</w:t>
      </w:r>
    </w:p>
    <w:p>
      <w:pPr>
        <w:pStyle w:val="ListParagraph"/>
        <w:numPr>
          <w:ilvl w:val="0"/>
          <w:numId w:val="2"/>
        </w:numPr>
        <w:spacing w:after="80"/>
      </w:pPr>
      <w:r>
        <w:t xml:space="preserve">Section 8 — Limitations</w:t>
      </w:r>
    </w:p>
    <w:p>
      <w:pPr>
        <w:pStyle w:val="ListParagraph"/>
        <w:numPr>
          <w:ilvl w:val="0"/>
          <w:numId w:val="2"/>
        </w:numPr>
        <w:spacing w:after="80"/>
      </w:pPr>
      <w:r>
        <w:t xml:space="preserve">Section 9 — Strengths</w:t>
      </w:r>
    </w:p>
    <w:p>
      <w:pPr>
        <w:pStyle w:val="ListParagraph"/>
        <w:numPr>
          <w:ilvl w:val="0"/>
          <w:numId w:val="2"/>
        </w:numPr>
        <w:spacing w:after="80"/>
      </w:pPr>
      <w:r>
        <w:t xml:space="preserve">Section 10 — Reporting checklist (STROBE) crosswalk</w:t>
      </w:r>
    </w:p>
    <w:p>
      <w:r>
        <w:br w:type="page"/>
      </w:r>
    </w:p>
    <w:p>
      <w:pPr>
        <w:pStyle w:val="Heading1"/>
        <w:spacing w:after="160" w:before="320"/>
      </w:pPr>
      <w:r>
        <w:t xml:space="preserve">1. Study design and rationale</w:t>
      </w:r>
    </w:p>
    <w:p>
      <w:pPr>
        <w:pStyle w:val="Heading2"/>
        <w:spacing w:after="120" w:before="240"/>
      </w:pPr>
      <w:r>
        <w:t xml:space="preserve">1.1 Design</w:t>
      </w:r>
    </w:p>
    <w:p>
      <w:pPr>
        <w:spacing w:after="120"/>
      </w:pPr>
      <w:r>
        <w:t xml:space="preserve">Retrospective single-database observational cohort study using electronic health record (EHR) and claims-derived data. Patients were assigned to one of four mutually exclusive pre-surgical diabetes pharmacotherapy arms based on drug dispensation records in the 365 days prior to elective total hip arthroplasty (THA) or total knee arthroplasty (TKA), then followed forward to capture post-operative opioid dispensation.</w:t>
      </w:r>
    </w:p>
    <w:p>
      <w:pPr>
        <w:pStyle w:val="Heading2"/>
        <w:spacing w:after="120" w:before="240"/>
      </w:pPr>
      <w:r>
        <w:t xml:space="preserve">1.2 Rationale</w:t>
      </w:r>
    </w:p>
    <w:p>
      <w:pPr>
        <w:spacing w:after="120"/>
      </w:pPr>
      <w:r>
        <w:t xml:space="preserve">Opioid exposure after joint replacement is a major driver of morbidity, dependency risk, and healthcare cost. Pre-surgical glycaemic management strategy is a modifiable, identifiable variable at the time of surgical scheduling. If a particular DM management strategy is associated with higher post-operative opioid utilisation, this would identify a pre-surgical lever for risk stratification and intervention.</w:t>
      </w:r>
    </w:p>
    <w:p>
      <w:pPr>
        <w:pStyle w:val="Heading2"/>
        <w:spacing w:after="120" w:before="240"/>
      </w:pPr>
      <w:r>
        <w:t xml:space="preserve">1.3 Hypothesis</w:t>
      </w:r>
    </w:p>
    <w:p>
      <w:pPr>
        <w:spacing w:after="120"/>
      </w:pPr>
      <w:r>
        <w:t xml:space="preserve">Pre-surgical DM treatment arm is independently associated with the probability of any opioid dispensation within 90 days of elective THA or TKA, after adjustment for baseline opioid use and the standard set of confounders (age, BMI, HbA1c, diabetes duration, surgery type, and major comorbidities).</w:t>
      </w:r>
    </w:p>
    <w:p>
      <w:pPr>
        <w:pStyle w:val="Heading2"/>
        <w:spacing w:after="120" w:before="240"/>
      </w:pPr>
      <w:r>
        <w:t xml:space="preserve">1.4 Reference arm and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Decision</w:t>
            </w:r>
          </w:p>
        </w:tc>
        <w:tc>
          <w:tcPr>
            <w:tcW w:type="dxa" w:w="7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Reference arm: Metformin</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First-line T2DM therapy; largest pharmacological arm (n=125); clinically meaningful comparator.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agonists merged into OtherDM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users (n=218) were distributed across all four arms in the source data, so a stand-alone GLP-1 arm could not be constructed without losing power. Merging into OtherDM preserved statistical power for the analysis but was retained as an explicit limitation.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Firth penalised logistic regression as primary model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Corrects quasi-complete separation bias that is expected with the small OtherDM arm (n=47) and binary outcomes. Produces more reliable odds ratios than standard maximum-likelihood logistic regression in this regime.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Bootstrap 95% CI (1,000 iterations)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More reliable than asymptotic CIs given unequal arm sizes and the low event rate in the smallest arm.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Baseline opioid use as a model covariate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57.9% of the cohort (565/976) had pre-surgical opioid exposure. Without adjustment, the arm effect would be confounded by prior opioid habits, which are the strongest known predictor of post-operative opioid use.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Primary outcome: any opioid dispensation within 90 days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Claims-based, objective endpoint that captures the full post-operative opioid exposure window including discharge prescriptions and refills.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Eight sensitivity analyses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Post-operative opioid use is heavily influenced by prior exposure, surgery type, and outcome definition. Extensive sensitivity testing was required to isolate the DM-arm signal.</w:t>
            </w:r>
          </w:p>
        </w:tc>
      </w:tr>
    </w:tbl>
    <w:p>
      <w:pPr>
        <w:pStyle w:val="Heading1"/>
        <w:spacing w:after="160" w:before="320"/>
      </w:pPr>
      <w:r>
        <w:t xml:space="preserve">2. Data source and ethical framework</w:t>
      </w:r>
    </w:p>
    <w:p>
      <w:pPr>
        <w:spacing w:after="120"/>
      </w:pPr>
      <w:r>
        <w:t xml:space="preserve">All analyses were performed inside a controlled-access research workbench on a de-identified EHR/claims dataset. Drug exposures were derived from dispensation records, conditions from ICD-coded diagnosis records, vital signs (BMI) and laboratory values (HbA1c) from the corresponding measurement domains, and procedures from procedure-occurrence records. Ethical oversight is governed by the workbench's institutional data-use agreement and the IRB framework that covers analyses performed within it; a separate site IRB submission is not required for de-identified secondary analysis. The data-availability statement should reflect that individual-level data cannot be shared and that aggregate results are provided in the manuscript and supplement.</w:t>
      </w:r>
    </w:p>
    <w:p>
      <w:pPr>
        <w:spacing w:after="120"/>
      </w:pPr>
      <w:r>
        <w:t xml:space="preserve">Important note for the methods writer: because the workbench is no longer accessible for re-querying, the cohort and all derived variables are fixed at the values reported in the source results PDF. The methods text should describe the variables and pipeline as documented; any further variable that a reviewer might suggest cannot be added post hoc and should be acknowledged as a limitation.</w:t>
      </w:r>
    </w:p>
    <w:p>
      <w:pPr>
        <w:pStyle w:val="Heading1"/>
        <w:spacing w:after="160" w:before="320"/>
      </w:pPr>
      <w:r>
        <w:t xml:space="preserve">3. Cohort construction and exclusion flow</w:t>
      </w:r>
    </w:p>
    <w:p>
      <w:pPr>
        <w:spacing w:after="120"/>
      </w:pPr>
      <w:r>
        <w:t xml:space="preserve">The Opioid Project uses the same final analytic cohort as the companion Readmission Project (Study 1). The cohort flow is identical: 1,953 patients with a candidate index THA/TKA were identified; 49 were excluded for type 1 diabetes mellitus (T1DM); 128 were excluded for insufficient baseline observation time (less than 365 days of continuous data prior to surgery). The final analytic cohort is 976 patients.</w:t>
      </w:r>
    </w:p>
    <w:p>
      <w:pPr>
        <w:pStyle w:val="Heading2"/>
        <w:spacing w:after="120" w:before="240"/>
      </w:pPr>
      <w:r>
        <w:t xml:space="preserve">3.1 Inclusion criteria</w:t>
      </w:r>
    </w:p>
    <w:p>
      <w:pPr>
        <w:pStyle w:val="ListParagraph"/>
        <w:numPr>
          <w:ilvl w:val="0"/>
          <w:numId w:val="2"/>
        </w:numPr>
        <w:spacing w:after="80"/>
      </w:pPr>
      <w:r>
        <w:t xml:space="preserve">Adult patient with an index elective THA or TKA in the source database.</w:t>
      </w:r>
    </w:p>
    <w:p>
      <w:pPr>
        <w:pStyle w:val="ListParagraph"/>
        <w:numPr>
          <w:ilvl w:val="0"/>
          <w:numId w:val="2"/>
        </w:numPr>
        <w:spacing w:after="80"/>
      </w:pPr>
      <w:r>
        <w:t xml:space="preserve">At least 365 days of continuous baseline observation immediately preceding the index surgery.</w:t>
      </w:r>
    </w:p>
    <w:p>
      <w:pPr>
        <w:pStyle w:val="ListParagraph"/>
        <w:numPr>
          <w:ilvl w:val="0"/>
          <w:numId w:val="2"/>
        </w:numPr>
        <w:spacing w:after="80"/>
      </w:pPr>
      <w:r>
        <w:t xml:space="preserve">Type 2 diabetes mellitus (T2DM) status, defined by ICD-coded diagnoses and consistent with the diabetes pharmacotherapy classification used to assign the treatment arm.</w:t>
      </w:r>
    </w:p>
    <w:p>
      <w:pPr>
        <w:pStyle w:val="Heading2"/>
        <w:spacing w:after="120" w:before="240"/>
      </w:pPr>
      <w:r>
        <w:t xml:space="preserve">3.2 Exclusion criteria</w:t>
      </w:r>
    </w:p>
    <w:p>
      <w:pPr>
        <w:pStyle w:val="ListParagraph"/>
        <w:numPr>
          <w:ilvl w:val="0"/>
          <w:numId w:val="2"/>
        </w:numPr>
        <w:spacing w:after="80"/>
      </w:pPr>
      <w:r>
        <w:t xml:space="preserve">T1DM (n=49 excluded).</w:t>
      </w:r>
    </w:p>
    <w:p>
      <w:pPr>
        <w:pStyle w:val="ListParagraph"/>
        <w:numPr>
          <w:ilvl w:val="0"/>
          <w:numId w:val="2"/>
        </w:numPr>
        <w:spacing w:after="80"/>
      </w:pPr>
      <w:r>
        <w:t xml:space="preserve">Insufficient baseline (&lt;365 days of pre-surgical observation; n=128 excluded).</w:t>
      </w:r>
    </w:p>
    <w:p>
      <w:pPr>
        <w:pStyle w:val="Heading2"/>
        <w:spacing w:after="120" w:before="240"/>
      </w:pPr>
      <w:r>
        <w:t xml:space="preserve">3.3 Treatment arm assignment</w:t>
      </w:r>
    </w:p>
    <w:p>
      <w:pPr>
        <w:spacing w:after="120"/>
      </w:pPr>
      <w:r>
        <w:t xml:space="preserve">Each patient was assigned to one of four mutually exclusive arms based on drug dispensation claims in the 365-day baseline window using the following hierarchy (in order of priority):</w:t>
      </w:r>
    </w:p>
    <w:p>
      <w:pPr>
        <w:pStyle w:val="ListParagraph"/>
        <w:numPr>
          <w:ilvl w:val="0"/>
          <w:numId w:val="2"/>
        </w:numPr>
        <w:spacing w:after="80"/>
      </w:pPr>
      <w:r>
        <w:t xml:space="preserve">Insulin — any insulin dispensation in the baseline window.</w:t>
      </w:r>
    </w:p>
    <w:p>
      <w:pPr>
        <w:pStyle w:val="ListParagraph"/>
        <w:numPr>
          <w:ilvl w:val="0"/>
          <w:numId w:val="2"/>
        </w:numPr>
        <w:spacing w:after="80"/>
      </w:pPr>
      <w:r>
        <w:t xml:space="preserve">OtherDM — any non-insulin, non-metformin diabetes drug class in baseline (GLP-1 receptor agonists, SGLT-2 inhibitors, DPP-4 inhibitors, sulfonylureas, and other agents). Includes patients on combinations that did not contain insulin or metformin.</w:t>
      </w:r>
    </w:p>
    <w:p>
      <w:pPr>
        <w:pStyle w:val="ListParagraph"/>
        <w:numPr>
          <w:ilvl w:val="0"/>
          <w:numId w:val="2"/>
        </w:numPr>
        <w:spacing w:after="80"/>
      </w:pPr>
      <w:r>
        <w:t xml:space="preserve">Metformin — metformin in baseline without insulin or OtherDM agents.</w:t>
      </w:r>
    </w:p>
    <w:p>
      <w:pPr>
        <w:pStyle w:val="ListParagraph"/>
        <w:numPr>
          <w:ilvl w:val="0"/>
          <w:numId w:val="2"/>
        </w:numPr>
        <w:spacing w:after="80"/>
      </w:pPr>
      <w:r>
        <w:t xml:space="preserve">DietControlled — no diabetes drug dispensation in baseline; T2DM diagnosis present.</w:t>
      </w:r>
    </w:p>
    <w:p>
      <w:pPr>
        <w:spacing w:after="120"/>
      </w:pPr>
      <w:r>
        <w:t xml:space="preserve">Final arm distribution: Metformin n=125; Insulin n=197; OtherDM n=47; DietControlled n=607.</w:t>
      </w:r>
    </w:p>
    <w:p>
      <w:pPr>
        <w:pStyle w:val="Heading2"/>
        <w:spacing w:after="120" w:before="240"/>
      </w:pPr>
      <w:r>
        <w:t xml:space="preserve">3.4 Cohort flow figure</w:t>
      </w:r>
    </w:p>
    <w:p>
      <w:pPr>
        <w:spacing w:after="120"/>
      </w:pPr>
      <w:r>
        <w:t xml:space="preserve">The cohort flow is rendered in Figure 1 of the source results PDF. The methods writer should reference Figure 1 directly and reproduce the same exclusion counts in the manuscript flow diagram.</w:t>
      </w:r>
    </w:p>
    <w:p>
      <w:pPr>
        <w:pStyle w:val="Heading1"/>
        <w:spacing w:after="160" w:before="320"/>
      </w:pPr>
      <w:r>
        <w:t xml:space="preserve">4. Variables</w:t>
      </w:r>
    </w:p>
    <w:p>
      <w:pPr>
        <w:pStyle w:val="Heading2"/>
        <w:spacing w:after="120" w:before="240"/>
      </w:pPr>
      <w:r>
        <w:t xml:space="preserve">4.1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Variable</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Operational definition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Any opioid 90d (PRIMARY)</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Any opioid dispensation within 90 days of index THA/TKA, identified from drug records with opioid drug-class coding. Captures discharge prescriptions and refills.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opioid 30d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Binary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opioid dispensation within 30 days of index surgery. Sensitivity outcome capturing the immediate post-discharge period and acute pain management.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Prolonged opioid (≥2 Rx within 90d)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Two or more distinct opioid dispensations within 90 days of index surgery. Sensitivity outcome serving as a proxy for sustained post-operative use and the highest-risk threshold for opioid dependency.</w:t>
            </w:r>
          </w:p>
        </w:tc>
      </w:tr>
    </w:tbl>
    <w:p>
      <w:pPr>
        <w:pStyle w:val="Heading2"/>
        <w:spacing w:after="120" w:before="240"/>
      </w:pPr>
      <w:r>
        <w:t xml:space="preserve">4.2 Main exposure</w:t>
      </w:r>
    </w:p>
    <w:p>
      <w:pPr>
        <w:spacing w:after="120"/>
      </w:pPr>
      <w:r>
        <w:t xml:space="preserve">DM Treatment Arm (4-level categorical): Metformin (reference), Insulin, OtherDM, DietControlled. Assignment defined in Section 3.3. Availability: 100%.</w:t>
      </w:r>
    </w:p>
    <w:p>
      <w:pPr>
        <w:pStyle w:val="Heading2"/>
        <w:spacing w:after="120" w:before="240"/>
      </w:pPr>
      <w:r>
        <w:t xml:space="preserve">4.3 Key covariate (unique to this study)</w:t>
      </w:r>
    </w:p>
    <w:p>
      <w:pPr>
        <w:spacing w:after="120"/>
      </w:pPr>
      <w:r>
        <w:rPr>
          <w:b/>
          <w:bCs/>
        </w:rPr>
        <w:t xml:space="preserve">Baseline opioid use </w:t>
      </w:r>
      <w:r>
        <w:t xml:space="preserve">(binary, yes/no): Any opioid dispensation in the 365-day pre-surgical baseline window. Present in 565/976 patients (57.9%). This is the strongest known predictor of post-operative opioid use and was included to isolate the independent effect of the DM arm. Rates by arm: Metformin 52.8%, Insulin 76.6%, OtherDM 68.1%, DietControlled 52.1%. The Insulin arm is markedly elevated, which is the single most important confound to adjust for in this study.</w:t>
      </w:r>
    </w:p>
    <w:p>
      <w:pPr>
        <w:pStyle w:val="Heading2"/>
        <w:spacing w:after="120" w:before="240"/>
      </w:pPr>
      <w:r>
        <w:t xml:space="preserve">4.4 Covariates included in the adjusted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Variable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Availability</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Operational definition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Age at surgery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Continuous (yrs)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Patient age on date of index procedure; included as a linear term.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BMI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Continuous (kg/m²)</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54.5% (n=532)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Most recent pre-surgery BMI from vital-sign measurement records. Available-case analysis used.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HbA1c</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Continuous (%)</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46.9% (n=458)</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Most recent pre-surgery glycated haemoglobin. Available-case analysis used.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Diabetes duration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Continuous (yrs)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 from earliest DM diagnosis code to surgery date; proxy for disease burden.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Surgery type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 (THA/TKA)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Index procedure. THA ~38%, TKA ~62%. Significant surgery × Insulin interaction (8G, p=0.041).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Hypertension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ICD code for hypertension in 365-day baseline.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Hyperlipidaemia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Any ICD code for hyperlipidaemia in 365-day baseline.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Coronary artery disease in baseline condition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Depression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Depression diagnosis in baseline; included as known correlate of opioid use.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Baseline inpatient visits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Continuous (count)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Inpatient encounters in 365-day baseline; proxy for overall comorbidity burden.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Baseline opioid use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See Section 4.3. KEY covariate.</w:t>
            </w:r>
          </w:p>
        </w:tc>
      </w:tr>
    </w:tbl>
    <w:p>
      <w:pPr>
        <w:pStyle w:val="Heading2"/>
        <w:spacing w:after="120" w:before="240"/>
      </w:pPr>
      <w:r>
        <w:t xml:space="preserve">4.5 Descriptive variables (Table 1 only, not in model)</w:t>
      </w:r>
    </w:p>
    <w:p>
      <w:pPr>
        <w:pStyle w:val="ListParagraph"/>
        <w:numPr>
          <w:ilvl w:val="0"/>
          <w:numId w:val="2"/>
        </w:numPr>
        <w:spacing w:after="80"/>
      </w:pPr>
      <w:r>
        <w:t xml:space="preserve">Outpatient visits — count in baseline window.</w:t>
      </w:r>
    </w:p>
    <w:p>
      <w:pPr>
        <w:pStyle w:val="ListParagraph"/>
        <w:numPr>
          <w:ilvl w:val="0"/>
          <w:numId w:val="2"/>
        </w:numPr>
        <w:spacing w:after="80"/>
      </w:pPr>
      <w:r>
        <w:t xml:space="preserve">ED visits — count in baseline window.</w:t>
      </w:r>
    </w:p>
    <w:p>
      <w:pPr>
        <w:pStyle w:val="ListParagraph"/>
        <w:numPr>
          <w:ilvl w:val="0"/>
          <w:numId w:val="2"/>
        </w:numPr>
        <w:spacing w:after="80"/>
      </w:pPr>
      <w:r>
        <w:t xml:space="preserve">Sex — female / male.</w:t>
      </w:r>
    </w:p>
    <w:p>
      <w:pPr>
        <w:pStyle w:val="ListParagraph"/>
        <w:numPr>
          <w:ilvl w:val="0"/>
          <w:numId w:val="2"/>
        </w:numPr>
        <w:spacing w:after="80"/>
      </w:pPr>
      <w:r>
        <w:t xml:space="preserve">GLP-1 agonist use (n=218) — identified within each arm; merged into OtherDM in v2.</w:t>
      </w:r>
    </w:p>
    <w:p>
      <w:pPr>
        <w:pStyle w:val="Heading2"/>
        <w:spacing w:after="120" w:before="240"/>
      </w:pPr>
      <w:r>
        <w:t xml:space="preserve">4.6 Missing data handling</w:t>
      </w:r>
    </w:p>
    <w:p>
      <w:pPr>
        <w:spacing w:after="120"/>
      </w:pPr>
      <w:r>
        <w:t xml:space="preserve">Available-case analysis was used for BMI (45.5% missing) and HbA1c (53.1% missing). Patients with missing values for these covariates are dropped from any model that includes them. No multiple imputation was performed. The implications of this choice are discussed in Section 8 (Limitations) and Section 7 (anticipated reviewer questions).</w:t>
      </w:r>
    </w:p>
    <w:p>
      <w:pPr>
        <w:pStyle w:val="Heading1"/>
        <w:spacing w:after="160" w:before="320"/>
      </w:pPr>
      <w:r>
        <w:t xml:space="preserve">5. Statistical analysis plan</w:t>
      </w:r>
    </w:p>
    <w:p>
      <w:pPr>
        <w:pStyle w:val="Heading2"/>
        <w:spacing w:after="120" w:before="240"/>
      </w:pPr>
      <w:r>
        <w:t xml:space="preserve">5.1 Descriptive statistics</w:t>
      </w:r>
    </w:p>
    <w:p>
      <w:pPr>
        <w:spacing w:after="120"/>
      </w:pPr>
      <w:r>
        <w:t xml:space="preserve">Continuous variables are summarised as mean ± standard deviation by arm. Binary variables are summarised as count (percentage) by arm. Unadjusted outcome rates are presented per arm and rendered in Figure 5 (source PDF).</w:t>
      </w:r>
    </w:p>
    <w:p>
      <w:pPr>
        <w:pStyle w:val="Heading2"/>
        <w:spacing w:after="120" w:before="240"/>
      </w:pPr>
      <w:r>
        <w:t xml:space="preserve">5.2 Primary model — Firth penalised logistic regression</w:t>
      </w:r>
    </w:p>
    <w:p>
      <w:pPr>
        <w:spacing w:after="120"/>
      </w:pPr>
      <w:r>
        <w:t xml:space="preserve">The primary analysis is Firth penalised logistic regression with the primary outcome (any opioid 90d) as the dependent variable and the four-level DM Treatment Arm as the main exposure (Metformin = reference). Covariates entered in the model:</w:t>
      </w:r>
    </w:p>
    <w:p>
      <w:pPr>
        <w:pStyle w:val="ListParagraph"/>
        <w:numPr>
          <w:ilvl w:val="0"/>
          <w:numId w:val="2"/>
        </w:numPr>
        <w:spacing w:after="80"/>
      </w:pPr>
      <w:r>
        <w:t xml:space="preserve">Age, BMI, HbA1c, diabetes duration (continuous).</w:t>
      </w:r>
    </w:p>
    <w:p>
      <w:pPr>
        <w:pStyle w:val="ListParagraph"/>
        <w:numPr>
          <w:ilvl w:val="0"/>
          <w:numId w:val="2"/>
        </w:numPr>
        <w:spacing w:after="80"/>
      </w:pPr>
      <w:r>
        <w:t xml:space="preserve">Surgery type, hypertension, hyperlipidaemia, CAD, depression (binary).</w:t>
      </w:r>
    </w:p>
    <w:p>
      <w:pPr>
        <w:pStyle w:val="ListParagraph"/>
        <w:numPr>
          <w:ilvl w:val="0"/>
          <w:numId w:val="2"/>
        </w:numPr>
        <w:spacing w:after="80"/>
      </w:pPr>
      <w:r>
        <w:t xml:space="preserve">Baseline inpatient visit count (continuous).</w:t>
      </w:r>
    </w:p>
    <w:p>
      <w:pPr>
        <w:pStyle w:val="ListParagraph"/>
        <w:numPr>
          <w:ilvl w:val="0"/>
          <w:numId w:val="2"/>
        </w:numPr>
        <w:spacing w:after="80"/>
      </w:pPr>
      <w:r>
        <w:rPr>
          <w:b/>
          <w:bCs/>
        </w:rPr>
        <w:t xml:space="preserve">Baseline opioid use </w:t>
      </w:r>
      <w:r>
        <w:t xml:space="preserve">(binary; KEY covariate).</w:t>
      </w:r>
    </w:p>
    <w:p>
      <w:pPr>
        <w:spacing w:after="120"/>
      </w:pPr>
      <w:r>
        <w:t xml:space="preserve">95% confidence intervals were generated by non-parametric bootstrap with 1,000 iterations. Statistical significance threshold: two-sided p &lt; 0.05.</w:t>
      </w:r>
    </w:p>
    <w:p>
      <w:pPr>
        <w:pStyle w:val="Heading2"/>
        <w:spacing w:after="120" w:before="240"/>
      </w:pPr>
      <w:r>
        <w:t xml:space="preserve">5.3 Cross-check model — GLM with HC3 robust SE</w:t>
      </w:r>
    </w:p>
    <w:p>
      <w:pPr>
        <w:spacing w:after="120"/>
      </w:pPr>
      <w:r>
        <w:t xml:space="preserve">To verify that the primary findings are not artefacts of the Firth penalisation, the same model specification was re-fitted as a generalised linear model (binomial family, logit link) with HC3 heteroskedasticity-consistent robust standard errors. Concordance between Firth and GLM in direction, magnitude, and significance increases confidence in the inference. Disagreements are reported transparently and flagged in the results table.</w:t>
      </w:r>
    </w:p>
    <w:p>
      <w:pPr>
        <w:pStyle w:val="Heading2"/>
        <w:spacing w:after="120" w:before="240"/>
      </w:pPr>
      <w:r>
        <w:t xml:space="preserve">5.4 Sensitivity analyses (8A–8H)</w:t>
      </w:r>
    </w:p>
    <w:p>
      <w:pPr>
        <w:spacing w:after="120"/>
      </w:pPr>
      <w:r>
        <w:t xml:space="preserve">Eight pre-specified sensitivity analyses were run because post-operative opioid use is strongly influenced by prior exposure, surgery type, and outcome definition. Extensive sensitivity testing was required to isolate the DM-arm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Analysis</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 / population</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opioid_90d, 180-day exposure window</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Verifies that arm assignments are not artefacts of the 365-day look-back 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opioid_90d, stratified by surgery type (THA / TKA)</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THA and TKA differ in pain profile and opioid prescribing norms. Tests procedure-specific effects.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8C</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opioid_90d, active pharmacotherapy only (excludes DietControlled)</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Isolates drug-class contrasts among patients on confirmed pharmacological treatment.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opioid_30d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Captures the immediate post-discharge period (acute pain management) versus the full 90-day window.</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prolonged_90d (≥2 Rx within 90 days)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Clinically meaningful threshold for dependency risk. Tests whether OtherDM elevation persists for sustained rather than one-time use.</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8F (FLAG)</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opioid_90d, opioid-naive only (n=411)</w:t>
            </w:r>
          </w:p>
        </w:tc>
        <w:tc>
          <w:tcPr>
            <w:tcW w:type="dxa" w:w="5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Restricts to patients with no pre-surgical opioid exposure. De novo initiation = highest clinical risk. Removes pre-existing opioid priming as a confound. Most clinically impactful subgroup.</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8G (FLAG)</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opioid_90d, formal surgery × arm interaction test</w:t>
            </w:r>
          </w:p>
        </w:tc>
        <w:tc>
          <w:tcPr>
            <w:tcW w:type="dxa" w:w="5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Formal test of whether surgery type modifies the DM-arm effect. A significant interaction (p&lt;0.05) means subgroup results must be reported separately rather than pooled.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opioid_90d, opioid-experienced only (n=565)</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Tests whether the arm effect persists in patients already habituated to opioids, where chronic pain contributions are harder to disentangle from surgical effects.</w:t>
            </w:r>
          </w:p>
        </w:tc>
      </w:tr>
    </w:tbl>
    <w:p>
      <w:pPr>
        <w:spacing w:after="120"/>
      </w:pPr>
      <w:r>
        <w:t xml:space="preserve">Sensitivity analyses 8F and 8G are flagged by the senior author as the most important: 8F because de novo opioid initiation is the highest-risk clinical scenario, and 8G because a positive interaction test (p=0.041 for Insulin × surgery type) means the Insulin estimate cannot be pooled across procedures and must be reported separately for THA and TKA.</w:t>
      </w:r>
    </w:p>
    <w:p>
      <w:pPr>
        <w:pStyle w:val="Heading2"/>
        <w:spacing w:after="120" w:before="240"/>
      </w:pPr>
      <w:r>
        <w:t xml:space="preserve">5.5 Software</w:t>
      </w:r>
    </w:p>
    <w:p>
      <w:pPr>
        <w:spacing w:after="120"/>
      </w:pPr>
      <w:r>
        <w:t xml:space="preserve">All analyses were performed within the controlled-access research workbench. Firth penalised logistic regression was implemented using a standard Firth-method routine (e.g., logistf in R or its Python equivalent), bootstrap CIs by non-parametric resampling with 1,000 iterations, and the GLM cross-check using a binomial-family GLM with HC3 sandwich SE. The methods writer should state the specific package versions used in the workbench session if recoverable from session metadata; if not, list the methods generically and flag this as a limitation of the post-hoc methods write-up.</w:t>
      </w:r>
    </w:p>
    <w:p>
      <w:pPr>
        <w:pStyle w:val="Heading1"/>
        <w:spacing w:after="160" w:before="320"/>
      </w:pPr>
      <w:r>
        <w:t xml:space="preserve">6. Results sequence to be written</w:t>
      </w:r>
    </w:p>
    <w:p>
      <w:pPr>
        <w:spacing w:after="120"/>
      </w:pPr>
      <w:r>
        <w:t xml:space="preserve">Results should be written in the order requested by the senior author, which mirrors the structure of the Discussion.</w:t>
      </w:r>
    </w:p>
    <w:p>
      <w:pPr>
        <w:pStyle w:val="Heading2"/>
        <w:spacing w:after="120" w:before="240"/>
      </w:pPr>
      <w:r>
        <w:t xml:space="preserve">6.1 Cohort &amp; Baseline (Figures 1, 2, 3, 4 + Table 1)</w:t>
      </w:r>
    </w:p>
    <w:p>
      <w:pPr>
        <w:spacing w:after="120"/>
      </w:pPr>
      <w:r>
        <w:t xml:space="preserve">Final cohort: 976 patients (1,953 → 49 T1DM excluded → 128 insufficient baseline excluded → 976). Arm distribution: Metformin 125, Insulin 197, OtherDM 47, DietControlled 607. Surgery balance ~60% TKA across arms. Sex balance ~60% female across arms.</w:t>
      </w:r>
    </w:p>
    <w:p>
      <w:pPr>
        <w:spacing w:after="120"/>
      </w:pPr>
      <w:r>
        <w:t xml:space="preserve">Key baseline contrasts to highlight in the prose:</w:t>
      </w:r>
    </w:p>
    <w:p>
      <w:pPr>
        <w:pStyle w:val="ListParagraph"/>
        <w:numPr>
          <w:ilvl w:val="0"/>
          <w:numId w:val="2"/>
        </w:numPr>
        <w:spacing w:after="80"/>
      </w:pPr>
      <w:r>
        <w:t xml:space="preserve">OtherDM has the highest BMI (37.4 ± 7.7) and the most outpatient visits (47.3 ± 58.4).</w:t>
      </w:r>
    </w:p>
    <w:p>
      <w:pPr>
        <w:pStyle w:val="ListParagraph"/>
        <w:numPr>
          <w:ilvl w:val="0"/>
          <w:numId w:val="2"/>
        </w:numPr>
        <w:spacing w:after="80"/>
      </w:pPr>
      <w:r>
        <w:t xml:space="preserve">Insulin has the highest baseline opioid use (76.6%) and the second-highest inpatient visit count (1.5 ± 4.7).</w:t>
      </w:r>
    </w:p>
    <w:p>
      <w:pPr>
        <w:pStyle w:val="ListParagraph"/>
        <w:numPr>
          <w:ilvl w:val="0"/>
          <w:numId w:val="2"/>
        </w:numPr>
        <w:spacing w:after="80"/>
      </w:pPr>
      <w:r>
        <w:t xml:space="preserve">DietControlled has the lowest HbA1c (6.0 ± 0.6) and shortest diabetes duration (0.8 ± 2.3 yrs), consistent with milder/earlier disease.</w:t>
      </w:r>
    </w:p>
    <w:p>
      <w:pPr>
        <w:pStyle w:val="ListParagraph"/>
        <w:numPr>
          <w:ilvl w:val="0"/>
          <w:numId w:val="2"/>
        </w:numPr>
        <w:spacing w:after="80"/>
      </w:pPr>
      <w:r>
        <w:rPr>
          <w:i/>
          <w:iCs/>
        </w:rPr>
        <w:t xml:space="preserve">Baseline opioid use is markedly higher in Insulin (76.6%) than Metformin (52.8%) or DietControlled (52.1%) — Figure 2. </w:t>
      </w:r>
      <w:r>
        <w:t xml:space="preserve">This is the single most important descriptive observation because it foreshadows why the unadjusted Insulin opioid rate is high while the adjusted Insulin estimate is null.</w:t>
      </w:r>
    </w:p>
    <w:p>
      <w:pPr>
        <w:pStyle w:val="Heading3"/>
        <w:spacing w:after="80" w:before="180"/>
      </w:pPr>
      <w:r>
        <w:t xml:space="preserve">Table 1 — Baseline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Variable</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Metformin (n=125)</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Insulin (n=197)</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OtherDM (n=47)</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DietCtrl (n=607)</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Age (yrs)</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63.0 ± 8.0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62.8 ± 7.9</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58.5 ± 9.2</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61.6 ± 9.5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BMI (kg/m²)</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35.3 ± 6.3</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34.8 ± 6.9</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37.4 ± 7.7</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33.7 ± 6.4</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HbA1c (%)</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6.6 ± 0.8</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6.9 ± 1.3</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6.7 ± 1.3</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6.0 ± 0.6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DM duration (yrs)</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2.2 ± 3.6</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2.6 ± 4.1</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 4.4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0.8 ± 2.3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Outpatient visits</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32.1 ± 36.8</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40.7 ± 53.2</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47.3 ± 58.4</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25.8 ± 32.1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Inpatient visits</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0.6 ± 2.2</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 4.7</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 ± 5.4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0.7 ± 2.5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ED visits</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0.6 ± 2.5</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0.8 ± 2.0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0.2 ± 0.5</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0.5 ± 1.8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Female</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77 (61.6%)</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115 (58.4%)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 (72.3%)</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375 (61.8%)</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TKA</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75 (60.0%)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121 (61.4%)</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29 (61.7%)</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385 (63.4%)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Hypertension</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93 (74.4%)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152 (77.2%)</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31 (66.0%)</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390 (64.3%)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Hyperlipidaemia</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67 (53.6%)</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112 (56.9%)</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20 (42.6%)</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282 (46.5%)</w:t>
            </w:r>
          </w:p>
        </w:tc>
      </w:tr>
      <w:tr>
        <w:tc>
          <w:tcPr>
            <w:tcW w:type="dxa" w:w="22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jc w:val="left"/>
            </w:pPr>
            <w:r>
              <w:rPr>
                <w:b/>
                <w:bCs/>
                <w:sz w:val="20"/>
                <w:szCs w:val="20"/>
              </w:rPr>
              <w:t xml:space="preserve">Baseline opioid use</w:t>
            </w:r>
          </w:p>
        </w:tc>
        <w:tc>
          <w:tcPr>
            <w:tcW w:type="dxa" w:w="179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jc w:val="left"/>
            </w:pPr>
            <w:r>
              <w:rPr>
                <w:b w:val="false"/>
                <w:bCs w:val="false"/>
                <w:sz w:val="20"/>
                <w:szCs w:val="20"/>
              </w:rPr>
              <w:t xml:space="preserve">66 (52.8%)</w:t>
            </w:r>
          </w:p>
        </w:tc>
        <w:tc>
          <w:tcPr>
            <w:tcW w:type="dxa" w:w="179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jc w:val="left"/>
            </w:pPr>
            <w:r>
              <w:rPr>
                <w:b w:val="false"/>
                <w:bCs w:val="false"/>
                <w:sz w:val="20"/>
                <w:szCs w:val="20"/>
              </w:rPr>
              <w:t xml:space="preserve">151 (76.6%)</w:t>
            </w:r>
          </w:p>
        </w:tc>
        <w:tc>
          <w:tcPr>
            <w:tcW w:type="dxa" w:w="179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jc w:val="left"/>
            </w:pPr>
            <w:r>
              <w:rPr>
                <w:b w:val="false"/>
                <w:bCs w:val="false"/>
                <w:sz w:val="20"/>
                <w:szCs w:val="20"/>
              </w:rPr>
              <w:t xml:space="preserve">32 (68.1%)</w:t>
            </w:r>
          </w:p>
        </w:tc>
        <w:tc>
          <w:tcPr>
            <w:tcW w:type="dxa" w:w="179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jc w:val="left"/>
            </w:pPr>
            <w:r>
              <w:rPr>
                <w:b w:val="false"/>
                <w:bCs w:val="false"/>
                <w:sz w:val="20"/>
                <w:szCs w:val="20"/>
              </w:rPr>
              <w:t xml:space="preserve">316 (52.1%)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 OUTCOMES —</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Any opioid 90d (primary)</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94 (75.2%)</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158 (80.2%)</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43 (91.5%)</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361 (59.5%)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Any opioid 30d</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83 (66.4%)</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150 (76.1%)</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39 (83.0%)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336 (55.4%)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Prolonged ≥2 Rx 90d</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72 (57.6%)</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137 (69.5%)</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33 (70.2%)</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285 (47.0%)</w:t>
            </w:r>
          </w:p>
        </w:tc>
      </w:tr>
    </w:tbl>
    <w:p>
      <w:pPr>
        <w:pStyle w:val="Heading2"/>
        <w:spacing w:after="120" w:before="240"/>
      </w:pPr>
      <w:r>
        <w:t xml:space="preserve">6.2 Unadjusted outcomes (Figure 5)</w:t>
      </w:r>
    </w:p>
    <w:p>
      <w:pPr>
        <w:spacing w:after="120"/>
      </w:pPr>
      <w:r>
        <w:t xml:space="preserve">All three opioid outcomes follow the same rank order across arms: OtherDM &gt; Insulin &gt; Metformin &gt; DietControlled. Unadjusted rates for the primary outcome (any opioid 90d) are: OtherDM 91.5% (43/47), Insulin 80.2% (158/197), Metformin 75.2% (94/125), DietControlled 59.5% (361/607). Identical rank order is observed for the 30-day outcome and the prolonged (≥2 Rx) outcome. Adjusted analysis follows in Section 6.3.</w:t>
      </w:r>
    </w:p>
    <w:p>
      <w:pPr>
        <w:pStyle w:val="Heading2"/>
        <w:spacing w:after="120" w:before="240"/>
      </w:pPr>
      <w:r>
        <w:t xml:space="preserve">6.3 Primary adjusted analysis (Figure 6 + source Section 7)</w:t>
      </w:r>
    </w:p>
    <w:p>
      <w:pPr>
        <w:spacing w:after="120"/>
      </w:pPr>
      <w:r>
        <w:t xml:space="preserve">Adjusted odds ratios from the Firth model (primary) and the GLM HC3 cross-check, reference = Metformin, primary outcome = any opioid 90d: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100"/>
        <w:gridCol w:w="2000"/>
        <w:gridCol w:w="1100"/>
        <w:gridCol w:w="1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Firth aOR [95% CI]</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 (Firth)</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GLM aOR [95% CI]</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 (GLM)</w:t>
            </w:r>
          </w:p>
        </w:tc>
        <w:tc>
          <w:tcPr>
            <w:tcW w:type="dxa" w:w="1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Insulin vs MET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1.28 [0.64–2.47]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0.432</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1.29 [0.68–2.47]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0.434</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OtherDM vs MET</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3.53 [1.31–14.13]</w:t>
            </w:r>
          </w:p>
        </w:tc>
        <w:tc>
          <w:tcPr>
            <w:tcW w:type="dxa" w:w="1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0.012</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4.33 [1.18–15.92]</w:t>
            </w:r>
          </w:p>
        </w:tc>
        <w:tc>
          <w:tcPr>
            <w:tcW w:type="dxa" w:w="1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0.028</w:t>
            </w:r>
          </w:p>
        </w:tc>
        <w:tc>
          <w:tcPr>
            <w:tcW w:type="dxa" w:w="1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YES (↑)</w:t>
            </w:r>
          </w:p>
        </w:tc>
      </w:tr>
      <w:tr>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b/>
                <w:bCs/>
                <w:sz w:val="20"/>
                <w:szCs w:val="20"/>
              </w:rPr>
              <w:t xml:space="preserve">DietCtrl vs MET</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b w:val="false"/>
                <w:bCs w:val="false"/>
                <w:sz w:val="20"/>
                <w:szCs w:val="20"/>
              </w:rPr>
              <w:t xml:space="preserve">0.30 [0.16–0.48]</w:t>
            </w:r>
          </w:p>
        </w:tc>
        <w:tc>
          <w:tcPr>
            <w:tcW w:type="dxa" w:w="11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b w:val="false"/>
                <w:bCs w:val="false"/>
                <w:sz w:val="20"/>
                <w:szCs w:val="20"/>
              </w:rPr>
              <w:t xml:space="preserve">0.001</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b w:val="false"/>
                <w:bCs w:val="false"/>
                <w:sz w:val="20"/>
                <w:szCs w:val="20"/>
              </w:rPr>
              <w:t xml:space="preserve">0.29 [0.17–0.50]</w:t>
            </w:r>
          </w:p>
        </w:tc>
        <w:tc>
          <w:tcPr>
            <w:tcW w:type="dxa" w:w="11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b w:val="false"/>
                <w:bCs w:val="false"/>
                <w:sz w:val="20"/>
                <w:szCs w:val="20"/>
              </w:rPr>
              <w:t xml:space="preserve">0.000</w:t>
            </w:r>
          </w:p>
        </w:tc>
        <w:tc>
          <w:tcPr>
            <w:tcW w:type="dxa" w:w="1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b/>
                <w:bCs/>
                <w:sz w:val="20"/>
                <w:szCs w:val="20"/>
              </w:rPr>
              <w:t xml:space="preserve">YES (protective)</w:t>
            </w:r>
          </w:p>
        </w:tc>
      </w:tr>
    </w:tbl>
    <w:p>
      <w:pPr>
        <w:spacing w:after="120"/>
      </w:pPr>
      <w:r>
        <w:t xml:space="preserve">Three findings to lead the primary results paragraph:</w:t>
      </w:r>
    </w:p>
    <w:p>
      <w:pPr>
        <w:pStyle w:val="ListParagraph"/>
        <w:numPr>
          <w:ilvl w:val="0"/>
          <w:numId w:val="2"/>
        </w:numPr>
        <w:spacing w:after="80"/>
      </w:pPr>
      <w:r>
        <w:rPr>
          <w:b/>
          <w:bCs/>
        </w:rPr>
        <w:t xml:space="preserve">OtherDM: </w:t>
      </w:r>
      <w:r>
        <w:t xml:space="preserve">3.5× higher adjusted odds of any 90-day opioid (Firth aOR 3.53, p=0.012; GLM aOR 4.33, p=0.028). Concordant between methods.</w:t>
      </w:r>
    </w:p>
    <w:p>
      <w:pPr>
        <w:pStyle w:val="ListParagraph"/>
        <w:numPr>
          <w:ilvl w:val="0"/>
          <w:numId w:val="2"/>
        </w:numPr>
        <w:spacing w:after="80"/>
      </w:pPr>
      <w:r>
        <w:rPr>
          <w:b/>
          <w:bCs/>
        </w:rPr>
        <w:t xml:space="preserve">DietControlled: </w:t>
      </w:r>
      <w:r>
        <w:t xml:space="preserve">Highly significant protective association — 70% lower odds (Firth aOR 0.30, p=0.001). Opposite direction to the readmission findings in Study 1; may reflect lower pre-surgical pain burden, milder disease, or different prescribing patterns.</w:t>
      </w:r>
    </w:p>
    <w:p>
      <w:pPr>
        <w:pStyle w:val="ListParagraph"/>
        <w:numPr>
          <w:ilvl w:val="0"/>
          <w:numId w:val="2"/>
        </w:numPr>
        <w:spacing w:after="80"/>
      </w:pPr>
      <w:r>
        <w:rPr>
          <w:b/>
          <w:bCs/>
        </w:rPr>
        <w:t xml:space="preserve">Insulin: </w:t>
      </w:r>
      <w:r>
        <w:t xml:space="preserve">Non-significant overall (Firth aOR 1.28, p=0.432). The high raw opioid rate in the Insulin arm (80.2%) is fully explained by its high baseline opioid use (76.6%), which is captured by the model covariate. This is an important null result.</w:t>
      </w:r>
    </w:p>
    <w:p>
      <w:pPr>
        <w:pStyle w:val="Heading2"/>
        <w:spacing w:after="120" w:before="240"/>
      </w:pPr>
      <w:r>
        <w:t xml:space="preserve">6.4 Sensitivity analyses 8A–8H (Figure 7)</w:t>
      </w:r>
    </w:p>
    <w:p>
      <w:pPr>
        <w:pStyle w:val="Heading3"/>
        <w:spacing w:after="80" w:before="180"/>
      </w:pPr>
      <w:r>
        <w:t xml:space="preserve">8A — 180-day exposure window</w:t>
      </w:r>
    </w:p>
    <w:p>
      <w:pPr>
        <w:spacing w:after="120"/>
      </w:pPr>
      <w:r>
        <w:t xml:space="preserve">OtherDM remains significantly elevated (aOR 4.25, 95% CI 1.58–18.83, p=0.006). DietControlled remains protective (aOR 0.36, 95% CI 0.19–0.60, p=0.001). Insulin non-significant (aOR 1.44, p=0.278). Conclusion: arm assignment is not an artefact of the 365-day window.</w:t>
      </w:r>
    </w:p>
    <w:p>
      <w:pPr>
        <w:pStyle w:val="Heading3"/>
        <w:spacing w:after="80" w:before="180"/>
      </w:pPr>
      <w:r>
        <w:t xml:space="preserve">8B — Subgroup by surgery type (THA vs TKA)</w:t>
      </w:r>
    </w:p>
    <w:p>
      <w:pPr>
        <w:spacing w:after="120"/>
      </w:pPr>
      <w:r>
        <w:t xml:space="preserve">Stratified analysis (note that 8G shows the formal interaction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280"/>
        <w:gridCol w:w="24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Surgery</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aOR [95% CI]</w:t>
            </w:r>
          </w:p>
        </w:tc>
        <w:tc>
          <w:tcPr>
            <w:tcW w:type="dxa" w:w="1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Significant?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THA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Insulin vs MET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0.71 [0.28–1.68]</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0.448</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OtherDM vs MET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2.64 [0.73–12.62]</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0.136</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(n=18 OtherDM in THA)</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THA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DietCtrl vs MET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0.34 [0.14–0.69]</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0.002</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YES (protective)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TKA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Insulin vs MET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2.88 [1.30–7.54]</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0.012</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YES (TKA-only signal)</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TKA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OtherDM vs MET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5.20 [1.42–14.58]</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0.008</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YES (stronger in TKA)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TKA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DietCtrl vs MET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0.29 [0.12–0.53]</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0.001</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 (protective)</w:t>
            </w:r>
          </w:p>
        </w:tc>
      </w:tr>
    </w:tbl>
    <w:p>
      <w:pPr>
        <w:spacing w:after="120"/>
      </w:pPr>
      <w:r>
        <w:t xml:space="preserve">OtherDM is significant and stronger in TKA. THA non-significance for OtherDM is power-limited (n=18 in THA). Insulin becomes significant in TKA only — see 8G for the formal interaction test.</w:t>
      </w:r>
    </w:p>
    <w:p>
      <w:pPr>
        <w:pStyle w:val="Heading3"/>
        <w:spacing w:after="80" w:before="180"/>
      </w:pPr>
      <w:r>
        <w:t xml:space="preserve">8C — Active pharmacotherapy only (excludes DietControlled)</w:t>
      </w:r>
    </w:p>
    <w:p>
      <w:pPr>
        <w:spacing w:after="120"/>
      </w:pPr>
      <w:r>
        <w:t xml:space="preserve">Excluding DietControlled, OtherDM remains significant (aOR 3.53, 95% CI 1.31–14.13, p=0.012); Insulin remains non-significant (aOR 1.28, p=0.432). Identical to primary conclusions.</w:t>
      </w:r>
    </w:p>
    <w:p>
      <w:pPr>
        <w:pStyle w:val="Heading3"/>
        <w:spacing w:after="80" w:before="180"/>
      </w:pPr>
      <w:r>
        <w:t xml:space="preserve">8D — 30-day opioid</w:t>
      </w:r>
    </w:p>
    <w:p>
      <w:pPr>
        <w:spacing w:after="120"/>
      </w:pPr>
      <w:r>
        <w:t xml:space="preserve">OtherDM remains significant (aOR 2.55, 95% CI 1.18–8.42, p=0.022); DietControlled remains protective (aOR 0.43, 95% CI 0.26–0.69, p=0.001); Insulin borderline (aOR 1.71, p=0.094). The OtherDM attenuation at 30 days vs 90 days (2.55 vs 3.53) suggests the OtherDM-associated opioid risk accumulates over the full 90-day post-operative period rather than being concentrated in the immediate discharge window.</w:t>
      </w:r>
    </w:p>
    <w:p>
      <w:pPr>
        <w:pStyle w:val="Heading3"/>
        <w:spacing w:after="80" w:before="180"/>
      </w:pPr>
      <w:r>
        <w:t xml:space="preserve">8E — Prolonged opioid (≥2 Rx within 90 days)</w:t>
      </w:r>
    </w:p>
    <w:p>
      <w:pPr>
        <w:spacing w:after="120"/>
      </w:pPr>
      <w:r>
        <w:t xml:space="preserve">OtherDM loses significance for prolonged use (aOR 1.89, 95% CI 0.84–5.00, p=0.120). Insulin approaches significance (aOR 1.75, p=0.056). DietControlled remains protective (aOR 0.46, 95% CI 0.26–0.74, p=0.004). Interpretation: OtherDM patients appear more likely to initiate post-operative opioid use but do not necessarily sustain it across multiple prescriptions.</w:t>
      </w:r>
    </w:p>
    <w:p>
      <w:pPr>
        <w:pStyle w:val="Heading3"/>
        <w:spacing w:after="80" w:before="180"/>
      </w:pPr>
      <w:r>
        <w:t xml:space="preserve">8F — Opioid-naive only (n=411) — FLAGGED AS MOST IMPORTANT</w:t>
      </w:r>
    </w:p>
    <w:p>
      <w:pPr>
        <w:spacing w:after="120"/>
      </w:pPr>
      <w:r>
        <w:t xml:space="preserve">Restricting to patients with no pre-surgical opioid exposure isolates </w:t>
      </w:r>
      <w:r>
        <w:rPr>
          <w:i/>
          <w:iCs/>
        </w:rPr>
        <w:t xml:space="preserve">de novo initiation</w:t>
      </w:r>
      <w:r>
        <w:t xml:space="preserve">, which is the highest-risk clinical scenario. The OtherDM signal </w:t>
      </w:r>
      <w:r>
        <w:rPr>
          <w:b/>
          <w:bCs/>
        </w:rPr>
        <w:t xml:space="preserve">strengthens</w:t>
      </w:r>
      <w:r>
        <w:t xml:space="preserve"> (aOR 4.34, 95% CI 1.65–10.68, p=0.004); the DietControlled protective effect </w:t>
      </w:r>
      <w:r>
        <w:rPr>
          <w:b/>
          <w:bCs/>
        </w:rPr>
        <w:t xml:space="preserve">intensifies</w:t>
      </w:r>
      <w:r>
        <w:t xml:space="preserve"> (aOR 0.22, 95% CI 0.10–0.44, p=0.001); Insulin non-significant (aOR 1.15, p=0.818). This sensitivity analysis confirms that the DM-arm associations are not artefacts of pre-existing opioid habits — they are present even among patients who would otherwise have no expected post-operative opioid exposure.</w:t>
      </w:r>
    </w:p>
    <w:p>
      <w:pPr>
        <w:pStyle w:val="Heading3"/>
        <w:spacing w:after="80" w:before="180"/>
      </w:pPr>
      <w:r>
        <w:t xml:space="preserve">8G — Surgery type × DM arm interaction test — FLAGGED AS MOST IMPORTANT</w:t>
      </w:r>
    </w:p>
    <w:p>
      <w:pPr>
        <w:spacing w:after="120"/>
      </w:pPr>
      <w:r>
        <w:t xml:space="preserve">Formal test of whether surgery type modifies the DM-arm–opioid association.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4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Interaction p</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Significant?</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Interpretation</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Insulin vs MET</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0.041</w:t>
            </w:r>
          </w:p>
        </w:tc>
        <w:tc>
          <w:tcPr>
            <w:tcW w:type="dxa" w:w="17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YES</w:t>
            </w:r>
          </w:p>
        </w:tc>
        <w:tc>
          <w:tcPr>
            <w:tcW w:type="dxa" w:w="4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Effect differs by surgery type. TKA: aOR 2.88 (p=0.012); THA: aOR 0.71 (p=0.448). Insulin results MUST be reported separately by procedure type, not pooled.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OtherDM vs MET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0.561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OtherDM effect consistent across procedures. Pooled primary estimate is appropriate.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DietCtrl vs MET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0.660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DietControlled protective effect consistent across both surgery types.</w:t>
            </w:r>
          </w:p>
        </w:tc>
      </w:tr>
    </w:tbl>
    <w:p>
      <w:pPr>
        <w:spacing w:after="120"/>
      </w:pPr>
      <w:r>
        <w:t xml:space="preserve">Implication for the manuscript: the Insulin estimate must be presented separately for THA and TKA in the primary results, not as a single pooled aOR. The OtherDM and DietControlled estimates can remain pooled.</w:t>
      </w:r>
    </w:p>
    <w:p>
      <w:pPr>
        <w:pStyle w:val="Heading3"/>
        <w:spacing w:after="80" w:before="180"/>
      </w:pPr>
      <w:r>
        <w:t xml:space="preserve">8H — Opioid-experienced only (n=565)</w:t>
      </w:r>
    </w:p>
    <w:p>
      <w:pPr>
        <w:spacing w:after="120"/>
      </w:pPr>
      <w:r>
        <w:t xml:space="preserve">Among patients with pre-surgical opioid exposure, OtherDM remains significantly elevated (aOR 3.33, 95% CI 1.06–14.12, p=0.044). DietControlled loses significance (aOR 0.56, 95% CI 0.22–1.13, p=0.136), suggesting that part of the protective effect observed in the primary analysis is mediated by lower pre-operative opioid priming in the DietControlled arm. Insulin non-significant (aOR 1.63, p=0.206). The persistence of the OtherDM signal in the opioid-experienced subgroup, combined with its strengthening in the opioid-naive subgroup (8F), is one of the most internally consistent findings in the study.</w:t>
      </w:r>
    </w:p>
    <w:p>
      <w:pPr>
        <w:pStyle w:val="Heading3"/>
        <w:spacing w:after="80" w:before="180"/>
      </w:pPr>
      <w:r>
        <w:t xml:space="preserve">Sensitivity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Analysis</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Insulin aOR (p)</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OtherDM aOR (p)</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DietControlled aOR (p)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Primary: opioid 90d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1.28 (p=0.432)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3.53 (p=0.012)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0.30 (p=0.001)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GLM cross-check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1.29 (p=0.434)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4.33 (p=0.028) ✓</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0.29 (p&lt;0.001)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8A: 180d window</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1.44 (p=0.278)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4.25 (p=0.006)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0.36 (p=0.001)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8B: THA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0.71 (p=0.448)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2.64 (p=0.136) ✗</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0.34 (p=0.002)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8B: TKA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2.88 (p=0.012)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5.20 (p=0.008)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0.29 (p=0.001)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8D: 30d opioid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1.71 (p=0.094)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2.55 (p=0.022) ✓</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0.43 (p=0.001)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8E: Prolonged (≥2 Rx)</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1.75 (p=0.056)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1.89 (p=0.120)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0.46 (p=0.004) ✓↓</w:t>
            </w:r>
          </w:p>
        </w:tc>
      </w:tr>
      <w:tr>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8F: Opioid-naive</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1.15 (p=0.818) ✗</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4.34 (p=0.004) ✓</w:t>
            </w:r>
          </w:p>
        </w:tc>
        <w:tc>
          <w:tcPr>
            <w:tcW w:type="dxa" w:w="23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0.22 (p=0.001)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8H: Opioid-experienced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1.63 (p=0.206)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3.33 (p=0.044)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0.56 (p=0.136) ✗</w:t>
            </w:r>
          </w:p>
        </w:tc>
      </w:tr>
    </w:tbl>
    <w:p>
      <w:pPr>
        <w:spacing w:after="120"/>
      </w:pPr>
      <w:r>
        <w:t xml:space="preserve">Legend: ✓ = significant in both methods; ✓↓ = significant and protective; ~ = borderline; ✗ = not significant.</w:t>
      </w:r>
    </w:p>
    <w:p>
      <w:pPr>
        <w:pStyle w:val="Heading1"/>
        <w:spacing w:after="160" w:before="320"/>
      </w:pPr>
      <w:r>
        <w:t xml:space="preserve">7. Anticipated reviewer questions and suggested responses</w:t>
      </w:r>
    </w:p>
    <w:p>
      <w:pPr>
        <w:spacing w:after="120"/>
      </w:pPr>
      <w:r>
        <w:t xml:space="preserve">The questions below are organised by the section they will most likely target. Suggested responses are grounded in the results and the limitations explicitly described in the source PDF. Do not add new analyses; if a reviewer requests one, the appropriate response is to acknowledge the value of the proposed analysis and explain that the workbench is no longer accessible for re-querying.</w:t>
      </w:r>
    </w:p>
    <w:p>
      <w:pPr>
        <w:pStyle w:val="Heading2"/>
        <w:spacing w:after="120" w:before="240"/>
      </w:pPr>
      <w:r>
        <w:t xml:space="preserve">7.1 Cohort and exposure definition</w:t>
      </w:r>
    </w:p>
    <w:p>
      <w:pPr>
        <w:pStyle w:val="Heading3"/>
        <w:spacing w:after="80" w:before="180"/>
      </w:pPr>
      <w:r>
        <w:t xml:space="preserve">Q1. Why use a 365-day baseline window for arm assignment?</w:t>
      </w:r>
    </w:p>
    <w:p>
      <w:pPr>
        <w:spacing w:after="120"/>
      </w:pPr>
      <w:r>
        <w:t xml:space="preserve">A 365-day window captures the predominant peri-operative pharmacotherapy strategy and is the standard look-back used in arthroplasty outcomes research. Robustness was confirmed in 8A using a 180-day window: the OtherDM and DietControlled effects replicated, demonstrating that the arm signal is not an artefact of the look-back length.</w:t>
      </w:r>
    </w:p>
    <w:p>
      <w:pPr>
        <w:pStyle w:val="Heading3"/>
        <w:spacing w:after="80" w:before="180"/>
      </w:pPr>
      <w:r>
        <w:t xml:space="preserve">Q2. How did you handle patients on multiple drug classes during baseline?</w:t>
      </w:r>
    </w:p>
    <w:p>
      <w:pPr>
        <w:spacing w:after="120"/>
      </w:pPr>
      <w:r>
        <w:t xml:space="preserve">Arm assignment used a strict hierarchy (Insulin &gt; OtherDM &gt; Metformin &gt; DietControlled). A patient with both metformin and insulin in baseline was assigned to Insulin. This reflects clinical severity ordering: insulin use generally indexes more advanced disease. Sensitivity analysis 8C (active pharmacotherapy only) tests whether removing DietControlled changes the conclusions; it does not.</w:t>
      </w:r>
    </w:p>
    <w:p>
      <w:pPr>
        <w:pStyle w:val="Heading3"/>
        <w:spacing w:after="80" w:before="180"/>
      </w:pPr>
      <w:r>
        <w:t xml:space="preserve">Q3. Why merge GLP-1 agonists into OtherDM rather than keep them separate?</w:t>
      </w:r>
    </w:p>
    <w:p>
      <w:pPr>
        <w:spacing w:after="120"/>
      </w:pPr>
      <w:r>
        <w:t xml:space="preserve">GLP-1 receptor agonists were distributed across all four arms (n=218 total), so a stand-alone GLP-1 arm would have severely depleted the other arms and produced unstable estimates. Merging into OtherDM preserved statistical power for the analysis. This decision is acknowledged as a limitation: the OtherDM signal is a composite and may partly reflect GLP-1-specific effects (e.g., weight reduction, anti-inflammatory action) that warrant separate investigation in larger cohorts.</w:t>
      </w:r>
    </w:p>
    <w:p>
      <w:pPr>
        <w:pStyle w:val="Heading3"/>
        <w:spacing w:after="80" w:before="180"/>
      </w:pPr>
      <w:r>
        <w:t xml:space="preserve">Q4. Why is the OtherDM arm so small (n=47)?</w:t>
      </w:r>
    </w:p>
    <w:p>
      <w:pPr>
        <w:spacing w:after="120"/>
      </w:pPr>
      <w:r>
        <w:t xml:space="preserve">OtherDM contains only patients on non-insulin, non-metformin agents (sulfonylureas, DPP-4 inhibitors, SGLT-2 inhibitors, plus the merged GLP-1 patients who were not already on insulin or metformin). In the source population this represents a relatively uncommon prescribing pattern. The small arm size is the reason Firth penalised regression with bootstrap CIs was selected as the primary model.</w:t>
      </w:r>
    </w:p>
    <w:p>
      <w:pPr>
        <w:pStyle w:val="Heading2"/>
        <w:spacing w:after="120" w:before="240"/>
      </w:pPr>
      <w:r>
        <w:t xml:space="preserve">7.2 Outcome definition</w:t>
      </w:r>
    </w:p>
    <w:p>
      <w:pPr>
        <w:pStyle w:val="Heading3"/>
        <w:spacing w:after="80" w:before="180"/>
      </w:pPr>
      <w:r>
        <w:t xml:space="preserve">Q5. Is the opioid outcome based on prescription, dispensation, or actual consumption?</w:t>
      </w:r>
    </w:p>
    <w:p>
      <w:pPr>
        <w:spacing w:after="120"/>
      </w:pPr>
      <w:r>
        <w:t xml:space="preserve">The outcome is dispensation, not verified consumption. Some patients may be dispensed opioids that are not used. This may slightly overestimate true opioid use, but it is the most objective and reproducible claims-based endpoint and is the standard outcome in the post-arthroplasty opioid literature.</w:t>
      </w:r>
    </w:p>
    <w:p>
      <w:pPr>
        <w:pStyle w:val="Heading3"/>
        <w:spacing w:after="80" w:before="180"/>
      </w:pPr>
      <w:r>
        <w:t xml:space="preserve">Q6. Could the opioid signal reflect ongoing chronic pain treatment rather than surgical pain?</w:t>
      </w:r>
    </w:p>
    <w:p>
      <w:pPr>
        <w:spacing w:after="120"/>
      </w:pPr>
      <w:r>
        <w:t xml:space="preserve">Yes — and this is exactly why baseline opioid use was included as a model covariate (see Section 4.3). The fact that the OtherDM signal strengthens (aOR 4.34, p=0.004) in the opioid-naive subgroup (8F) — patients with no pre-existing opioid use — is the strongest evidence that the OtherDM association is not simply a continuation of chronic-pain therapy.</w:t>
      </w:r>
    </w:p>
    <w:p>
      <w:pPr>
        <w:pStyle w:val="Heading3"/>
        <w:spacing w:after="80" w:before="180"/>
      </w:pPr>
      <w:r>
        <w:t xml:space="preserve">Q7. Why use any opioid 90d as primary rather than morphine milligram equivalents (MME) or chronic opioid use?</w:t>
      </w:r>
    </w:p>
    <w:p>
      <w:pPr>
        <w:spacing w:after="120"/>
      </w:pPr>
      <w:r>
        <w:t xml:space="preserve">The binary 90-day endpoint is objective, simple, and clinically meaningful (any opioid exposure in the post-operative period). Sensitivity analysis 8E (prolonged ≥2 Rx within 90 days) approximates a chronic-use signal: OtherDM loses significance for prolonged use but Insulin approaches it (aOR 1.75, p=0.056), suggesting that OtherDM is associated with opioid initiation and Insulin is associated with sustained use. MME-based dose-adjusted endpoints were not computed; this is acknowledged as a limitation and a direction for future work.</w:t>
      </w:r>
    </w:p>
    <w:p>
      <w:pPr>
        <w:pStyle w:val="Heading2"/>
        <w:spacing w:after="120" w:before="240"/>
      </w:pPr>
      <w:r>
        <w:t xml:space="preserve">7.3 Statistical method</w:t>
      </w:r>
    </w:p>
    <w:p>
      <w:pPr>
        <w:pStyle w:val="Heading3"/>
        <w:spacing w:after="80" w:before="180"/>
      </w:pPr>
      <w:r>
        <w:t xml:space="preserve">Q8. Why Firth penalised logistic regression rather than standard logistic?</w:t>
      </w:r>
    </w:p>
    <w:p>
      <w:pPr>
        <w:spacing w:after="120"/>
      </w:pPr>
      <w:r>
        <w:t xml:space="preserve">Standard maximum-likelihood logistic regression is biased when the dataset exhibits separation or quasi-separation, which is expected with the small OtherDM arm (n=47) and binary outcomes. Firth's penalisation removes the first-order bias and produces finite, stable estimates even in the presence of separation. The GLM HC3 cross-check confirms that the Firth estimates are not artefacts of the penalisation: directions and significance are concordant for all three arm contrasts.</w:t>
      </w:r>
    </w:p>
    <w:p>
      <w:pPr>
        <w:pStyle w:val="Heading3"/>
        <w:spacing w:after="80" w:before="180"/>
      </w:pPr>
      <w:r>
        <w:t xml:space="preserve">Q9. Why bootstrap CIs rather than asymptotic Wald CIs?</w:t>
      </w:r>
    </w:p>
    <w:p>
      <w:pPr>
        <w:spacing w:after="120"/>
      </w:pPr>
      <w:r>
        <w:t xml:space="preserve">With unequal arm sizes (range: 47 to 607) and binary outcomes near the boundaries (OtherDM 91.5% positive on the primary outcome), asymptotic Wald CIs are unreliable. Non-parametric bootstrap with 1,000 iterations provides empirically calibrated intervals.</w:t>
      </w:r>
    </w:p>
    <w:p>
      <w:pPr>
        <w:pStyle w:val="Heading3"/>
        <w:spacing w:after="80" w:before="180"/>
      </w:pPr>
      <w:r>
        <w:t xml:space="preserve">Q10. How was multiple testing addressed across the 8 sensitivity analyses?</w:t>
      </w:r>
    </w:p>
    <w:p>
      <w:pPr>
        <w:spacing w:after="120"/>
      </w:pPr>
      <w:r>
        <w:t xml:space="preserve">Each sensitivity analysis was pre-specified to address a distinct analytical concern (window length, surgery subgroup, outcome definition, opioid-naive vs experienced status, formal interaction). They are confirmatory rather than discovery analyses, so a global multiple-comparison correction was not applied. The internal consistency of the OtherDM signal across 8A, 8B (TKA), 8C, 8D, 8F, and 8H is presented as the main robustness argument; readers can see at a glance which analyses are concordant. The methods writer should state this rationale explicitly.</w:t>
      </w:r>
    </w:p>
    <w:p>
      <w:pPr>
        <w:pStyle w:val="Heading3"/>
        <w:spacing w:after="80" w:before="180"/>
      </w:pPr>
      <w:r>
        <w:t xml:space="preserve">Q11. Why available-case analysis instead of multiple imputation for BMI and HbA1c?</w:t>
      </w:r>
    </w:p>
    <w:p>
      <w:pPr>
        <w:spacing w:after="120"/>
      </w:pPr>
      <w:r>
        <w:t xml:space="preserve">Available-case analysis preserves the integrity of the directly observed values and avoids imputation-model misspecification under MNAR (missing-not-at-random) mechanisms, which is plausible here (sicker patients may have more measurements). The trade-off is reduced effective sample size and potential bias if missingness is related to arm assignment. This is acknowledged as a limitation. Multiple imputation could be applied in a future re-analysis if the workbench becomes available.</w:t>
      </w:r>
    </w:p>
    <w:p>
      <w:pPr>
        <w:pStyle w:val="Heading2"/>
        <w:spacing w:after="120" w:before="240"/>
      </w:pPr>
      <w:r>
        <w:t xml:space="preserve">7.4 Confounding and causal inference</w:t>
      </w:r>
    </w:p>
    <w:p>
      <w:pPr>
        <w:pStyle w:val="Heading3"/>
        <w:spacing w:after="80" w:before="180"/>
      </w:pPr>
      <w:r>
        <w:t xml:space="preserve">Q12. Could residual confounding by glycaemic control explain the OtherDM signal?</w:t>
      </w:r>
    </w:p>
    <w:p>
      <w:pPr>
        <w:spacing w:after="120"/>
      </w:pPr>
      <w:r>
        <w:t xml:space="preserve">Possibly. HbA1c was available for only 458/976 patients (46.9%). The OtherDM mean HbA1c (6.7%) is similar to Metformin (6.6%) and Insulin (6.9%), so glycaemic control is not an obvious confounder of the OtherDM elevation. However, residual confounding cannot be excluded and is listed in Section 8.</w:t>
      </w:r>
    </w:p>
    <w:p>
      <w:pPr>
        <w:pStyle w:val="Heading3"/>
        <w:spacing w:after="80" w:before="180"/>
      </w:pPr>
      <w:r>
        <w:t xml:space="preserve">Q13. Could surgeon prescribing variation, anaesthesia technique, or implant type confound the arm effect?</w:t>
      </w:r>
    </w:p>
    <w:p>
      <w:pPr>
        <w:spacing w:after="120"/>
      </w:pPr>
      <w:r>
        <w:t xml:space="preserve">These variables were not available in the workbench dataset. They are unmeasured confounders and are explicitly listed in the limitations. The fact that the DietControlled protective effect persists across THA, TKA, opioid-naive, and 30-day windows argues against a single dominant unmeasured confounder explaining all the findings.</w:t>
      </w:r>
    </w:p>
    <w:p>
      <w:pPr>
        <w:pStyle w:val="Heading3"/>
        <w:spacing w:after="80" w:before="180"/>
      </w:pPr>
      <w:r>
        <w:t xml:space="preserve">Q14. The DietControlled protective effect is the opposite direction to the readmission finding in Study 1. How do you reconcile this?</w:t>
      </w:r>
    </w:p>
    <w:p>
      <w:pPr>
        <w:spacing w:after="120"/>
      </w:pPr>
      <w:r>
        <w:t xml:space="preserve">DietControlled patients have the shortest diabetes duration (0.8 yrs), the lowest HbA1c (6.0%), and the lowest baseline opioid use (52.1%) — a milder disease phenotype with less pre-surgical pain priming. They have lower opioid use post-operatively but a higher relative readmission rate driven by other complications. The two outcomes are biologically distinct: opioid use reflects pain management practice, while readmission reflects medical and surgical complication burden. The opposing directions are therefore plausible and are an important point to discuss explicitly in the manuscript.</w:t>
      </w:r>
    </w:p>
    <w:p>
      <w:pPr>
        <w:pStyle w:val="Heading2"/>
        <w:spacing w:after="120" w:before="240"/>
      </w:pPr>
      <w:r>
        <w:t xml:space="preserve">7.5 Clinical translation</w:t>
      </w:r>
    </w:p>
    <w:p>
      <w:pPr>
        <w:pStyle w:val="Heading3"/>
        <w:spacing w:after="80" w:before="180"/>
      </w:pPr>
      <w:r>
        <w:t xml:space="preserve">Q15. What is the clinical action implied by the OtherDM finding?</w:t>
      </w:r>
    </w:p>
    <w:p>
      <w:pPr>
        <w:spacing w:after="120"/>
      </w:pPr>
      <w:r>
        <w:t xml:space="preserve">The OtherDM finding identifies a subgroup at substantially elevated post-operative opioid risk (3.5× adjusted, strengthening to 4.3× in opioid-naive). It does not establish that switching DM therapy reduces opioid risk (this is an observational study). The clinically actionable implication is risk stratification: patients on non-insulin, non-metformin DM agents undergoing THA/TKA may benefit from enhanced pre-operative pain counselling, multimodal analgesia planning, and prescriber awareness. The TKA-specific Insulin signal (8B/8G) suggests a similar consideration for TKA patients on insulin.</w:t>
      </w:r>
    </w:p>
    <w:p>
      <w:pPr>
        <w:pStyle w:val="Heading3"/>
        <w:spacing w:after="80" w:before="180"/>
      </w:pPr>
      <w:r>
        <w:t xml:space="preserve">Q16. How generalisable are these findings?</w:t>
      </w:r>
    </w:p>
    <w:p>
      <w:pPr>
        <w:spacing w:after="120"/>
      </w:pPr>
      <w:r>
        <w:t xml:space="preserve">The cohort is drawn from a single EHR/claims database. External validity to other healthcare systems and geographic regions has not been tested. Replication in independent cohorts is the highest-priority next step.</w:t>
      </w:r>
    </w:p>
    <w:p>
      <w:pPr>
        <w:pStyle w:val="Heading1"/>
        <w:spacing w:after="160" w:before="320"/>
      </w:pPr>
      <w:r>
        <w:t xml:space="preserve">8. Limitations</w:t>
      </w:r>
    </w:p>
    <w:p>
      <w:pPr>
        <w:spacing w:after="120"/>
      </w:pPr>
      <w:r>
        <w:t xml:space="preserve">Limitations are listed below in the order recommended for the manuscript. Each is paired with its impact on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Limitation</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Impact on interpretation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Retrospective observational design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Arm assignment is based on pre-existing dispensation, not randomisation. Unmeasured confounders (pain sensitisation, neuropathy severity, surgeon prescribing, anaesthesia type, implant choice, multimodal analgesia protocols) cannot be excluded. Findings are hypothesis-generating; randomised or propensity-matched designs are needed to confirm causality.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Opioid dispensation as proxy for opioid 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Captures dispensation, not verified consumption. May slightly overestimate true exposure; informal supply not captured.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All-cause opioid endpoint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Outcome captures any opioid dispensation regardless of whether prescribed for surgical or chronic pain. Mitigated by adjusting for baseline opioid use and by the opioid-naive sensitivity (8F).</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Small OtherDM arm (n=47)</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Limited statistical power, particularly in subgroup analyses (n=18 OtherDM in THA). Wide confidence intervals. THA non-significance for OtherDM (8B) most likely reflects power, not absence of effect. Replication in larger cohorts required.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Incomplete HbA1c (47%) and BMI (55%) availability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Available-case analysis used. Potential bias if missingness is related to arm assignment. Residual confounding by glycaemic control is possible.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agonists merged into OtherDM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Prevents isolation of GLP-1-specific effects. The OtherDM signal is a composite. Larger cohorts should isolate GLP-1, SGLT-2, DPP-4, and sulfonylureas separately.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Single-database study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Results from one EHR system may not generalise to other healthcare systems, payers, or geographic regions. External validity should be tested.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Baseline opioid use ascertainment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Baseline opioid use is binary (any dispensation in 365 days). Dose, chronicity, and high-vs-low-MME stratification are not distinguished. A more granular baseline opioid characterisation is a future-work priority.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Workbench no longer accessible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Methods writing and any reviewer-requested re-analysis are constrained to the variables and outputs already produced. New analyses (MME, propensity scores, additional comorbidities, granular GLP-1 stratification) cannot be added. This should be noted in the response-to-reviewers as appropriate.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MME and chronic-use endpoints not derived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Dose-adjusted (MME) and formal chronic-opioid-use definitions were not computed. The 8E prolonged endpoint (≥2 Rx within 90d) is the closest available proxy.</w:t>
            </w:r>
          </w:p>
        </w:tc>
      </w:tr>
    </w:tbl>
    <w:p>
      <w:pPr>
        <w:pStyle w:val="Heading1"/>
        <w:spacing w:after="160" w:before="320"/>
      </w:pPr>
      <w:r>
        <w:t xml:space="preserve">9. Strengths</w:t>
      </w:r>
    </w:p>
    <w:p>
      <w:pPr>
        <w:pStyle w:val="ListParagraph"/>
        <w:numPr>
          <w:ilvl w:val="0"/>
          <w:numId w:val="2"/>
        </w:numPr>
        <w:spacing w:after="80"/>
      </w:pPr>
      <w:r>
        <w:t xml:space="preserve">Pre-specified, internally consistent sensitivity analysis program (8 analyses) providing strong robustness evidence for the OtherDM and DietControlled findings.</w:t>
      </w:r>
    </w:p>
    <w:p>
      <w:pPr>
        <w:pStyle w:val="ListParagraph"/>
        <w:numPr>
          <w:ilvl w:val="0"/>
          <w:numId w:val="2"/>
        </w:numPr>
        <w:spacing w:after="80"/>
      </w:pPr>
      <w:r>
        <w:t xml:space="preserve">Two independent statistical methods (Firth penalised + GLM HC3) used for cross-validation; estimates concordant in direction, magnitude, and significance for all three arm contrasts.</w:t>
      </w:r>
    </w:p>
    <w:p>
      <w:pPr>
        <w:pStyle w:val="ListParagraph"/>
        <w:numPr>
          <w:ilvl w:val="0"/>
          <w:numId w:val="2"/>
        </w:numPr>
        <w:spacing w:after="80"/>
      </w:pPr>
      <w:r>
        <w:t xml:space="preserve">Adjustment for baseline opioid use — the strongest known predictor of post-operative opioid use — explicitly included in every model. This is what allows the Insulin null to be interpreted (vs simply reading the high raw rate as a positive Insulin signal).</w:t>
      </w:r>
    </w:p>
    <w:p>
      <w:pPr>
        <w:pStyle w:val="ListParagraph"/>
        <w:numPr>
          <w:ilvl w:val="0"/>
          <w:numId w:val="2"/>
        </w:numPr>
        <w:spacing w:after="80"/>
      </w:pPr>
      <w:r>
        <w:t xml:space="preserve">Opioid-naive subgroup analysis (8F) isolates de novo initiation, the highest-risk clinical scenario. The strengthening of the OtherDM and DietControlled effects in this subgroup is a key robustness signal.</w:t>
      </w:r>
    </w:p>
    <w:p>
      <w:pPr>
        <w:pStyle w:val="ListParagraph"/>
        <w:numPr>
          <w:ilvl w:val="0"/>
          <w:numId w:val="2"/>
        </w:numPr>
        <w:spacing w:after="80"/>
      </w:pPr>
      <w:r>
        <w:t xml:space="preserve">Formal surgery × arm interaction test (8G) — instead of relying on visual inspection of subgroup ORs — establishes that the Insulin estimate must be reported separately by procedure type (TKA vs THA).</w:t>
      </w:r>
    </w:p>
    <w:p>
      <w:pPr>
        <w:pStyle w:val="ListParagraph"/>
        <w:numPr>
          <w:ilvl w:val="0"/>
          <w:numId w:val="2"/>
        </w:numPr>
        <w:spacing w:after="80"/>
      </w:pPr>
      <w:r>
        <w:t xml:space="preserve">Companion design with the readmission study (Study 1) using the identical cohort allows direct cross-study comparison of two clinically distinct outcomes (opioid use vs readmission) under matched exposure definitions.</w:t>
      </w:r>
    </w:p>
    <w:p>
      <w:pPr>
        <w:pStyle w:val="ListParagraph"/>
        <w:numPr>
          <w:ilvl w:val="0"/>
          <w:numId w:val="2"/>
        </w:numPr>
        <w:spacing w:after="80"/>
      </w:pPr>
      <w:r>
        <w:t xml:space="preserve">Bootstrap (1,000 iter) CIs handle unequal arm sizes and boundary event rates more reliably than asymptotic Wald CIs.</w:t>
      </w:r>
    </w:p>
    <w:p>
      <w:pPr>
        <w:pStyle w:val="Heading1"/>
        <w:spacing w:after="160" w:before="320"/>
      </w:pPr>
      <w:r>
        <w:t xml:space="preserve">10. STROBE reporting checklist crosswalk</w:t>
      </w:r>
    </w:p>
    <w:p>
      <w:pPr>
        <w:spacing w:after="120"/>
      </w:pPr>
      <w:r>
        <w:t xml:space="preserve">STROBE is required for observational research and is a submission requirement for BMC Musculoskeletal Disorders. Below is a crosswalk indicating where each item is addressed in this methods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Item</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STROBE element</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Where addressed in this document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Title / abstract — design declaration</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1.1 (retrospective observational cohort).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Background / rationale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1.2.</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Objectives / hypothesis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1.3.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Study design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Setting (location, period, follow-up)</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2 (controlled-access workbench, EHR/claims dataset; 365-day baseline + 90-day follow-up).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Participants — eligibility, sources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3.</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7</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Variables — outcomes, exposure, covariates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sources / measurement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2 + Section 4 (per-variable definitions).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Bias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8 (limitations) + Section 7 (reviewer Q&amp;A).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Study size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3 (n=976; arm sizes).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Quantitative variables — handling</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4 + Section 5 (continuous/binary handling, missing-data approach).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Statistical methods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5.</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Participants — flow diagram</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3.4 + Figure 1 of source PDF.</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Descriptive data — Table 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6.1 + Table 1.</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Outcome data — unadjusted</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6.2 + Figure 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Main results — adjusted estimates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6.3 + Figure 6.</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17</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Other analyses — sensitivity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6.4 (8A–8H) + Figure 7.</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Key results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6.3 + Section 6.4 (8F flagged).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Limitations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8.</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Interpretation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6.3 + Section 7 (reviewer-question framing).</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Generalisability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7.5 (Q16) + Section 8 (single-database).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Funding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To be added by manuscript author.</w:t>
            </w:r>
          </w:p>
        </w:tc>
      </w:tr>
    </w:tbl>
    <w:p>
      <w:pPr>
        <w:pStyle w:val="Heading1"/>
        <w:spacing w:after="160" w:before="320"/>
      </w:pPr>
      <w:r>
        <w:t xml:space="preserve">Appendix A — Quick reference for Discussion writing</w:t>
      </w:r>
    </w:p>
    <w:p>
      <w:pPr>
        <w:spacing w:after="120"/>
      </w:pPr>
      <w:r>
        <w:t xml:space="preserve">The Discussion will be written in this exact sequence (per the senior author):</w:t>
      </w:r>
    </w:p>
    <w:p>
      <w:pPr>
        <w:pStyle w:val="ListParagraph"/>
        <w:numPr>
          <w:ilvl w:val="0"/>
          <w:numId w:val="2"/>
        </w:numPr>
        <w:spacing w:after="80"/>
      </w:pPr>
      <w:r>
        <w:t xml:space="preserve">(1) Cohort &amp; Baseline → (2) Unadjusted outcomes → (3) Primary adjusted analysis → (4) Sensitivity analyses 8A–8H, with 8F (opioid-naive) and 8G (surgery × arm interaction) flagged.</w:t>
      </w:r>
    </w:p>
    <w:p>
      <w:pPr>
        <w:spacing w:after="120"/>
      </w:pPr>
      <w:r>
        <w:t xml:space="preserve">Key narrative anchors:</w:t>
      </w:r>
    </w:p>
    <w:p>
      <w:pPr>
        <w:pStyle w:val="ListParagraph"/>
        <w:numPr>
          <w:ilvl w:val="0"/>
          <w:numId w:val="2"/>
        </w:numPr>
        <w:spacing w:after="80"/>
      </w:pPr>
      <w:r>
        <w:t xml:space="preserve">OtherDM signal is internally consistent: significant in primary, 8A, 8B-TKA, 8C, 8D, 8F (strengthens), and 8H. Loses significance only for prolonged use (8E) and in THA subgroup (power-limited).</w:t>
      </w:r>
    </w:p>
    <w:p>
      <w:pPr>
        <w:pStyle w:val="ListParagraph"/>
        <w:numPr>
          <w:ilvl w:val="0"/>
          <w:numId w:val="2"/>
        </w:numPr>
        <w:spacing w:after="80"/>
      </w:pPr>
      <w:r>
        <w:t xml:space="preserve">DietControlled is consistently protective except in the opioid-experienced subgroup (8H), where the protective effect is partially mediated by lower baseline opioid priming.</w:t>
      </w:r>
    </w:p>
    <w:p>
      <w:pPr>
        <w:pStyle w:val="ListParagraph"/>
        <w:numPr>
          <w:ilvl w:val="0"/>
          <w:numId w:val="2"/>
        </w:numPr>
        <w:spacing w:after="80"/>
      </w:pPr>
      <w:r>
        <w:t xml:space="preserve">Insulin null overall but a clear TKA-only positive signal (8B-TKA, 8G interaction p=0.041). Must be reported separately by procedure type.</w:t>
      </w:r>
    </w:p>
    <w:p>
      <w:pPr>
        <w:pStyle w:val="ListParagraph"/>
        <w:numPr>
          <w:ilvl w:val="0"/>
          <w:numId w:val="2"/>
        </w:numPr>
        <w:spacing w:after="80"/>
      </w:pPr>
      <w:r>
        <w:t xml:space="preserve">Opposing direction to Study 1 (readmission) for DietControlled is biologically coherent — opioid use indexes pain management, readmission indexes complication burden.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Opioid Project — Methods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2026-05-12T04:40:57.896Z</dcterms:created>
  <dcterms:modified xsi:type="dcterms:W3CDTF">2026-05-12T04:40:57.896Z</dcterms:modified>
</cp:coreProperties>
</file>

<file path=docProps/custom.xml><?xml version="1.0" encoding="utf-8"?>
<Properties xmlns="http://schemas.openxmlformats.org/officeDocument/2006/custom-properties" xmlns:vt="http://schemas.openxmlformats.org/officeDocument/2006/docPropsVTypes"/>
</file>