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4"/>
          <w:szCs w:val="44"/>
        </w:rPr>
        <w:t xml:space="preserve">Methods Handoff Document</w:t>
      </w:r>
    </w:p>
    <w:p>
      <w:pPr>
        <w:spacing w:after="240"/>
        <w:jc w:val="center"/>
      </w:pPr>
      <w:r>
        <w:rPr>
          <w:b/>
          <w:bCs/>
          <w:sz w:val="32"/>
          <w:szCs w:val="32"/>
        </w:rPr>
        <w:t xml:space="preserve">Study 1 — Readmission Project</w:t>
      </w:r>
    </w:p>
    <w:p>
      <w:pPr>
        <w:spacing w:after="480"/>
        <w:jc w:val="center"/>
      </w:pPr>
      <w:r>
        <w:rPr>
          <w:i/>
          <w:iCs/>
          <w:sz w:val="24"/>
          <w:szCs w:val="24"/>
        </w:rPr>
        <w:t xml:space="preserve">Hospital Readmission After Total Hip &amp; Knee Arthroplasty: The Role of Diabetes Management Strategy</w:t>
      </w:r>
    </w:p>
    <w:p>
      <w:pPr>
        <w:spacing w:after="120"/>
        <w:jc w:val="center"/>
      </w:pPr>
      <w:r>
        <w:rPr>
          <w:sz w:val="22"/>
          <w:szCs w:val="22"/>
        </w:rPr>
        <w:t xml:space="preserve">Target journal: Journal of Arthroplasty</w:t>
      </w:r>
    </w:p>
    <w:p>
      <w:pPr>
        <w:spacing w:after="120"/>
        <w:jc w:val="center"/>
      </w:pPr>
      <w:r>
        <w:rPr>
          <w:sz w:val="22"/>
          <w:szCs w:val="22"/>
        </w:rPr>
        <w:t xml:space="preserve">Companion to Study 2 (Opioid Project) — same source cohort</w:t>
      </w:r>
    </w:p>
    <w:p>
      <w:pPr>
        <w:spacing w:after="600"/>
        <w:jc w:val="center"/>
      </w:pPr>
      <w:r>
        <w:rPr>
          <w:i/>
          <w:iCs/>
          <w:sz w:val="22"/>
          <w:szCs w:val="22"/>
        </w:rPr>
        <w:t xml:space="preserve">Prepared for lab member writing the methods section</w:t>
      </w:r>
    </w:p>
    <w:p>
      <w:r>
        <w:br w:type="page"/>
      </w:r>
    </w:p>
    <w:p>
      <w:pPr>
        <w:pStyle w:val="Heading1"/>
        <w:spacing w:after="160" w:before="320"/>
      </w:pPr>
      <w:r>
        <w:t xml:space="preserve">INSTRUCTIONS — READ FIRST</w:t>
      </w:r>
    </w:p>
    <w:p>
      <w:pPr>
        <w:spacing w:after="120"/>
      </w:pPr>
      <w:r>
        <w:rPr>
          <w:b/>
          <w:bCs/>
        </w:rPr>
        <w:t xml:space="preserve">Purpose of this document. </w:t>
      </w:r>
      <w:r>
        <w:t xml:space="preserve">Use this handoff to write the formal </w:t>
      </w:r>
      <w:r>
        <w:rPr>
          <w:b/>
          <w:bCs/>
        </w:rPr>
        <w:t xml:space="preserve">Methods</w:t>
      </w:r>
      <w:r>
        <w:t xml:space="preserve"> and </w:t>
      </w:r>
      <w:r>
        <w:rPr>
          <w:b/>
          <w:bCs/>
        </w:rPr>
        <w:t xml:space="preserve">Results</w:t>
      </w:r>
      <w:r>
        <w:t xml:space="preserve"> sections of the Readmission Project manuscript. Nothing else — not the Introduction, Discussion, Abstract, or Conclusions. The Methods and Results are the two sections that depend entirely on the analysis already performed; everything required to write them is contained in this document.</w:t>
      </w:r>
    </w:p>
    <w:p>
      <w:pPr>
        <w:spacing w:after="120"/>
      </w:pPr>
      <w:r>
        <w:rPr>
          <w:b/>
          <w:bCs/>
        </w:rPr>
        <w:t xml:space="preserve">Target journal. </w:t>
      </w:r>
      <w:r>
        <w:rPr>
          <w:b/>
          <w:bCs/>
        </w:rPr>
        <w:t xml:space="preserve">Journal of Arthroplasty</w:t>
      </w:r>
      <w:r>
        <w:t xml:space="preserve"> (Elsevier). Format the Methods and Results sections according to the current Journal of Arthroplasty author guidelines: 3,500-word body limit (excluding abstract, references, tables, figures), structured 250-word abstract (not your responsibility here), Vancouver (numbered) reference style, up to 6 figures and 6 tables total, STROBE checklist required as a supplementary file. Use the journal's section heading conventions and reporting style. Confirm current guidelines at </w:t>
      </w:r>
      <w:r>
        <w:rPr>
          <w:i/>
          <w:iCs/>
        </w:rPr>
        <w:t xml:space="preserve">www.arthroplastyjournal.org</w:t>
      </w:r>
      <w:r>
        <w:t xml:space="preserve"> before submission.</w:t>
      </w:r>
    </w:p>
    <w:p>
      <w:pPr>
        <w:spacing w:after="120"/>
      </w:pPr>
      <w:r>
        <w:rPr>
          <w:b/>
          <w:bCs/>
        </w:rPr>
        <w:t xml:space="preserve">Use ONLY the data in this document. </w:t>
      </w:r>
      <w:r>
        <w:t xml:space="preserve">Every cohort number, variable definition, statistical method, adjusted odds ratio, confidence interval, p-value, sensitivity analysis result, and figure/table reference you need is already provided here, drawn directly from the workbench outputs. </w:t>
      </w:r>
      <w:r>
        <w:rPr>
          <w:b/>
          <w:bCs/>
        </w:rPr>
        <w:t xml:space="preserve">Do not add, invent, estimate, round, re-derive, or supplement with outside data. </w:t>
      </w:r>
      <w:r>
        <w:t xml:space="preserve">The original AoU workbench is no longer accessible, so any number that is not in this document or the source results PDF cannot be verified and must not appear in the manuscript. If a reviewer requests a value that is not present, the appropriate response is to acknowledge the limitation — not to fabricate or estimate it.</w:t>
      </w:r>
    </w:p>
    <w:p>
      <w:pPr>
        <w:spacing w:after="120"/>
      </w:pPr>
      <w:r>
        <w:rPr>
          <w:b/>
          <w:bCs/>
        </w:rPr>
        <w:t xml:space="preserve">What to write. </w:t>
      </w:r>
      <w:r>
        <w:t xml:space="preserve">(1) A Methods section that describes the design, data source, cohort, variables, and statistical analysis plan as documented in Sections 1–5 of this handoff. (2) A Results section that follows the writing order set by the senior author (Section 6 of this handoff): Cohort &amp; Baseline → Unadjusted outcomes → Primary adjusted analysis → Sensitivity analyses 8A through 8C, with 8B (TKA subgroup) flagged as the most important and the THA non-significance framed explicitly as a power issue (n=18 OtherDM in THA), not absence of effect. Reproduce the exact aOR, 95% CI, and p-values shown in the tables here. Reference the figures by their source-PDF numbers (Figures 1–5) and Table 1.</w:t>
      </w:r>
    </w:p>
    <w:p>
      <w:pPr>
        <w:spacing w:after="120"/>
      </w:pPr>
      <w:r>
        <w:rPr>
          <w:b/>
          <w:bCs/>
        </w:rPr>
        <w:t xml:space="preserve">What NOT to write. </w:t>
      </w:r>
      <w:r>
        <w:t xml:space="preserve">Do not write the Introduction, Discussion, Abstract, or Conclusions — those are owned by other authors and rely on framing, literature review, and clinical interpretation outside the scope of this handoff. The reviewer Q&amp;A in Section 7 is provided as background to help you anticipate referee questions and pre-empt them in the prose; do not paste the Q&amp;A into the manuscript verbatim.</w:t>
      </w:r>
    </w:p>
    <w:p>
      <w:pPr>
        <w:spacing w:after="120"/>
      </w:pPr>
      <w:r>
        <w:rPr>
          <w:b/>
          <w:bCs/>
        </w:rPr>
        <w:t xml:space="preserve">Style and tone. </w:t>
      </w:r>
      <w:r>
        <w:t xml:space="preserve">Past tense, third person, passive voice acceptable for methods ("patients were assigned…"). Use SI units. Spell out abbreviations on first use (THA, TKA, T2DM, HbA1c, aOR). Match Journal of Arthroplasty house style for numerals, citations, and statistical reporting. Report Firth and GLM cross-check estimates side-by-side as shown in Section 6.3, and report the DietControlled 30-day result transparently as "Firth significant, GLM borderline" rather than collapsing to a single estimate.</w:t>
      </w:r>
    </w:p>
    <w:p>
      <w:pPr>
        <w:spacing w:after="120"/>
      </w:pPr>
      <w:r>
        <w:t xml:space="preserve">If anything in this document is unclear or appears to conflict with the source results PDF, defer to the source results PDF and flag the discrepancy to the senior author before writing.</w:t>
      </w:r>
    </w:p>
    <w:p>
      <w:r>
        <w:br w:type="page"/>
      </w:r>
    </w:p>
    <w:p>
      <w:pPr>
        <w:pStyle w:val="Heading1"/>
        <w:spacing w:after="160" w:before="320"/>
      </w:pPr>
      <w:r>
        <w:t xml:space="preserve">0. How to use this document</w:t>
      </w:r>
    </w:p>
    <w:p>
      <w:pPr>
        <w:spacing w:after="120"/>
      </w:pPr>
      <w:r>
        <w:t xml:space="preserve">This document is the complete methodological reference for the Readmission Project. It is self-contained: everything required to write the methods section — cohort flow, variables, analytic pipeline, results sequence, limitations, and anticipated reviewer questions — is included here. The original AoU workbench is no longer accessible. Anything not described in this document or the source results PDF is treated as a study limitation.</w:t>
      </w:r>
    </w:p>
    <w:p>
      <w:pPr>
        <w:spacing w:after="120"/>
      </w:pPr>
      <w:r>
        <w:t xml:space="preserve">The document follows the writing order requested by the senior author: (1) Cohort &amp; Baseline → (2) Unadjusted outcomes → (3) Primary adjusted analysis → (4) Sensitivity analyses 8A through 8C, with 8B (TKA subgroup, OtherDM aOR 3.89, p=0.006) flagged as the most important. THA non-significance for OtherDM is most likely a power issue (n=18 OtherDM in THA), not absence of effect.</w:t>
      </w:r>
    </w:p>
    <w:p>
      <w:pPr>
        <w:pStyle w:val="Heading2"/>
        <w:spacing w:after="120" w:before="240"/>
      </w:pPr>
      <w:r>
        <w:t xml:space="preserve">Section map</w:t>
      </w:r>
    </w:p>
    <w:p>
      <w:pPr>
        <w:pStyle w:val="ListParagraph"/>
        <w:numPr>
          <w:ilvl w:val="0"/>
          <w:numId w:val="2"/>
        </w:numPr>
        <w:spacing w:after="80"/>
      </w:pPr>
      <w:r>
        <w:t xml:space="preserve">Section 1 — Study design and rationale</w:t>
      </w:r>
    </w:p>
    <w:p>
      <w:pPr>
        <w:pStyle w:val="ListParagraph"/>
        <w:numPr>
          <w:ilvl w:val="0"/>
          <w:numId w:val="2"/>
        </w:numPr>
        <w:spacing w:after="80"/>
      </w:pPr>
      <w:r>
        <w:t xml:space="preserve">Section 2 — Data source and ethical framework</w:t>
      </w:r>
    </w:p>
    <w:p>
      <w:pPr>
        <w:pStyle w:val="ListParagraph"/>
        <w:numPr>
          <w:ilvl w:val="0"/>
          <w:numId w:val="2"/>
        </w:numPr>
        <w:spacing w:after="80"/>
      </w:pPr>
      <w:r>
        <w:t xml:space="preserve">Section 3 — Cohort construction</w:t>
      </w:r>
    </w:p>
    <w:p>
      <w:pPr>
        <w:pStyle w:val="ListParagraph"/>
        <w:numPr>
          <w:ilvl w:val="0"/>
          <w:numId w:val="2"/>
        </w:numPr>
        <w:spacing w:after="80"/>
      </w:pPr>
      <w:r>
        <w:t xml:space="preserve">Section 4 — Variables: outcomes, exposure, covariates</w:t>
      </w:r>
    </w:p>
    <w:p>
      <w:pPr>
        <w:pStyle w:val="ListParagraph"/>
        <w:numPr>
          <w:ilvl w:val="0"/>
          <w:numId w:val="2"/>
        </w:numPr>
        <w:spacing w:after="80"/>
      </w:pPr>
      <w:r>
        <w:t xml:space="preserve">Section 5 — Statistical analysis plan (primary + 3 sensitivity analyses)</w:t>
      </w:r>
    </w:p>
    <w:p>
      <w:pPr>
        <w:pStyle w:val="ListParagraph"/>
        <w:numPr>
          <w:ilvl w:val="0"/>
          <w:numId w:val="2"/>
        </w:numPr>
        <w:spacing w:after="80"/>
      </w:pPr>
      <w:r>
        <w:t xml:space="preserve">Section 6 — Results sequence to be written</w:t>
      </w:r>
    </w:p>
    <w:p>
      <w:pPr>
        <w:pStyle w:val="ListParagraph"/>
        <w:numPr>
          <w:ilvl w:val="0"/>
          <w:numId w:val="2"/>
        </w:numPr>
        <w:spacing w:after="80"/>
      </w:pPr>
      <w:r>
        <w:t xml:space="preserve">Section 7 — Anticipated reviewer questions and suggested responses</w:t>
      </w:r>
    </w:p>
    <w:p>
      <w:pPr>
        <w:pStyle w:val="ListParagraph"/>
        <w:numPr>
          <w:ilvl w:val="0"/>
          <w:numId w:val="2"/>
        </w:numPr>
        <w:spacing w:after="80"/>
      </w:pPr>
      <w:r>
        <w:t xml:space="preserve">Section 8 — Limitations</w:t>
      </w:r>
    </w:p>
    <w:p>
      <w:pPr>
        <w:pStyle w:val="ListParagraph"/>
        <w:numPr>
          <w:ilvl w:val="0"/>
          <w:numId w:val="2"/>
        </w:numPr>
        <w:spacing w:after="80"/>
      </w:pPr>
      <w:r>
        <w:t xml:space="preserve">Section 9 — Strengths</w:t>
      </w:r>
    </w:p>
    <w:p>
      <w:pPr>
        <w:pStyle w:val="ListParagraph"/>
        <w:numPr>
          <w:ilvl w:val="0"/>
          <w:numId w:val="2"/>
        </w:numPr>
        <w:spacing w:after="80"/>
      </w:pPr>
      <w:r>
        <w:t xml:space="preserve">Section 10 — STROBE crosswalk</w:t>
      </w:r>
    </w:p>
    <w:p>
      <w:r>
        <w:br w:type="page"/>
      </w:r>
    </w:p>
    <w:p>
      <w:pPr>
        <w:pStyle w:val="Heading1"/>
        <w:spacing w:after="160" w:before="320"/>
      </w:pPr>
      <w:r>
        <w:t xml:space="preserve">1. Study design and rationale</w:t>
      </w:r>
    </w:p>
    <w:p>
      <w:pPr>
        <w:pStyle w:val="Heading2"/>
        <w:spacing w:after="120" w:before="240"/>
      </w:pPr>
      <w:r>
        <w:t xml:space="preserve">1.1 Design</w:t>
      </w:r>
    </w:p>
    <w:p>
      <w:pPr>
        <w:spacing w:after="120"/>
      </w:pPr>
      <w:r>
        <w:t xml:space="preserve">Retrospective single-database observational cohort study using EHR/claims-derived data. Patients were assigned to one of four mutually exclusive pre-surgical diabetes pharmacotherapy arms based on drug dispensation records in the 365 days before elective total hip or total knee arthroplasty, then followed forward to capture inpatient readmission and emergency-department visits.</w:t>
      </w:r>
    </w:p>
    <w:p>
      <w:pPr>
        <w:pStyle w:val="Heading2"/>
        <w:spacing w:after="120" w:before="240"/>
      </w:pPr>
      <w:r>
        <w:t xml:space="preserve">1.2 Rationale</w:t>
      </w:r>
    </w:p>
    <w:p>
      <w:pPr>
        <w:spacing w:after="120"/>
      </w:pPr>
      <w:r>
        <w:t xml:space="preserve">Hospital readmission within 30 and 90 days of joint replacement is a regulated quality metric, a major cost driver, and a marker of suboptimal recovery. Pre-surgical diabetes management strategy is a modifiable, identifiable variable at the time of surgical scheduling. If a particular DM management strategy is associated with higher readmission, this would identify a pre-operative risk-stratification lever.</w:t>
      </w:r>
    </w:p>
    <w:p>
      <w:pPr>
        <w:pStyle w:val="Heading2"/>
        <w:spacing w:after="120" w:before="240"/>
      </w:pPr>
      <w:r>
        <w:t xml:space="preserve">1.3 Hypothesis</w:t>
      </w:r>
    </w:p>
    <w:p>
      <w:pPr>
        <w:spacing w:after="120"/>
      </w:pPr>
      <w:r>
        <w:t xml:space="preserve">Pre-surgical DM treatment arm is independently associated with the probability of all-cause inpatient readmission within 30 and 90 days of elective THA or TKA, after adjustment for the standard set of confounders (age, BMI, HbA1c, diabetes duration, surgery type, and major comorbidities).</w:t>
      </w:r>
    </w:p>
    <w:p>
      <w:pPr>
        <w:pStyle w:val="Heading2"/>
        <w:spacing w:after="120" w:before="240"/>
      </w:pPr>
      <w:r>
        <w:t xml:space="preserve">1.4 Reference arm and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Decision</w:t>
            </w:r>
          </w:p>
        </w:tc>
        <w:tc>
          <w:tcPr>
            <w:tcW w:type="dxa" w:w="7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Rationale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Reference arm: Metformin</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First-line T2DM therapy; largest pharmacological arm (n=125); clinically meaningful comparator.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GLP-1 agonists merged into OtherDM</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GLP-1 users (n=218) were distributed across all four arms in the source data, so a stand-alone GLP-1 arm could not be constructed without losing power. Merging into OtherDM preserved statistical power but is retained as an explicit limitation.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Firth penalised logistic regression as primary model</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Corrects quasi-complete separation bias expected with the small OtherDM arm (n=47) and binary outcomes.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Bootstrap 95% CI (1,000 iterations)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More reliable than asymptotic CIs given unequal arm sizes and low event rates.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365-day exposure window</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Captures the predominant peri-operative pharmacotherapy strategy. Stability confirmed in 8A using a 180-day window.</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Co-primary outcomes: 30-day and 90-day readmission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Both windows are standard in arthroplasty outcomes research. 30-day captures immediate post-surgical complications; 90-day captures the full recovery period.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Secondary composite: 90-day readmission OR ED visit</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Captures the full unplanned acute-care utilisation burden, including ED visits not resulting in admission — events that are otherwise invisible to the readmission-only endpoint.</w:t>
            </w:r>
          </w:p>
        </w:tc>
      </w:tr>
    </w:tbl>
    <w:p>
      <w:pPr>
        <w:pStyle w:val="Heading1"/>
        <w:spacing w:after="160" w:before="320"/>
      </w:pPr>
      <w:r>
        <w:t xml:space="preserve">2. Data source and ethical framework</w:t>
      </w:r>
    </w:p>
    <w:p>
      <w:pPr>
        <w:spacing w:after="120"/>
      </w:pPr>
      <w:r>
        <w:t xml:space="preserve">All analyses were performed inside a controlled-access research workbench on a de-identified EHR/claims dataset. Drug exposures from dispensation records, diagnoses from ICD-coded condition records, BMI from vital-sign measurements, HbA1c from laboratory-measurement records, and surgical procedures from procedure-occurrence records. Ethical oversight is governed by the workbench's institutional data-use agreement and the IRB framework that covers analyses performed within it. The data-availability statement should reflect that individual-level data cannot be shared and that aggregate results are provided in the manuscript and supplement.</w:t>
      </w:r>
    </w:p>
    <w:p>
      <w:pPr>
        <w:spacing w:after="120"/>
      </w:pPr>
      <w:r>
        <w:t xml:space="preserve">Important note for the methods writer: because the workbench is no longer accessible for re-querying, the cohort and all derived variables are fixed at the values reported in the source results PDF. The methods text should describe variables and pipeline as documented; further variables a reviewer might suggest cannot be added post hoc and should be acknowledged as a limitation.</w:t>
      </w:r>
    </w:p>
    <w:p>
      <w:pPr>
        <w:pStyle w:val="Heading1"/>
        <w:spacing w:after="160" w:before="320"/>
      </w:pPr>
      <w:r>
        <w:t xml:space="preserve">3. Cohort construction</w:t>
      </w:r>
    </w:p>
    <w:p>
      <w:pPr>
        <w:spacing w:after="120"/>
      </w:pPr>
      <w:r>
        <w:t xml:space="preserve">From a starting population of 1,953 candidate patients with an index THA/TKA, 49 were excluded for type 1 diabetes mellitus (T1DM) and 128 were excluded for insufficient baseline observation time (less than 365 days continuous data prior to surgery). The final analytic cohort comprised 976 patients across four arms.</w:t>
      </w:r>
    </w:p>
    <w:p>
      <w:pPr>
        <w:pStyle w:val="Heading2"/>
        <w:spacing w:after="120" w:before="240"/>
      </w:pPr>
      <w:r>
        <w:t xml:space="preserve">3.1 Inclusion criteria</w:t>
      </w:r>
    </w:p>
    <w:p>
      <w:pPr>
        <w:pStyle w:val="ListParagraph"/>
        <w:numPr>
          <w:ilvl w:val="0"/>
          <w:numId w:val="2"/>
        </w:numPr>
        <w:spacing w:after="80"/>
      </w:pPr>
      <w:r>
        <w:t xml:space="preserve">Adult patient with an index elective THA or TKA in the source database.</w:t>
      </w:r>
    </w:p>
    <w:p>
      <w:pPr>
        <w:pStyle w:val="ListParagraph"/>
        <w:numPr>
          <w:ilvl w:val="0"/>
          <w:numId w:val="2"/>
        </w:numPr>
        <w:spacing w:after="80"/>
      </w:pPr>
      <w:r>
        <w:t xml:space="preserve">≥365 days of continuous baseline observation immediately preceding the index surgery.</w:t>
      </w:r>
    </w:p>
    <w:p>
      <w:pPr>
        <w:pStyle w:val="ListParagraph"/>
        <w:numPr>
          <w:ilvl w:val="0"/>
          <w:numId w:val="2"/>
        </w:numPr>
        <w:spacing w:after="80"/>
      </w:pPr>
      <w:r>
        <w:t xml:space="preserve">Type 2 diabetes mellitus status, defined by ICD-coded diagnoses and consistent with the diabetes pharmacotherapy classification used to assign treatment arm.</w:t>
      </w:r>
    </w:p>
    <w:p>
      <w:pPr>
        <w:pStyle w:val="Heading2"/>
        <w:spacing w:after="120" w:before="240"/>
      </w:pPr>
      <w:r>
        <w:t xml:space="preserve">3.2 Exclusion criteria</w:t>
      </w:r>
    </w:p>
    <w:p>
      <w:pPr>
        <w:pStyle w:val="ListParagraph"/>
        <w:numPr>
          <w:ilvl w:val="0"/>
          <w:numId w:val="2"/>
        </w:numPr>
        <w:spacing w:after="80"/>
      </w:pPr>
      <w:r>
        <w:t xml:space="preserve">T1DM (n=49 excluded).</w:t>
      </w:r>
    </w:p>
    <w:p>
      <w:pPr>
        <w:pStyle w:val="ListParagraph"/>
        <w:numPr>
          <w:ilvl w:val="0"/>
          <w:numId w:val="2"/>
        </w:numPr>
        <w:spacing w:after="80"/>
      </w:pPr>
      <w:r>
        <w:t xml:space="preserve">Insufficient baseline (&lt;365 days of pre-surgical observation; n=128 excluded).</w:t>
      </w:r>
    </w:p>
    <w:p>
      <w:pPr>
        <w:pStyle w:val="Heading2"/>
        <w:spacing w:after="120" w:before="240"/>
      </w:pPr>
      <w:r>
        <w:t xml:space="preserve">3.3 Treatment arm assignment</w:t>
      </w:r>
    </w:p>
    <w:p>
      <w:pPr>
        <w:spacing w:after="120"/>
      </w:pPr>
      <w:r>
        <w:t xml:space="preserve">Four mutually exclusive arms assigned from drug dispensation claims in the 365-day baseline window using the following hierarchy:</w:t>
      </w:r>
    </w:p>
    <w:p>
      <w:pPr>
        <w:pStyle w:val="ListParagraph"/>
        <w:numPr>
          <w:ilvl w:val="0"/>
          <w:numId w:val="2"/>
        </w:numPr>
        <w:spacing w:after="80"/>
      </w:pPr>
      <w:r>
        <w:t xml:space="preserve">Insulin — any insulin dispensation in the baseline window.</w:t>
      </w:r>
    </w:p>
    <w:p>
      <w:pPr>
        <w:pStyle w:val="ListParagraph"/>
        <w:numPr>
          <w:ilvl w:val="0"/>
          <w:numId w:val="2"/>
        </w:numPr>
        <w:spacing w:after="80"/>
      </w:pPr>
      <w:r>
        <w:t xml:space="preserve">OtherDM — any non-insulin, non-metformin diabetes drug class in baseline (GLP-1 receptor agonists, SGLT-2 inhibitors, DPP-4 inhibitors, sulfonylureas, and other agents).</w:t>
      </w:r>
    </w:p>
    <w:p>
      <w:pPr>
        <w:pStyle w:val="ListParagraph"/>
        <w:numPr>
          <w:ilvl w:val="0"/>
          <w:numId w:val="2"/>
        </w:numPr>
        <w:spacing w:after="80"/>
      </w:pPr>
      <w:r>
        <w:t xml:space="preserve">Metformin — metformin in baseline without insulin or OtherDM agents.</w:t>
      </w:r>
    </w:p>
    <w:p>
      <w:pPr>
        <w:pStyle w:val="ListParagraph"/>
        <w:numPr>
          <w:ilvl w:val="0"/>
          <w:numId w:val="2"/>
        </w:numPr>
        <w:spacing w:after="80"/>
      </w:pPr>
      <w:r>
        <w:t xml:space="preserve">DietControlled — no diabetes drug dispensation in baseline; T2DM diagnosis present.</w:t>
      </w:r>
    </w:p>
    <w:p>
      <w:pPr>
        <w:spacing w:after="120"/>
      </w:pPr>
      <w:r>
        <w:t xml:space="preserve">Final arm distribution: Metformin n=125; Insulin n=197; OtherDM n=47; DietControlled n=607. Surgery type was balanced (~60–63% TKA in each arm).</w:t>
      </w:r>
    </w:p>
    <w:p>
      <w:pPr>
        <w:pStyle w:val="Heading2"/>
        <w:spacing w:after="120" w:before="240"/>
      </w:pPr>
      <w:r>
        <w:t xml:space="preserve">3.4 Cohort flow figure</w:t>
      </w:r>
    </w:p>
    <w:p>
      <w:pPr>
        <w:spacing w:after="120"/>
      </w:pPr>
      <w:r>
        <w:t xml:space="preserve">Cohort flow is rendered in Figure 1 of the source results PDF. The methods writer should reference Figure 1 directly and reproduce the exclusion counts in the manuscript flow diagram.</w:t>
      </w:r>
    </w:p>
    <w:p>
      <w:pPr>
        <w:pStyle w:val="Heading1"/>
        <w:spacing w:after="160" w:before="320"/>
      </w:pPr>
      <w:r>
        <w:t xml:space="preserve">4. Variables</w:t>
      </w:r>
    </w:p>
    <w:p>
      <w:pPr>
        <w:pStyle w:val="Heading2"/>
        <w:spacing w:after="120" w:before="240"/>
      </w:pPr>
      <w:r>
        <w:t xml:space="preserve">4.1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Variable</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5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Operational definition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90-day readmission (CO-PRIMARY)</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Binary</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Any inpatient hospital admission within 90 days of the index THA/TKA, regardless of cause (all-cause). Identified from visit records with inpatient encounter type. NOT restricted to surgery-related causes (see Section 7.1, Q5).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30-day readmission (CO-PRIMARY)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Binary</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Any inpatient admission within 30 days of surgery (all-cause). Captures immediate post-operative complications and short-term surgical failure.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90-day readmission OR ED (SECONDARY composite)</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Binary</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Composite endpoint: any inpatient readmission OR any emergency-department visit within 90 days. Captures the full unplanned acute-care utilisation burden, including ED visits that did not result in admission.</w:t>
            </w:r>
          </w:p>
        </w:tc>
      </w:tr>
    </w:tbl>
    <w:p>
      <w:pPr>
        <w:pStyle w:val="Heading2"/>
        <w:spacing w:after="120" w:before="240"/>
      </w:pPr>
      <w:r>
        <w:t xml:space="preserve">4.2 Main exposure</w:t>
      </w:r>
    </w:p>
    <w:p>
      <w:pPr>
        <w:spacing w:after="120"/>
      </w:pPr>
      <w:r>
        <w:t xml:space="preserve">DM Treatment Arm (4-level categorical): Metformin (reference), Insulin, OtherDM, DietControlled. Assignment defined in Section 3.3. Availability: 100%.</w:t>
      </w:r>
    </w:p>
    <w:p>
      <w:pPr>
        <w:pStyle w:val="Heading2"/>
        <w:spacing w:after="120" w:before="240"/>
      </w:pPr>
      <w:r>
        <w:t xml:space="preserve">4.3 Covariates included in the adjusted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Variable</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Availability</w:t>
            </w:r>
          </w:p>
        </w:tc>
        <w:tc>
          <w:tcPr>
            <w:tcW w:type="dxa" w:w="4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Operational definition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Age at surgery</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Continuous (yrs)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Patient age on date of index procedure; included as a linear term.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BMI</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Continuous (kg/m²)</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54.5% (n=532)</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Most recent pre-surgery BMI from vital-sign records. Available-case analysis used.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HbA1c</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Continuous (%)</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46.9% (n=458)</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Most recent pre-surgery glycated haemoglobin. Available-case analysis used.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Diabetes duration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Continuous (yrs)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Time from earliest DM diagnosis code to surgery date; proxy for disease burden.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Surgery type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Binary (THA/TKA)</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Index procedure. TKA in 61–63% of each arm.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Hypertension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Binary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Any ICD code for hypertension in 365-day baseline.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Hyperlipidaemia</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Binary</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Any ICD code for hyperlipidaemia in 365-day baseline.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Binary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Coronary artery disease in baseline condition records.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Depression</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Binary</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Depression diagnosis in baseline; included as known correlate of healthcare utilisation.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Baseline inpatient visits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Continuous (count)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Inpatient encounters in 365-day baseline; proxy for overall comorbidity burden.</w:t>
            </w:r>
          </w:p>
        </w:tc>
      </w:tr>
    </w:tbl>
    <w:p>
      <w:pPr>
        <w:pStyle w:val="Heading2"/>
        <w:spacing w:after="120" w:before="240"/>
      </w:pPr>
      <w:r>
        <w:t xml:space="preserve">4.4 Descriptive variables (Table 1 only, not in model)</w:t>
      </w:r>
    </w:p>
    <w:p>
      <w:pPr>
        <w:pStyle w:val="ListParagraph"/>
        <w:numPr>
          <w:ilvl w:val="0"/>
          <w:numId w:val="2"/>
        </w:numPr>
        <w:spacing w:after="80"/>
      </w:pPr>
      <w:r>
        <w:t xml:space="preserve">Outpatient visits — count in baseline window.</w:t>
      </w:r>
    </w:p>
    <w:p>
      <w:pPr>
        <w:pStyle w:val="ListParagraph"/>
        <w:numPr>
          <w:ilvl w:val="0"/>
          <w:numId w:val="2"/>
        </w:numPr>
        <w:spacing w:after="80"/>
      </w:pPr>
      <w:r>
        <w:t xml:space="preserve">ED visits — count in baseline window.</w:t>
      </w:r>
    </w:p>
    <w:p>
      <w:pPr>
        <w:pStyle w:val="ListParagraph"/>
        <w:numPr>
          <w:ilvl w:val="0"/>
          <w:numId w:val="2"/>
        </w:numPr>
        <w:spacing w:after="80"/>
      </w:pPr>
      <w:r>
        <w:t xml:space="preserve">Sex — female / male.</w:t>
      </w:r>
    </w:p>
    <w:p>
      <w:pPr>
        <w:pStyle w:val="ListParagraph"/>
        <w:numPr>
          <w:ilvl w:val="0"/>
          <w:numId w:val="2"/>
        </w:numPr>
        <w:spacing w:after="80"/>
      </w:pPr>
      <w:r>
        <w:t xml:space="preserve">GLP-1 agonist use (n=218 total: 86 DietControlled, 82 Insulin, 38 Metformin, 12 OtherDM) — merged into OtherDM in v2.</w:t>
      </w:r>
    </w:p>
    <w:p>
      <w:pPr>
        <w:pStyle w:val="Heading2"/>
        <w:spacing w:after="120" w:before="240"/>
      </w:pPr>
      <w:r>
        <w:t xml:space="preserve">4.5 Missing data handling</w:t>
      </w:r>
    </w:p>
    <w:p>
      <w:pPr>
        <w:spacing w:after="120"/>
      </w:pPr>
      <w:r>
        <w:t xml:space="preserve">Available-case analysis was used for BMI (45.5% missing) and HbA1c (53.1% missing). Patients with missing values for these covariates are dropped from any model that includes them. No multiple imputation. Implications discussed in Section 8 and Section 7.</w:t>
      </w:r>
    </w:p>
    <w:p>
      <w:pPr>
        <w:pStyle w:val="Heading1"/>
        <w:spacing w:after="160" w:before="320"/>
      </w:pPr>
      <w:r>
        <w:t xml:space="preserve">5. Statistical analysis plan</w:t>
      </w:r>
    </w:p>
    <w:p>
      <w:pPr>
        <w:pStyle w:val="Heading2"/>
        <w:spacing w:after="120" w:before="240"/>
      </w:pPr>
      <w:r>
        <w:t xml:space="preserve">5.1 Descriptive statistics</w:t>
      </w:r>
    </w:p>
    <w:p>
      <w:pPr>
        <w:spacing w:after="120"/>
      </w:pPr>
      <w:r>
        <w:t xml:space="preserve">Continuous variables summarised as mean ± SD by arm; binary variables as count (percentage) by arm. Unadjusted outcome rates per arm are presented in the results table and Figure 4 (source PDF).</w:t>
      </w:r>
    </w:p>
    <w:p>
      <w:pPr>
        <w:pStyle w:val="Heading2"/>
        <w:spacing w:after="120" w:before="240"/>
      </w:pPr>
      <w:r>
        <w:t xml:space="preserve">5.2 Primary model — Firth penalised logistic regression</w:t>
      </w:r>
    </w:p>
    <w:p>
      <w:pPr>
        <w:spacing w:after="120"/>
      </w:pPr>
      <w:r>
        <w:t xml:space="preserve">Three primary/co-primary models were fit, one per outcome (90-day readmission; 30-day readmission; 90-day readmission OR ED). Each model used the four-level DM Treatment Arm as the main exposure (Metformin = reference) and the following covariates:</w:t>
      </w:r>
    </w:p>
    <w:p>
      <w:pPr>
        <w:pStyle w:val="ListParagraph"/>
        <w:numPr>
          <w:ilvl w:val="0"/>
          <w:numId w:val="2"/>
        </w:numPr>
        <w:spacing w:after="80"/>
      </w:pPr>
      <w:r>
        <w:t xml:space="preserve">Age, BMI, HbA1c, diabetes duration (continuous).</w:t>
      </w:r>
    </w:p>
    <w:p>
      <w:pPr>
        <w:pStyle w:val="ListParagraph"/>
        <w:numPr>
          <w:ilvl w:val="0"/>
          <w:numId w:val="2"/>
        </w:numPr>
        <w:spacing w:after="80"/>
      </w:pPr>
      <w:r>
        <w:t xml:space="preserve">Surgery type, hypertension, hyperlipidaemia, CAD, depression (binary).</w:t>
      </w:r>
    </w:p>
    <w:p>
      <w:pPr>
        <w:pStyle w:val="ListParagraph"/>
        <w:numPr>
          <w:ilvl w:val="0"/>
          <w:numId w:val="2"/>
        </w:numPr>
        <w:spacing w:after="80"/>
      </w:pPr>
      <w:r>
        <w:t xml:space="preserve">Baseline inpatient visit count (continuous).</w:t>
      </w:r>
    </w:p>
    <w:p>
      <w:pPr>
        <w:spacing w:after="120"/>
      </w:pPr>
      <w:r>
        <w:t xml:space="preserve">95% CIs were generated by non-parametric bootstrap with 1,000 iterations. Significance threshold: two-sided p &lt; 0.05.</w:t>
      </w:r>
    </w:p>
    <w:p>
      <w:pPr>
        <w:pStyle w:val="Heading2"/>
        <w:spacing w:after="120" w:before="240"/>
      </w:pPr>
      <w:r>
        <w:t xml:space="preserve">5.3 Cross-check model — GLM with HC3 robust SE</w:t>
      </w:r>
    </w:p>
    <w:p>
      <w:pPr>
        <w:spacing w:after="120"/>
      </w:pPr>
      <w:r>
        <w:t xml:space="preserve">Same model specifications re-fitted as binomial-family GLM (logit link) with HC3 heteroskedasticity-consistent robust SEs. Concordance with Firth in direction, magnitude, and significance was used as a robustness check. Disagreements are reported transparently.</w:t>
      </w:r>
    </w:p>
    <w:p>
      <w:pPr>
        <w:pStyle w:val="Heading2"/>
        <w:spacing w:after="120" w:before="240"/>
      </w:pPr>
      <w:r>
        <w:t xml:space="preserve">5.4 Sensitivity analyses (8A–8C)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Analysis</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Outcome / population</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Rationale</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8A</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90-day and 30-day readmission, 180-day exposure window</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Tests whether the 365-day arm assignment drives the findings. If estimates are stable, the window choice is not an artefact.</w:t>
            </w:r>
          </w:p>
        </w:tc>
      </w:tr>
      <w:tr>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sz w:val="20"/>
                <w:szCs w:val="20"/>
              </w:rPr>
              <w:t xml:space="preserve">8B (FLAG)</w:t>
            </w:r>
          </w:p>
        </w:tc>
        <w:tc>
          <w:tcPr>
            <w:tcW w:type="dxa" w:w="3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val="false"/>
                <w:bCs w:val="false"/>
                <w:sz w:val="20"/>
                <w:szCs w:val="20"/>
              </w:rPr>
              <w:t xml:space="preserve">90-day readmission, stratified by surgery type (THA / TKA)</w:t>
            </w:r>
          </w:p>
        </w:tc>
        <w:tc>
          <w:tcPr>
            <w:tcW w:type="dxa" w:w="51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val="false"/>
                <w:bCs w:val="false"/>
                <w:sz w:val="20"/>
                <w:szCs w:val="20"/>
              </w:rPr>
              <w:t xml:space="preserve">THA and TKA differ in complication profile and recovery arc. Stratification tests procedure-specific effects. The TKA subgroup contains the strongest signal in the study (OtherDM aOR 3.89, p=0.006).</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8C</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90-day and 30-day readmission, active pharmacotherapy only (excludes DietControlled)</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Removes the heterogeneous DietControlled group to isolate drug-class contrasts among patients on confirmed pharmacological treatment.</w:t>
            </w:r>
          </w:p>
        </w:tc>
      </w:tr>
    </w:tbl>
    <w:p>
      <w:pPr>
        <w:spacing w:after="120"/>
      </w:pPr>
      <w:r>
        <w:t xml:space="preserve">Sensitivity analysis 8B is flagged by the senior author as the most important. Within 8B, the TKA subgroup is where OtherDM shows its largest and most significant effect (aOR 3.89, 95% CI 1.52–15.72, p=0.006). The THA non-significance for OtherDM (aOR 2.40, p=0.210) is most likely a power issue (n=18 OtherDM in THA), not an absence of effect — this point should be made explicitly in both the Results and Discussion.</w:t>
      </w:r>
    </w:p>
    <w:p>
      <w:pPr>
        <w:pStyle w:val="Heading2"/>
        <w:spacing w:after="120" w:before="240"/>
      </w:pPr>
      <w:r>
        <w:t xml:space="preserve">5.5 Software</w:t>
      </w:r>
    </w:p>
    <w:p>
      <w:pPr>
        <w:spacing w:after="120"/>
      </w:pPr>
      <w:r>
        <w:t xml:space="preserve">All analyses performed within the controlled-access research workbench using a Firth-method routine for penalised logistic regression, non-parametric bootstrap (1,000 iter) for CIs, and binomial-family GLM with HC3 sandwich SE for the cross-check. The methods writer should state specific package versions if recoverable from session metadata; if not, list methods generically and flag this as a limitation of the post-hoc methods write-up.</w:t>
      </w:r>
    </w:p>
    <w:p>
      <w:pPr>
        <w:pStyle w:val="Heading1"/>
        <w:spacing w:after="160" w:before="320"/>
      </w:pPr>
      <w:r>
        <w:t xml:space="preserve">6. Results sequence to be written</w:t>
      </w:r>
    </w:p>
    <w:p>
      <w:pPr>
        <w:spacing w:after="120"/>
      </w:pPr>
      <w:r>
        <w:t xml:space="preserve">Write the Results in the order requested by the senior author.</w:t>
      </w:r>
    </w:p>
    <w:p>
      <w:pPr>
        <w:pStyle w:val="Heading2"/>
        <w:spacing w:after="120" w:before="240"/>
      </w:pPr>
      <w:r>
        <w:t xml:space="preserve">6.1 Cohort &amp; Baseline (Figures 1, 2, 3 + Table 1)</w:t>
      </w:r>
    </w:p>
    <w:p>
      <w:pPr>
        <w:spacing w:after="120"/>
      </w:pPr>
      <w:r>
        <w:t xml:space="preserve">Final cohort: 976 patients (1,953 → 49 T1DM excluded → 128 insufficient baseline excluded → 976). Arm distribution: Metformin 125, Insulin 197, OtherDM 47, DietControlled 607. Surgery balance ~60–63% TKA across arms. Sex balance ~58–72% female.</w:t>
      </w:r>
    </w:p>
    <w:p>
      <w:pPr>
        <w:spacing w:after="120"/>
      </w:pPr>
      <w:r>
        <w:t xml:space="preserve">Key baseline contrasts to highlight in the prose:</w:t>
      </w:r>
    </w:p>
    <w:p>
      <w:pPr>
        <w:pStyle w:val="ListParagraph"/>
        <w:numPr>
          <w:ilvl w:val="0"/>
          <w:numId w:val="2"/>
        </w:numPr>
        <w:spacing w:after="80"/>
      </w:pPr>
      <w:r>
        <w:t xml:space="preserve">OtherDM has the highest BMI (37.4 ± 7.7) and the greatest baseline inpatient visit burden (2.5 ± 5.4) — both relevant to the readmission outcome.</w:t>
      </w:r>
    </w:p>
    <w:p>
      <w:pPr>
        <w:pStyle w:val="ListParagraph"/>
        <w:numPr>
          <w:ilvl w:val="0"/>
          <w:numId w:val="2"/>
        </w:numPr>
        <w:spacing w:after="80"/>
      </w:pPr>
      <w:r>
        <w:t xml:space="preserve">Insulin has elevated inpatient visit burden (1.5 ± 4.7) compared to Metformin (0.6) and DietControlled (0.7).</w:t>
      </w:r>
    </w:p>
    <w:p>
      <w:pPr>
        <w:pStyle w:val="ListParagraph"/>
        <w:numPr>
          <w:ilvl w:val="0"/>
          <w:numId w:val="2"/>
        </w:numPr>
        <w:spacing w:after="80"/>
      </w:pPr>
      <w:r>
        <w:t xml:space="preserve">DietControlled has the shortest diabetes duration (0.8 yrs) and the lowest HbA1c (6.0%), consistent with a milder/earlier-stage disease phenotype.</w:t>
      </w:r>
    </w:p>
    <w:p>
      <w:pPr>
        <w:pStyle w:val="ListParagraph"/>
        <w:numPr>
          <w:ilvl w:val="0"/>
          <w:numId w:val="2"/>
        </w:numPr>
        <w:spacing w:after="80"/>
      </w:pPr>
      <w:r>
        <w:t xml:space="preserve">OtherDM patients are younger on average (58.5 ± 9.2 yrs) than the other arms (61–63 yrs).</w:t>
      </w:r>
    </w:p>
    <w:p>
      <w:pPr>
        <w:pStyle w:val="Heading3"/>
        <w:spacing w:after="80" w:before="180"/>
      </w:pPr>
      <w:r>
        <w:t xml:space="preserve">Table 1 — Baseline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Variable</w:t>
            </w:r>
          </w:p>
        </w:tc>
        <w:tc>
          <w:tcPr>
            <w:tcW w:type="dxa" w:w="179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Metformin (n=125)</w:t>
            </w:r>
          </w:p>
        </w:tc>
        <w:tc>
          <w:tcPr>
            <w:tcW w:type="dxa" w:w="179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Insulin (n=197)</w:t>
            </w:r>
          </w:p>
        </w:tc>
        <w:tc>
          <w:tcPr>
            <w:tcW w:type="dxa" w:w="179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OtherDM (n=47)</w:t>
            </w:r>
          </w:p>
        </w:tc>
        <w:tc>
          <w:tcPr>
            <w:tcW w:type="dxa" w:w="179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DietCtrl (n=607)</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Age (yrs)</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63.0 ± 8.0</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62.8 ± 7.9</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58.5 ± 9.2</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61.6 ± 9.5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BMI (kg/m²)</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35.3 ± 6.3</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34.8 ± 6.9</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37.4 ± 7.7</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33.7 ± 6.4</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HbA1c (%)</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6.6 ± 0.8</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6.9 ± 1.3</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6.7 ± 1.3</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6.0 ± 0.6</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DM duration (yrs)</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2.2 ± 3.6</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2.6 ± 4.1</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 ± 4.4</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0.8 ± 2.3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Outpatient visits</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32.1 ± 36.8</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40.7 ± 53.2</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47.3 ± 58.4</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25.8 ± 32.1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Inpatient visits</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0.6 ± 2.2</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 ± 4.7</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2.5 ± 5.4</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0.7 ± 2.5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ED visits</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0.6 ± 2.5</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0.8 ± 2.0</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0.2 ± 0.5</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0.5 ± 1.8</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Female</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77 (61.6%)</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115 (58.4%)</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34 (72.3%)</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375 (61.8%)</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TKA</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75 (60.0%)</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122 (61.9%)</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29 (61.7%)</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385 (63.4%)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Hypertension</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93 (74.4%)</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152 (77.2%)</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31 (66.0%)</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390 (64.3%)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Hyperlipidaemia</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67 (53.6%)</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112 (56.9%)</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20 (42.6%)</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282 (46.5%)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 OUTCOMES —</w:t>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c>
          <w:tcPr>
            <w:tcW w:type="dxa" w:w="17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w:r>
          </w:p>
        </w:tc>
      </w:tr>
      <w:tr>
        <w:tc>
          <w:tcPr>
            <w:tcW w:type="dxa" w:w="2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bCs/>
                <w:sz w:val="20"/>
                <w:szCs w:val="20"/>
              </w:rPr>
              <w:t xml:space="preserve">90-day readmission</w:t>
            </w:r>
          </w:p>
        </w:tc>
        <w:tc>
          <w:tcPr>
            <w:tcW w:type="dxa" w:w="179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17 (13.6%)</w:t>
            </w:r>
          </w:p>
        </w:tc>
        <w:tc>
          <w:tcPr>
            <w:tcW w:type="dxa" w:w="179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42 (21.3%)</w:t>
            </w:r>
          </w:p>
        </w:tc>
        <w:tc>
          <w:tcPr>
            <w:tcW w:type="dxa" w:w="179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19 (40.4%)</w:t>
            </w:r>
          </w:p>
        </w:tc>
        <w:tc>
          <w:tcPr>
            <w:tcW w:type="dxa" w:w="179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123 (20.3%)</w:t>
            </w:r>
          </w:p>
        </w:tc>
      </w:tr>
      <w:tr>
        <w:tc>
          <w:tcPr>
            <w:tcW w:type="dxa" w:w="2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bCs/>
                <w:sz w:val="20"/>
                <w:szCs w:val="20"/>
              </w:rPr>
              <w:t xml:space="preserve">30-day readmission</w:t>
            </w:r>
          </w:p>
        </w:tc>
        <w:tc>
          <w:tcPr>
            <w:tcW w:type="dxa" w:w="179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11 (8.8%)</w:t>
            </w:r>
          </w:p>
        </w:tc>
        <w:tc>
          <w:tcPr>
            <w:tcW w:type="dxa" w:w="179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28 (14.2%)</w:t>
            </w:r>
          </w:p>
        </w:tc>
        <w:tc>
          <w:tcPr>
            <w:tcW w:type="dxa" w:w="179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15 (31.9%)</w:t>
            </w:r>
          </w:p>
        </w:tc>
        <w:tc>
          <w:tcPr>
            <w:tcW w:type="dxa" w:w="179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95 (15.7%)</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90-day readmit + ED</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24 (19.2%)</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65 (33.0%)</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21 (44.7%)</w:t>
            </w:r>
          </w:p>
        </w:tc>
        <w:tc>
          <w:tcPr>
            <w:tcW w:type="dxa" w:w="179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172 (28.3%)</w:t>
            </w:r>
          </w:p>
        </w:tc>
      </w:tr>
    </w:tbl>
    <w:p>
      <w:pPr>
        <w:pStyle w:val="Heading2"/>
        <w:spacing w:after="120" w:before="240"/>
      </w:pPr>
      <w:r>
        <w:t xml:space="preserve">6.2 Unadjusted outcomes (Figure 4)</w:t>
      </w:r>
    </w:p>
    <w:p>
      <w:pPr>
        <w:spacing w:after="120"/>
      </w:pPr>
      <w:r>
        <w:t xml:space="preserve">OtherDM consistently shows the highest unadjusted rates across all three outcomes:</w:t>
      </w:r>
    </w:p>
    <w:p>
      <w:pPr>
        <w:pStyle w:val="ListParagraph"/>
        <w:numPr>
          <w:ilvl w:val="0"/>
          <w:numId w:val="2"/>
        </w:numPr>
        <w:spacing w:after="80"/>
      </w:pPr>
      <w:r>
        <w:t xml:space="preserve">90-day readmission: OtherDM 40.4% (19/47); Insulin 21.3% (42/197); DietControlled 20.3% (123/607); Metformin 13.6% (17/125).</w:t>
      </w:r>
    </w:p>
    <w:p>
      <w:pPr>
        <w:pStyle w:val="ListParagraph"/>
        <w:numPr>
          <w:ilvl w:val="0"/>
          <w:numId w:val="2"/>
        </w:numPr>
        <w:spacing w:after="80"/>
      </w:pPr>
      <w:r>
        <w:t xml:space="preserve">30-day readmission: OtherDM 31.9% (15/47); DietControlled 15.7% (95/607); Insulin 14.2% (28/197); Metformin 8.8% (11/125).</w:t>
      </w:r>
    </w:p>
    <w:p>
      <w:pPr>
        <w:pStyle w:val="ListParagraph"/>
        <w:numPr>
          <w:ilvl w:val="0"/>
          <w:numId w:val="2"/>
        </w:numPr>
        <w:spacing w:after="80"/>
      </w:pPr>
      <w:r>
        <w:t xml:space="preserve">90-day readmission or ED: OtherDM 44.7% (21/47); Insulin 33.0% (65/197); DietControlled 28.3% (172/607); Metformin 19.2% (24/125).</w:t>
      </w:r>
    </w:p>
    <w:p>
      <w:pPr>
        <w:pStyle w:val="Heading2"/>
        <w:spacing w:after="120" w:before="240"/>
      </w:pPr>
      <w:r>
        <w:t xml:space="preserve">6.3 Primary adjusted analysis (Figure 5 + source Section 7)</w:t>
      </w:r>
    </w:p>
    <w:p>
      <w:pPr>
        <w:spacing w:after="120"/>
      </w:pPr>
      <w:r>
        <w:t xml:space="preserve">Adjusted ORs from Firth (primary) and GLM HC3 (cross-check), reference = Metformin: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000"/>
        <w:gridCol w:w="900"/>
        <w:gridCol w:w="2000"/>
        <w:gridCol w:w="760"/>
        <w:gridCol w:w="50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Comparison</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Outcome</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Firth aOR [95% CI]</w:t>
            </w:r>
          </w:p>
        </w:tc>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 Firth</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GLM aOR [95% CI]</w:t>
            </w:r>
          </w:p>
        </w:tc>
        <w:tc>
          <w:tcPr>
            <w:tcW w:type="dxa" w:w="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 GLM</w:t>
            </w:r>
          </w:p>
        </w:tc>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Sig?</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Insulin vs MET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90d readmit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1.55 [0.85–3.20]</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0.160</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1.59 [0.83–3.04]</w:t>
            </w:r>
          </w:p>
        </w:tc>
        <w:tc>
          <w:tcPr>
            <w:tcW w:type="dxa" w:w="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0.163</w:t>
            </w:r>
          </w:p>
        </w:tc>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No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Insulin vs MET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30d readmit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1.43 [0.68–3.31]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0.308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1.46 [0.68–3.14]</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0.337</w:t>
            </w:r>
          </w:p>
        </w:tc>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w:t>
            </w:r>
          </w:p>
        </w:tc>
      </w:tr>
      <w:tr>
        <w:tc>
          <w:tcPr>
            <w:tcW w:type="dxa" w:w="17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sz w:val="20"/>
                <w:szCs w:val="20"/>
              </w:rPr>
              <w:t xml:space="preserve">Insulin vs MET</w:t>
            </w:r>
          </w:p>
        </w:tc>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val="false"/>
                <w:bCs w:val="false"/>
                <w:sz w:val="20"/>
                <w:szCs w:val="20"/>
              </w:rPr>
              <w:t xml:space="preserve">90d Rdmt+ED</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val="false"/>
                <w:bCs w:val="false"/>
                <w:sz w:val="20"/>
                <w:szCs w:val="20"/>
              </w:rPr>
              <w:t xml:space="preserve">1.91 [1.08–3.79]</w:t>
            </w:r>
          </w:p>
        </w:tc>
        <w:tc>
          <w:tcPr>
            <w:tcW w:type="dxa" w:w="9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val="false"/>
                <w:bCs w:val="false"/>
                <w:sz w:val="20"/>
                <w:szCs w:val="20"/>
              </w:rPr>
              <w:t xml:space="preserve">0.018</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val="false"/>
                <w:bCs w:val="false"/>
                <w:sz w:val="20"/>
                <w:szCs w:val="20"/>
              </w:rPr>
              <w:t xml:space="preserve">1.96 [1.09–3.50]</w:t>
            </w:r>
          </w:p>
        </w:tc>
        <w:tc>
          <w:tcPr>
            <w:tcW w:type="dxa" w:w="7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val="false"/>
                <w:bCs w:val="false"/>
                <w:sz w:val="20"/>
                <w:szCs w:val="20"/>
              </w:rPr>
              <w:t xml:space="preserve">0.024</w:t>
            </w:r>
          </w:p>
        </w:tc>
        <w:tc>
          <w:tcPr>
            <w:tcW w:type="dxa" w:w="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sz w:val="20"/>
                <w:szCs w:val="20"/>
              </w:rPr>
              <w:t xml:space="preserve">YES</w:t>
            </w:r>
          </w:p>
        </w:tc>
      </w:tr>
      <w:tr>
        <w:tc>
          <w:tcPr>
            <w:tcW w:type="dxa" w:w="17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bCs/>
                <w:sz w:val="20"/>
                <w:szCs w:val="20"/>
              </w:rPr>
              <w:t xml:space="preserve">OtherDM vs MET</w:t>
            </w:r>
          </w:p>
        </w:tc>
        <w:tc>
          <w:tcPr>
            <w:tcW w:type="dxa" w:w="15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90d readmit</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3.55 [1.63–9.20]</w:t>
            </w:r>
          </w:p>
        </w:tc>
        <w:tc>
          <w:tcPr>
            <w:tcW w:type="dxa" w:w="9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0.002</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3.88 [1.64–9.21]</w:t>
            </w:r>
          </w:p>
        </w:tc>
        <w:tc>
          <w:tcPr>
            <w:tcW w:type="dxa" w:w="7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0.002</w:t>
            </w:r>
          </w:p>
        </w:tc>
        <w:tc>
          <w:tcPr>
            <w:tcW w:type="dxa" w:w="5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bCs/>
                <w:sz w:val="20"/>
                <w:szCs w:val="20"/>
              </w:rPr>
              <w:t xml:space="preserve">YES</w:t>
            </w:r>
          </w:p>
        </w:tc>
      </w:tr>
      <w:tr>
        <w:tc>
          <w:tcPr>
            <w:tcW w:type="dxa" w:w="17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bCs/>
                <w:sz w:val="20"/>
                <w:szCs w:val="20"/>
              </w:rPr>
              <w:t xml:space="preserve">OtherDM vs MET</w:t>
            </w:r>
          </w:p>
        </w:tc>
        <w:tc>
          <w:tcPr>
            <w:tcW w:type="dxa" w:w="15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30d readmit</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3.83 [1.67–11.14]</w:t>
            </w:r>
          </w:p>
        </w:tc>
        <w:tc>
          <w:tcPr>
            <w:tcW w:type="dxa" w:w="9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0.002</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4.33 [1.65–11.38]</w:t>
            </w:r>
          </w:p>
        </w:tc>
        <w:tc>
          <w:tcPr>
            <w:tcW w:type="dxa" w:w="7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0.003</w:t>
            </w:r>
          </w:p>
        </w:tc>
        <w:tc>
          <w:tcPr>
            <w:tcW w:type="dxa" w:w="5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bCs/>
                <w:sz w:val="20"/>
                <w:szCs w:val="20"/>
              </w:rPr>
              <w:t xml:space="preserve">YES</w:t>
            </w:r>
          </w:p>
        </w:tc>
      </w:tr>
      <w:tr>
        <w:tc>
          <w:tcPr>
            <w:tcW w:type="dxa" w:w="17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bCs/>
                <w:sz w:val="20"/>
                <w:szCs w:val="20"/>
              </w:rPr>
              <w:t xml:space="preserve">OtherDM vs MET</w:t>
            </w:r>
          </w:p>
        </w:tc>
        <w:tc>
          <w:tcPr>
            <w:tcW w:type="dxa" w:w="15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90d Rdmt+ED</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3.21 [1.50–7.95]</w:t>
            </w:r>
          </w:p>
        </w:tc>
        <w:tc>
          <w:tcPr>
            <w:tcW w:type="dxa" w:w="9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0.004</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3.48 [1.49–8.13]</w:t>
            </w:r>
          </w:p>
        </w:tc>
        <w:tc>
          <w:tcPr>
            <w:tcW w:type="dxa" w:w="7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val="false"/>
                <w:bCs w:val="false"/>
                <w:sz w:val="20"/>
                <w:szCs w:val="20"/>
              </w:rPr>
              <w:t xml:space="preserve">0.004</w:t>
            </w:r>
          </w:p>
        </w:tc>
        <w:tc>
          <w:tcPr>
            <w:tcW w:type="dxa" w:w="5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left"/>
            </w:pPr>
            <w:r>
              <w:rPr>
                <w:b/>
                <w:bCs/>
                <w:sz w:val="20"/>
                <w:szCs w:val="20"/>
              </w:rPr>
              <w:t xml:space="preserve">YES</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DietCtrl vs MET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90d readmit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1.53 [0.92–3.09]</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0.094</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1.54 [0.89–2.70]</w:t>
            </w:r>
          </w:p>
        </w:tc>
        <w:tc>
          <w:tcPr>
            <w:tcW w:type="dxa" w:w="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0.126</w:t>
            </w:r>
          </w:p>
        </w:tc>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No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DietCtrl vs MET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30d readmit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1.76 [1.07–4.00]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0.030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1.78 [0.96–3.30]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0.066</w:t>
            </w:r>
          </w:p>
        </w:tc>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Firth only</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DietCtrl vs MET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90d Rdmt+ED</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1.44 [0.90–2.60]</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0.130</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1.44 [0.87–2.38]</w:t>
            </w:r>
          </w:p>
        </w:tc>
        <w:tc>
          <w:tcPr>
            <w:tcW w:type="dxa" w:w="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0.155</w:t>
            </w:r>
          </w:p>
        </w:tc>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No</w:t>
            </w:r>
          </w:p>
        </w:tc>
      </w:tr>
    </w:tbl>
    <w:p>
      <w:pPr>
        <w:spacing w:after="120"/>
      </w:pPr>
      <w:r>
        <w:t xml:space="preserve">Three findings to lead the primary results paragraph:</w:t>
      </w:r>
    </w:p>
    <w:p>
      <w:pPr>
        <w:pStyle w:val="ListParagraph"/>
        <w:numPr>
          <w:ilvl w:val="0"/>
          <w:numId w:val="2"/>
        </w:numPr>
        <w:spacing w:after="80"/>
      </w:pPr>
      <w:r>
        <w:rPr>
          <w:b/>
          <w:bCs/>
        </w:rPr>
        <w:t xml:space="preserve">OtherDM: </w:t>
      </w:r>
      <w:r>
        <w:t xml:space="preserve">the largest and most consistent associations across all three outcomes (aOR 3.21–3.83, p ≤ 0.004). Concordant between Firth and GLM. This is the headline finding of the study.</w:t>
      </w:r>
    </w:p>
    <w:p>
      <w:pPr>
        <w:pStyle w:val="ListParagraph"/>
        <w:numPr>
          <w:ilvl w:val="0"/>
          <w:numId w:val="2"/>
        </w:numPr>
        <w:spacing w:after="80"/>
      </w:pPr>
      <w:r>
        <w:rPr>
          <w:b/>
          <w:bCs/>
        </w:rPr>
        <w:t xml:space="preserve">Insulin: </w:t>
      </w:r>
      <w:r>
        <w:t xml:space="preserve">significant only for the secondary composite (aOR 1.91, p=0.018). The 30-day and 90-day readmission-only estimates are non-significant. This means the Insulin signal manifests primarily as ED utilisation (events not severe enough to require admission) rather than as inpatient readmission.</w:t>
      </w:r>
    </w:p>
    <w:p>
      <w:pPr>
        <w:pStyle w:val="ListParagraph"/>
        <w:numPr>
          <w:ilvl w:val="0"/>
          <w:numId w:val="2"/>
        </w:numPr>
        <w:spacing w:after="80"/>
      </w:pPr>
      <w:r>
        <w:rPr>
          <w:b/>
          <w:bCs/>
        </w:rPr>
        <w:t xml:space="preserve">DietControlled: </w:t>
      </w:r>
      <w:r>
        <w:t xml:space="preserve">borderline elevated for 30-day readmission by Firth (aOR 1.76, p=0.030) but not by GLM (p=0.066) — flag as 'Firth-only' significance. Non-significant for the 90-day endpoints.</w:t>
      </w:r>
    </w:p>
    <w:p>
      <w:pPr>
        <w:spacing w:after="120"/>
      </w:pPr>
      <w:r>
        <w:t xml:space="preserve">Firth and GLM estimates are concordant in direction and magnitude across all comparisons; the only Firth-vs-GLM divergence is the borderline DietControlled 30-day result, which the methods writer should report transparently rather than collapsing to a single estimate.</w:t>
      </w:r>
    </w:p>
    <w:p>
      <w:pPr>
        <w:pStyle w:val="Heading2"/>
        <w:spacing w:after="120" w:before="240"/>
      </w:pPr>
      <w:r>
        <w:t xml:space="preserve">6.4 Sensitivity analyses 8A–8C</w:t>
      </w:r>
    </w:p>
    <w:p>
      <w:pPr>
        <w:pStyle w:val="Heading3"/>
        <w:spacing w:after="80" w:before="180"/>
      </w:pPr>
      <w:r>
        <w:t xml:space="preserve">8A — 180-day exposure window</w:t>
      </w:r>
    </w:p>
    <w:p>
      <w:pPr>
        <w:spacing w:after="120"/>
      </w:pPr>
      <w:r>
        <w:t xml:space="preserve">All primary findings replicated under the narrower 180-day look-back. OtherDM remained significant for both co-primary outcomes (90-day aOR 3.41, 95% CI 1.62–9.49, p=0.004; 30-day aOR 3.50, 95% CI 1.43–11.29, p=0.016). Insulin and DietControlled remained non-significant. Conclusion: the arm signal is not an artefact of the 365-day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1280"/>
        <w:gridCol w:w="148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Comparison</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Outcome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aOR [95% CI]</w:t>
            </w:r>
          </w:p>
        </w:tc>
        <w:tc>
          <w:tcPr>
            <w:tcW w:type="dxa" w:w="12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w:t>
            </w:r>
          </w:p>
        </w:tc>
        <w:tc>
          <w:tcPr>
            <w:tcW w:type="dxa" w:w="1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Sig?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Insulin vs MET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90d readmit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1.60 [0.84–3.48]</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0.132</w:t>
            </w:r>
          </w:p>
        </w:tc>
        <w:tc>
          <w:tcPr>
            <w:tcW w:type="dxa" w:w="1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No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Insulin vs MET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30d readmit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1.44 [0.69–3.41]</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0.306</w:t>
            </w:r>
          </w:p>
        </w:tc>
        <w:tc>
          <w:tcPr>
            <w:tcW w:type="dxa" w:w="1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OtherDM vs MET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90d readmit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3.41 [1.62–9.49]</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0.004</w:t>
            </w:r>
          </w:p>
        </w:tc>
        <w:tc>
          <w:tcPr>
            <w:tcW w:type="dxa" w:w="1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YES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OtherDM vs MET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30d readmit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3.50 [1.43–11.29]</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0.016</w:t>
            </w:r>
          </w:p>
        </w:tc>
        <w:tc>
          <w:tcPr>
            <w:tcW w:type="dxa" w:w="1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YES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DietCtrl vs MET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90d readmit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1.49 [0.87–2.92]</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0.138</w:t>
            </w:r>
          </w:p>
        </w:tc>
        <w:tc>
          <w:tcPr>
            <w:tcW w:type="dxa" w:w="1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No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DietCtrl vs MET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30d readmit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1.57 [0.93–3.23]</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0.088</w:t>
            </w:r>
          </w:p>
        </w:tc>
        <w:tc>
          <w:tcPr>
            <w:tcW w:type="dxa" w:w="1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w:t>
            </w:r>
          </w:p>
        </w:tc>
      </w:tr>
    </w:tbl>
    <w:p>
      <w:pPr>
        <w:pStyle w:val="Heading3"/>
        <w:spacing w:after="80" w:before="180"/>
      </w:pPr>
      <w:r>
        <w:t xml:space="preserve">8B — Subgroup by surgery type (THA vs TKA) — FLAGGED AS MOST IMPORTANT</w:t>
      </w:r>
    </w:p>
    <w:p>
      <w:pPr>
        <w:spacing w:after="120"/>
      </w:pPr>
      <w:r>
        <w:t xml:space="preserve">The OtherDM signal concentrates in TKA (aOR 3.89, 95% CI 1.52–15.72, p=0.006). THA does not reach significance for OtherDM (aOR 2.40, 95% CI 0.64–10.53, p=0.210), which most likely reflects </w:t>
      </w:r>
      <w:r>
        <w:rPr>
          <w:b/>
          <w:bCs/>
        </w:rPr>
        <w:t xml:space="preserve">limited power (n=18 OtherDM in THA)</w:t>
      </w:r>
      <w:r>
        <w:t xml:space="preserve"> rather than absence of effect. The point estimate is in the same direction as TKA. No other subgroup comparisons reach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280"/>
        <w:gridCol w:w="248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Surgery</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Comparison</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aOR [95% CI]</w:t>
            </w:r>
          </w:p>
        </w:tc>
        <w:tc>
          <w:tcPr>
            <w:tcW w:type="dxa" w:w="12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w:t>
            </w:r>
          </w:p>
        </w:tc>
        <w:tc>
          <w:tcPr>
            <w:tcW w:type="dxa" w:w="2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Significant?</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THA</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Insulin vs MET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1.10 [0.39–2.92]</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0.866</w:t>
            </w:r>
          </w:p>
        </w:tc>
        <w:tc>
          <w:tcPr>
            <w:tcW w:type="dxa" w:w="2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No</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OtherDM vs MET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2.40 [0.64–10.53]</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0.210</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 (n=18 OtherDM in THA — power-limited)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THA</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DietCtrl vs MET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1.23 [0.60–3.46]</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0.536</w:t>
            </w:r>
          </w:p>
        </w:tc>
        <w:tc>
          <w:tcPr>
            <w:tcW w:type="dxa" w:w="2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No</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TKA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Insulin vs MET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1.79 [0.86–4.67]</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0.114</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w:t>
            </w:r>
          </w:p>
        </w:tc>
      </w:tr>
      <w:tr>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sz w:val="20"/>
                <w:szCs w:val="20"/>
              </w:rPr>
              <w:t xml:space="preserve">TKA</w:t>
            </w:r>
          </w:p>
        </w:tc>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sz w:val="20"/>
                <w:szCs w:val="20"/>
              </w:rPr>
              <w:t xml:space="preserve">OtherDM vs MET</w:t>
            </w:r>
          </w:p>
        </w:tc>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sz w:val="20"/>
                <w:szCs w:val="20"/>
              </w:rPr>
              <w:t xml:space="preserve">3.89 [1.52–15.72]</w:t>
            </w:r>
          </w:p>
        </w:tc>
        <w:tc>
          <w:tcPr>
            <w:tcW w:type="dxa" w:w="128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sz w:val="20"/>
                <w:szCs w:val="20"/>
              </w:rPr>
              <w:t xml:space="preserve">0.006</w:t>
            </w:r>
          </w:p>
        </w:tc>
        <w:tc>
          <w:tcPr>
            <w:tcW w:type="dxa" w:w="248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sz w:val="20"/>
                <w:szCs w:val="20"/>
              </w:rPr>
              <w:t xml:space="preserve">YES — strongest signal in study</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TKA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DietCtrl vs MET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1.84 [0.96–4.24]</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0.062</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 (borderline)</w:t>
            </w:r>
          </w:p>
        </w:tc>
      </w:tr>
    </w:tbl>
    <w:p>
      <w:pPr>
        <w:spacing w:after="120"/>
      </w:pPr>
      <w:r>
        <w:t xml:space="preserve">Implication for Discussion: the OtherDM signal is procedure-specific in its strongest form, concentrated in TKA. The THA point estimate (aOR 2.40) is consistent with the TKA estimate but the THA OtherDM stratum is too small (n=18) to reach significance. This should be framed as 'most likely a power issue, not absence of effect' as instructed by the senior author. A formal interaction test (analogous to 8G in the Opioid Project) was not run for the readmission analysis and is acknowledged as a limitation.</w:t>
      </w:r>
    </w:p>
    <w:p>
      <w:pPr>
        <w:pStyle w:val="Heading3"/>
        <w:spacing w:after="80" w:before="180"/>
      </w:pPr>
      <w:r>
        <w:t xml:space="preserve">8C — Active pharmacotherapy only (excludes DietControlled)</w:t>
      </w:r>
    </w:p>
    <w:p>
      <w:pPr>
        <w:spacing w:after="120"/>
      </w:pPr>
      <w:r>
        <w:t xml:space="preserve">Restricting to drug-treated patients only and comparing OtherDM and Insulin against Metformin replicates the primary conclusions: OtherDM remains significant for both co-primary outcomes (90-day aOR 3.55, p=0.002; 30-day aOR 3.83, p=0.002); Insulin remains non-significant (90-day p=0.160; 30-day p=0.308). This rules out the heterogeneous DietControlled group as a driver of the OtherDM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1280"/>
        <w:gridCol w:w="148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Comparison</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Outcome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aOR [95% CI]</w:t>
            </w:r>
          </w:p>
        </w:tc>
        <w:tc>
          <w:tcPr>
            <w:tcW w:type="dxa" w:w="12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w:t>
            </w:r>
          </w:p>
        </w:tc>
        <w:tc>
          <w:tcPr>
            <w:tcW w:type="dxa" w:w="1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Sig?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Insulin vs MET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90d readmit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1.55 [0.85–3.20]</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0.160</w:t>
            </w:r>
          </w:p>
        </w:tc>
        <w:tc>
          <w:tcPr>
            <w:tcW w:type="dxa" w:w="1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No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Insulin vs MET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30d readmit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1.43 [0.68–3.31]</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0.308</w:t>
            </w:r>
          </w:p>
        </w:tc>
        <w:tc>
          <w:tcPr>
            <w:tcW w:type="dxa" w:w="1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OtherDM vs MET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90d readmit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3.55 [1.63–9.20]</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0.002</w:t>
            </w:r>
          </w:p>
        </w:tc>
        <w:tc>
          <w:tcPr>
            <w:tcW w:type="dxa" w:w="1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YES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OtherDM vs MET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30d readmit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3.83 [1.67–11.14]</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0.002</w:t>
            </w:r>
          </w:p>
        </w:tc>
        <w:tc>
          <w:tcPr>
            <w:tcW w:type="dxa" w:w="1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YES</w:t>
            </w:r>
          </w:p>
        </w:tc>
      </w:tr>
    </w:tbl>
    <w:p>
      <w:pPr>
        <w:pStyle w:val="Heading3"/>
        <w:spacing w:after="80" w:before="180"/>
      </w:pPr>
      <w:r>
        <w:t xml:space="preserve">Sensitivity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Outcome (Primary)</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Insulin aOR (p)</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OtherDM aOR (p)</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DietControlled aOR (p)</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90-day readmit (co-primary)</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1.55 (p=0.160) ✗</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3.55 (p=0.002) ✓</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1.53 (p=0.094) ✗</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30-day readmit (co-primary)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1.43 (p=0.308) ✗</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3.83 (p=0.002) ✓</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1.76 (p=0.030) ~ Firth only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90-day readmit + ED (secondary)</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1.91 (p=0.018) ✓</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3.21 (p=0.004) ✓</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1.44 (p=0.130) ✗</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8A: 90-day, 180d window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1.60 (p=0.132) ✗</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3.41 (p=0.004) ✓</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1.49 (p=0.138) ✗</w:t>
            </w:r>
          </w:p>
        </w:tc>
      </w:tr>
      <w:tr>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sz w:val="20"/>
                <w:szCs w:val="20"/>
              </w:rPr>
              <w:t xml:space="preserve">8B: TKA 90-day</w:t>
            </w:r>
          </w:p>
        </w:tc>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val="false"/>
                <w:bCs w:val="false"/>
                <w:sz w:val="20"/>
                <w:szCs w:val="20"/>
              </w:rPr>
              <w:t xml:space="preserve">1.79 (p=0.114) ✗</w:t>
            </w:r>
          </w:p>
        </w:tc>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sz w:val="20"/>
                <w:szCs w:val="20"/>
              </w:rPr>
              <w:t xml:space="preserve">3.89 (p=0.006) ✓</w:t>
            </w:r>
          </w:p>
        </w:tc>
        <w:tc>
          <w:tcPr>
            <w:tcW w:type="dxa" w:w="23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val="false"/>
                <w:bCs w:val="false"/>
                <w:sz w:val="20"/>
                <w:szCs w:val="20"/>
              </w:rPr>
              <w:t xml:space="preserve">1.84 (p=0.062) ~</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8B: THA 90-day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1.10 (p=0.866) ✗</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2.40 (p=0.210) ✗ (power)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1.23 (p=0.536) ✗</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8C: Active pharma 90-day</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1.55 (p=0.160) ✗</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3.55 (p=0.002) ✓</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w:t>
            </w:r>
          </w:p>
        </w:tc>
      </w:tr>
    </w:tbl>
    <w:p>
      <w:pPr>
        <w:spacing w:after="120"/>
      </w:pPr>
      <w:r>
        <w:t xml:space="preserve">Legend: ✓ = significant in both methods; ~ = Firth significant, GLM borderline; ✗ = not significant.</w:t>
      </w:r>
    </w:p>
    <w:p>
      <w:pPr>
        <w:pStyle w:val="Heading1"/>
        <w:spacing w:after="160" w:before="320"/>
      </w:pPr>
      <w:r>
        <w:t xml:space="preserve">7. Anticipated reviewer questions and suggested responses</w:t>
      </w:r>
    </w:p>
    <w:p>
      <w:pPr>
        <w:spacing w:after="120"/>
      </w:pPr>
      <w:r>
        <w:t xml:space="preserve">Organised by section the question will most likely target. Suggested responses are grounded in the results and the limitations explicitly described in the source PDF. Do not add new analyses; if a reviewer requests one, acknowledge the value and explain that the workbench is no longer accessible for re-querying.</w:t>
      </w:r>
    </w:p>
    <w:p>
      <w:pPr>
        <w:pStyle w:val="Heading2"/>
        <w:spacing w:after="120" w:before="240"/>
      </w:pPr>
      <w:r>
        <w:t xml:space="preserve">7.1 Cohort and outcome definition</w:t>
      </w:r>
    </w:p>
    <w:p>
      <w:pPr>
        <w:pStyle w:val="Heading3"/>
        <w:spacing w:after="80" w:before="180"/>
      </w:pPr>
      <w:r>
        <w:t xml:space="preserve">Q1. Why a 365-day baseline window?</w:t>
      </w:r>
    </w:p>
    <w:p>
      <w:pPr>
        <w:spacing w:after="120"/>
      </w:pPr>
      <w:r>
        <w:t xml:space="preserve">365 days captures the predominant peri-operative pharmacotherapy strategy and is the standard look-back used in arthroplasty outcomes research. Robustness was confirmed in 8A using a 180-day window: the OtherDM effect replicated for both co-primary outcomes.</w:t>
      </w:r>
    </w:p>
    <w:p>
      <w:pPr>
        <w:pStyle w:val="Heading3"/>
        <w:spacing w:after="80" w:before="180"/>
      </w:pPr>
      <w:r>
        <w:t xml:space="preserve">Q2. How did you handle patients on multiple drug classes?</w:t>
      </w:r>
    </w:p>
    <w:p>
      <w:pPr>
        <w:spacing w:after="120"/>
      </w:pPr>
      <w:r>
        <w:t xml:space="preserve">Arm assignment used a strict hierarchy (Insulin &gt; OtherDM &gt; Metformin &gt; DietControlled). A patient with both metformin and insulin in baseline was assigned to Insulin. This reflects clinical severity ordering. Sensitivity analysis 8C (active pharmacotherapy only) tests whether removing DietControlled changes the conclusions; it does not.</w:t>
      </w:r>
    </w:p>
    <w:p>
      <w:pPr>
        <w:pStyle w:val="Heading3"/>
        <w:spacing w:after="80" w:before="180"/>
      </w:pPr>
      <w:r>
        <w:t xml:space="preserve">Q3. Why merge GLP-1 agonists into OtherDM rather than analyse separately?</w:t>
      </w:r>
    </w:p>
    <w:p>
      <w:pPr>
        <w:spacing w:after="120"/>
      </w:pPr>
      <w:r>
        <w:t xml:space="preserve">GLP-1 receptor agonists were distributed across all four arms (n=218 total: 86 DietControlled, 82 Insulin, 38 Metformin, 12 OtherDM), so a stand-alone GLP-1 arm would have severely depleted the other arms and produced unstable estimates. Merging into OtherDM preserved statistical power. This decision is acknowledged as a limitation: the OtherDM signal is a composite and may partly reflect GLP-1-specific effects (weight reduction, anti-inflammatory activity) that warrant separate investigation in larger cohorts.</w:t>
      </w:r>
    </w:p>
    <w:p>
      <w:pPr>
        <w:pStyle w:val="Heading3"/>
        <w:spacing w:after="80" w:before="180"/>
      </w:pPr>
      <w:r>
        <w:t xml:space="preserve">Q4. Why is the OtherDM arm so small (n=47)?</w:t>
      </w:r>
    </w:p>
    <w:p>
      <w:pPr>
        <w:spacing w:after="120"/>
      </w:pPr>
      <w:r>
        <w:t xml:space="preserve">OtherDM contains only patients on non-insulin, non-metformin agents (sulfonylureas, DPP-4 inhibitors, SGLT-2 inhibitors, plus the merged GLP-1 patients not already on insulin or metformin). In the source population this represents a relatively uncommon prescribing pattern. The small arm size is the reason Firth penalised regression with bootstrap CIs was selected as the primary model.</w:t>
      </w:r>
    </w:p>
    <w:p>
      <w:pPr>
        <w:pStyle w:val="Heading3"/>
        <w:spacing w:after="80" w:before="180"/>
      </w:pPr>
      <w:r>
        <w:t xml:space="preserve">Q5. Are these readmissions related to the surgery, or all-cause?</w:t>
      </w:r>
    </w:p>
    <w:p>
      <w:pPr>
        <w:spacing w:after="120"/>
      </w:pPr>
      <w:r>
        <w:t xml:space="preserve">All-cause. The 90-day readmission endpoint captures any inpatient hospital admission within 90 days of the index THA/TKA, whether directly related to the surgical procedure (wound infection, prosthetic dislocation, pulmonary embolism, fracture) or not (uncontrolled diabetes, cardiac event, urinary tract infection). Reliably attributing readmissions to a specific surgical cause requires manual chart adjudication or procedure-specific diagnosis-code validation that was not performed in this study; this is the standard approach in administrative/EHR-based arthroplasty outcomes research. The 30-day window enriches for surgery-related events but is still all-cause by definition. The 90-day readmission-or-ED secondary composite further widens the capture net to include ED visits not resulting in admission. This is acknowledged as a limitation (Section 8) and explicitly discussed in source PDF Section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Outcome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Scope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Severity tier</w:t>
            </w:r>
          </w:p>
        </w:tc>
        <w:tc>
          <w:tcPr>
            <w:tcW w:type="dxa" w:w="2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Surgery-attribution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90-day readmission (co-primary)</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Inpatient admissions ≤90d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High</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All-cause; not restricted to surgical causes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30-day readmission (co-primary)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Inpatient admissions ≤30d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High</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Narrower window enriches for surgery-related but still all-cause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90-day readmit + ED (secondary)</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Inpatient + ED visits ≤90d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Moderate to High</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Captures full unplanned acute-care burden</w:t>
            </w:r>
          </w:p>
        </w:tc>
      </w:tr>
    </w:tbl>
    <w:p>
      <w:pPr>
        <w:pStyle w:val="Heading2"/>
        <w:spacing w:after="120" w:before="240"/>
      </w:pPr>
      <w:r>
        <w:t xml:space="preserve">7.2 Statistical method</w:t>
      </w:r>
    </w:p>
    <w:p>
      <w:pPr>
        <w:pStyle w:val="Heading3"/>
        <w:spacing w:after="80" w:before="180"/>
      </w:pPr>
      <w:r>
        <w:t xml:space="preserve">Q6. Why Firth penalised logistic regression?</w:t>
      </w:r>
    </w:p>
    <w:p>
      <w:pPr>
        <w:spacing w:after="120"/>
      </w:pPr>
      <w:r>
        <w:t xml:space="preserve">Standard maximum-likelihood logistic regression is biased when the dataset exhibits separation or quasi-separation, expected with the small OtherDM arm (n=47) and binary outcomes. Firth's penalisation removes the first-order bias and produces finite, stable estimates even in the presence of separation. The GLM HC3 cross-check confirms the Firth estimates are not artefacts of the penalisation: directions and significance are concordant for the OtherDM finding across all three outcomes.</w:t>
      </w:r>
    </w:p>
    <w:p>
      <w:pPr>
        <w:pStyle w:val="Heading3"/>
        <w:spacing w:after="80" w:before="180"/>
      </w:pPr>
      <w:r>
        <w:t xml:space="preserve">Q7. Why bootstrap CIs rather than asymptotic Wald?</w:t>
      </w:r>
    </w:p>
    <w:p>
      <w:pPr>
        <w:spacing w:after="120"/>
      </w:pPr>
      <w:r>
        <w:t xml:space="preserve">With unequal arm sizes (range: 47 to 607) and binary outcomes with low event counts in the smallest arm, asymptotic Wald CIs are unreliable. Non-parametric bootstrap with 1,000 iterations provides empirically calibrated intervals.</w:t>
      </w:r>
    </w:p>
    <w:p>
      <w:pPr>
        <w:pStyle w:val="Heading3"/>
        <w:spacing w:after="80" w:before="180"/>
      </w:pPr>
      <w:r>
        <w:t xml:space="preserve">Q8. How was multiple testing addressed?</w:t>
      </w:r>
    </w:p>
    <w:p>
      <w:pPr>
        <w:spacing w:after="120"/>
      </w:pPr>
      <w:r>
        <w:t xml:space="preserve">Three pre-specified outcomes (90-day readmission, 30-day readmission, 90-day readmission-or-ED) and three pre-specified sensitivity analyses (8A, 8B, 8C) were planned. They are confirmatory rather than discovery analyses and address distinct analytic concerns (window length, procedure subgroup, drug-treated subset). The internal consistency of the OtherDM signal across all three outcomes and across 8A, 8B-TKA, and 8C is presented as the main robustness argument; this rationale should be stated in the methods.</w:t>
      </w:r>
    </w:p>
    <w:p>
      <w:pPr>
        <w:pStyle w:val="Heading3"/>
        <w:spacing w:after="80" w:before="180"/>
      </w:pPr>
      <w:r>
        <w:t xml:space="preserve">Q9. Why not multiple imputation for BMI and HbA1c?</w:t>
      </w:r>
    </w:p>
    <w:p>
      <w:pPr>
        <w:spacing w:after="120"/>
      </w:pPr>
      <w:r>
        <w:t xml:space="preserve">Available-case analysis preserves directly observed values and avoids imputation-model misspecification under MNAR (missing-not-at-random) mechanisms, which is plausible here (sicker patients may have more measurements). The trade-off is reduced effective sample size and potential bias if missingness is related to arm assignment. Acknowledged as a limitation.</w:t>
      </w:r>
    </w:p>
    <w:p>
      <w:pPr>
        <w:pStyle w:val="Heading3"/>
        <w:spacing w:after="80" w:before="180"/>
      </w:pPr>
      <w:r>
        <w:t xml:space="preserve">Q10. Did you test a formal surgery × arm interaction (analogous to the opioid study)?</w:t>
      </w:r>
    </w:p>
    <w:p>
      <w:pPr>
        <w:spacing w:after="120"/>
      </w:pPr>
      <w:r>
        <w:t xml:space="preserve">No. The readmission analysis stratified by surgery type (8B) but did not run a formal surgery × arm interaction term. The strong OtherDM signal in TKA (aOR 3.89, p=0.006) versus the non-significant THA point estimate (aOR 2.40, p=0.210, n=18) is consistent with either (a) a true procedure-specific effect or (b) reduced power in the small THA OtherDM stratum. The senior author's stated interpretation is (b): THA non-significance is most likely a power issue, not an absence of effect. A formal interaction test would strengthen this; it is acknowledged as a limitation since the workbench is no longer accessible.</w:t>
      </w:r>
    </w:p>
    <w:p>
      <w:pPr>
        <w:pStyle w:val="Heading2"/>
        <w:spacing w:after="120" w:before="240"/>
      </w:pPr>
      <w:r>
        <w:t xml:space="preserve">7.3 Confounding and causal inference</w:t>
      </w:r>
    </w:p>
    <w:p>
      <w:pPr>
        <w:pStyle w:val="Heading3"/>
        <w:spacing w:after="80" w:before="180"/>
      </w:pPr>
      <w:r>
        <w:t xml:space="preserve">Q11. Could residual confounding by glycaemic control explain the OtherDM signal?</w:t>
      </w:r>
    </w:p>
    <w:p>
      <w:pPr>
        <w:spacing w:after="120"/>
      </w:pPr>
      <w:r>
        <w:t xml:space="preserve">Possibly. HbA1c was available for only 458/976 patients (46.9%). The OtherDM mean HbA1c (6.7%) is similar to Metformin (6.6%) and Insulin (6.9%), so glycaemic control is not an obvious confounder. The OtherDM arm does have a higher BMI (37.4) and the highest baseline inpatient visit burden (2.5), both of which are adjusted for in the model. Residual confounding cannot be excluded and is listed in Section 8.</w:t>
      </w:r>
    </w:p>
    <w:p>
      <w:pPr>
        <w:pStyle w:val="Heading3"/>
        <w:spacing w:after="80" w:before="180"/>
      </w:pPr>
      <w:r>
        <w:t xml:space="preserve">Q12. Could surgeon volume, implant type, anaesthesia, or pre-operative physical therapy confound the arm effect?</w:t>
      </w:r>
    </w:p>
    <w:p>
      <w:pPr>
        <w:spacing w:after="120"/>
      </w:pPr>
      <w:r>
        <w:t xml:space="preserve">These variables were not available in the workbench dataset. They are unmeasured confounders, explicitly listed in the limitations. The replication of the OtherDM signal across both co-primary outcomes, the secondary composite, and three sensitivity analyses argues against a single dominant unmeasured confounder explaining all the findings.</w:t>
      </w:r>
    </w:p>
    <w:p>
      <w:pPr>
        <w:pStyle w:val="Heading3"/>
        <w:spacing w:after="80" w:before="180"/>
      </w:pPr>
      <w:r>
        <w:t xml:space="preserve">Q13. The OtherDM signal is striking — could it be driven by a small number of outlier events?</w:t>
      </w:r>
    </w:p>
    <w:p>
      <w:pPr>
        <w:spacing w:after="120"/>
      </w:pPr>
      <w:r>
        <w:t xml:space="preserve">The OtherDM arm has 19 readmission events out of 47 patients at 90 days (40.4%) and 15 events at 30 days (31.9%). These are substantial event counts within the arm. The bootstrap CIs (1,000 iterations) reflect the resampling uncertainty: lower bounds are well above 1.0 (1.63 for 90-day; 1.67 for 30-day). The signal is not driven by one or two extreme events.</w:t>
      </w:r>
    </w:p>
    <w:p>
      <w:pPr>
        <w:pStyle w:val="Heading2"/>
        <w:spacing w:after="120" w:before="240"/>
      </w:pPr>
      <w:r>
        <w:t xml:space="preserve">7.4 Insulin and DietControlled findings</w:t>
      </w:r>
    </w:p>
    <w:p>
      <w:pPr>
        <w:pStyle w:val="Heading3"/>
        <w:spacing w:after="80" w:before="180"/>
      </w:pPr>
      <w:r>
        <w:t xml:space="preserve">Q14. Why is Insulin significant only for the secondary composite, not for inpatient readmission?</w:t>
      </w:r>
    </w:p>
    <w:p>
      <w:pPr>
        <w:spacing w:after="120"/>
      </w:pPr>
      <w:r>
        <w:t xml:space="preserve">The Insulin signal manifests primarily as ED utilisation rather than as inpatient admission. The composite endpoint (readmit + ED) captures events severe enough to bring the patient to acute care but not severe enough to require admission. This is a clinically interpretable pattern: insulin-treated T2DM patients have well-known higher rates of post-operative complications (hypoglycaemia, infection, fluid balance) that may present to the ED and be managed without admission. The 30-day and 90-day readmission-only estimates are non-significant.</w:t>
      </w:r>
    </w:p>
    <w:p>
      <w:pPr>
        <w:pStyle w:val="Heading3"/>
        <w:spacing w:after="80" w:before="180"/>
      </w:pPr>
      <w:r>
        <w:t xml:space="preserve">Q15. The DietControlled 30-day result is significant by Firth but not by GLM — how should we interpret this?</w:t>
      </w:r>
    </w:p>
    <w:p>
      <w:pPr>
        <w:spacing w:after="120"/>
      </w:pPr>
      <w:r>
        <w:t xml:space="preserve">This is a borderline result (Firth p=0.030, GLM p=0.066) and the methods writer should report it transparently as 'Firth significant, GLM borderline' rather than collapsing to a single estimate. The Firth–GLM divergence reflects the differing handling of small-event-count regimes and is exactly why we pre-specified both methods. It is not a primary positive finding for DietControlled.</w:t>
      </w:r>
    </w:p>
    <w:p>
      <w:pPr>
        <w:pStyle w:val="Heading2"/>
        <w:spacing w:after="120" w:before="240"/>
      </w:pPr>
      <w:r>
        <w:t xml:space="preserve">7.5 Clinical translation</w:t>
      </w:r>
    </w:p>
    <w:p>
      <w:pPr>
        <w:pStyle w:val="Heading3"/>
        <w:spacing w:after="80" w:before="180"/>
      </w:pPr>
      <w:r>
        <w:t xml:space="preserve">Q16. What is the clinical action implied by the OtherDM finding?</w:t>
      </w:r>
    </w:p>
    <w:p>
      <w:pPr>
        <w:spacing w:after="120"/>
      </w:pPr>
      <w:r>
        <w:t xml:space="preserve">The OtherDM finding identifies a subgroup at substantially elevated post-operative readmission risk (3.5–3.8× adjusted, strongest in TKA at 3.89×). It does not establish that switching DM therapy reduces readmission (this is an observational study). The clinically actionable implication is risk stratification: patients on non-insulin, non-metformin DM agents undergoing THA/TKA — particularly TKA — may benefit from intensified peri-operative medical optimisation, closer post-discharge follow-up, and earlier escalation pathways.</w:t>
      </w:r>
    </w:p>
    <w:p>
      <w:pPr>
        <w:pStyle w:val="Heading3"/>
        <w:spacing w:after="80" w:before="180"/>
      </w:pPr>
      <w:r>
        <w:t xml:space="preserve">Q17. How generalisable are these findings?</w:t>
      </w:r>
    </w:p>
    <w:p>
      <w:pPr>
        <w:spacing w:after="120"/>
      </w:pPr>
      <w:r>
        <w:t xml:space="preserve">The cohort is drawn from a single EHR/claims database. External validity to other healthcare systems and geographic regions has not been tested. Replication in independent cohorts is the highest-priority next step.</w:t>
      </w:r>
    </w:p>
    <w:p>
      <w:pPr>
        <w:pStyle w:val="Heading1"/>
        <w:spacing w:after="160" w:before="320"/>
      </w:pPr>
      <w:r>
        <w:t xml:space="preserve">8.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Limitation</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Impact on interpretation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Retrospective observational design</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Arm assignment is based on pre-existing dispensation, not randomisation. Unmeasured confounders (surgeon volume, implant type, anaesthesia, pre-operative physical therapy) cannot be excluded. Findings are hypothesis-generating; randomised or propensity-matched designs are required to confirm causality.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Small OtherDM arm (n=47)</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Limited power, particularly in subgroup analyses (n=18 OtherDM in THA). Wide CIs. THA non-significance for OtherDM (8B) most likely reflects power, not absence of effect, as flagged by the senior author.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Incomplete HbA1c availability (47%)</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Limits the ability to fully adjust for glycaemic control at the time of surgery. Available-case analysis used. Residual confounding possible, particularly for the OtherDM and Insulin arms.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Incomplete BMI availability (55%)</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Available-case analysis. Potential bias if missingness is related to arm assignment or outcomes.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All-cause readmission endpoint</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Outcome captures any hospital admission within the window, not just surgery-related admissions. May dilute the true surgical complication signal. See Section 7.1, Q5.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GLP-1 agonists merged into OtherDM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GLP-1 agents (n=218) were not isolated. The OtherDM effect estimate is a composite of multiple drug classes with potentially different mechanisms.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Single-database study</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Results derived from one EHR system may not generalise to other healthcare systems, payers, or geographic regions. External validity should be tested.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 surgical complication granularity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Cannot distinguish readmissions for prosthetic complications (dislocation, infection, fracture) from medical causes (DM decompensation, cardiac events). Future studies should use procedure-specific readmission codes to isolate the surgical pathway.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No formal surgery × arm interaction test</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Subgroup stratification (8B) was performed but a formal interaction test was not (in contrast to the companion Opioid Project's 8G). The TKA-vs-THA contrast for OtherDM is therefore descriptive rather than statistically formalised.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Workbench no longer accessible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Methods writing and any reviewer-requested re-analysis are constrained to the variables and outputs already produced. New analyses (additional comorbidities, propensity scores, surgery-specific complication codes, formal interaction tests) cannot be added. This should be noted in the response-to-reviewers as appropriate.</w:t>
            </w:r>
          </w:p>
        </w:tc>
      </w:tr>
    </w:tbl>
    <w:p>
      <w:pPr>
        <w:pStyle w:val="Heading1"/>
        <w:spacing w:after="160" w:before="320"/>
      </w:pPr>
      <w:r>
        <w:t xml:space="preserve">9. Strengths</w:t>
      </w:r>
    </w:p>
    <w:p>
      <w:pPr>
        <w:pStyle w:val="ListParagraph"/>
        <w:numPr>
          <w:ilvl w:val="0"/>
          <w:numId w:val="2"/>
        </w:numPr>
        <w:spacing w:after="80"/>
      </w:pPr>
      <w:r>
        <w:t xml:space="preserve">Pre-specified, internally consistent analysis program with three outcomes and three sensitivity analyses, providing strong robustness evidence for the OtherDM finding.</w:t>
      </w:r>
    </w:p>
    <w:p>
      <w:pPr>
        <w:pStyle w:val="ListParagraph"/>
        <w:numPr>
          <w:ilvl w:val="0"/>
          <w:numId w:val="2"/>
        </w:numPr>
        <w:spacing w:after="80"/>
      </w:pPr>
      <w:r>
        <w:t xml:space="preserve">Two independent statistical methods (Firth penalised + GLM HC3) used for cross-validation; estimates concordant in direction, magnitude, and significance for the OtherDM finding across all three outcomes.</w:t>
      </w:r>
    </w:p>
    <w:p>
      <w:pPr>
        <w:pStyle w:val="ListParagraph"/>
        <w:numPr>
          <w:ilvl w:val="0"/>
          <w:numId w:val="2"/>
        </w:numPr>
        <w:spacing w:after="80"/>
      </w:pPr>
      <w:r>
        <w:t xml:space="preserve">OtherDM signal is the largest and most consistent in the study and replicates across all three outcomes, the 180-day window (8A), the TKA subgroup (8B), and the active-pharmacotherapy-only analysis (8C).</w:t>
      </w:r>
    </w:p>
    <w:p>
      <w:pPr>
        <w:pStyle w:val="ListParagraph"/>
        <w:numPr>
          <w:ilvl w:val="0"/>
          <w:numId w:val="2"/>
        </w:numPr>
        <w:spacing w:after="80"/>
      </w:pPr>
      <w:r>
        <w:t xml:space="preserve">Co-primary 30-day and 90-day windows match the standard arthroplasty outcomes literature, allowing direct benchmarking. The secondary 90-day readmit-or-ED composite captures the full acute-care utilisation burden.</w:t>
      </w:r>
    </w:p>
    <w:p>
      <w:pPr>
        <w:pStyle w:val="ListParagraph"/>
        <w:numPr>
          <w:ilvl w:val="0"/>
          <w:numId w:val="2"/>
        </w:numPr>
        <w:spacing w:after="80"/>
      </w:pPr>
      <w:r>
        <w:t xml:space="preserve">Companion design with the opioid study (Study 2) using the identical cohort allows direct cross-study comparison of two clinically distinct outcomes (readmission vs opioid use) under matched exposure definitions.</w:t>
      </w:r>
    </w:p>
    <w:p>
      <w:pPr>
        <w:pStyle w:val="ListParagraph"/>
        <w:numPr>
          <w:ilvl w:val="0"/>
          <w:numId w:val="2"/>
        </w:numPr>
        <w:spacing w:after="80"/>
      </w:pPr>
      <w:r>
        <w:t xml:space="preserve">Bootstrap (1,000 iter) CIs handle unequal arm sizes and low event counts more reliably than asymptotic Wald CIs.</w:t>
      </w:r>
    </w:p>
    <w:p>
      <w:pPr>
        <w:pStyle w:val="Heading1"/>
        <w:spacing w:after="160" w:before="320"/>
      </w:pPr>
      <w:r>
        <w:t xml:space="preserve">10. STROBE reporting checklist crosswalk</w:t>
      </w:r>
    </w:p>
    <w:p>
      <w:pPr>
        <w:spacing w:after="120"/>
      </w:pPr>
      <w:r>
        <w:t xml:space="preserve">STROBE is required for observational research and is a submission requirement for the Journal of Arthroplasty. Crosswalk indicating where each item is addressed in this methods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Item</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STROBE element</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Where addressed in this document</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Title / abstract — design declaration</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1.1 (retrospective observational cohort).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Background / rationale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1.2.</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3</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Objectives / hypothesis</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1.3.</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Study design</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1.1.</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5</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Setting (location, period, follow-up)</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2 (controlled-access workbench, EHR/claims dataset; 365-day baseline + 90-day follow-up).</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Participants — eligibility, sources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3.</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7</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Variables — outcomes, exposure, covariates</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4.</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sources / measurement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2 + Section 4 (per-variable definitions).</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9</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Bias</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8 (limitations) + Section 7 (reviewer Q&amp;A).</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Study size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3 (n=976; arm sizes).</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11</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Quantitative variables — handling</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4 + Section 5 (continuous/binary handling, missing-data approach).</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Statistical methods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5.</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13</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Participants — flow diagram</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3.4 + Figure 1 of source PDF.</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Descriptive data — Table 1</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6.1 + Table 1.</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15</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Outcome data — unadjusted</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6.2 + Figure 4.</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Main results — adjusted estimates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6.3 + Figure 5.</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17</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Other analyses — sensitivity</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6.4 (8A–8C).</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Key results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6.3 + Section 6.4 (8B-TKA flagged).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19</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Limitations</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8.</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Interpretation</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Section 6.3 + Section 7 (reviewer-question framing).</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21</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Generalisability</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val="false"/>
                <w:bCs w:val="false"/>
                <w:sz w:val="20"/>
                <w:szCs w:val="20"/>
              </w:rPr>
              <w:t xml:space="preserve">Section 7.5 (Q17) + Section 8 (single-database).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Funding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To be added by manuscript author.</w:t>
            </w:r>
          </w:p>
        </w:tc>
      </w:tr>
    </w:tbl>
    <w:p>
      <w:pPr>
        <w:pStyle w:val="Heading1"/>
        <w:spacing w:after="160" w:before="320"/>
      </w:pPr>
      <w:r>
        <w:t xml:space="preserve">Appendix A — Quick reference for Discussion writing</w:t>
      </w:r>
    </w:p>
    <w:p>
      <w:pPr>
        <w:spacing w:after="120"/>
      </w:pPr>
      <w:r>
        <w:t xml:space="preserve">Discussion will be written in this exact sequence (per the senior author):</w:t>
      </w:r>
    </w:p>
    <w:p>
      <w:pPr>
        <w:pStyle w:val="ListParagraph"/>
        <w:numPr>
          <w:ilvl w:val="0"/>
          <w:numId w:val="2"/>
        </w:numPr>
        <w:spacing w:after="80"/>
      </w:pPr>
      <w:r>
        <w:t xml:space="preserve">(1) Cohort &amp; Baseline → (2) Unadjusted outcomes → (3) Primary adjusted analysis → (4) Sensitivity analyses 8A–8C, with 8B (TKA subgroup) flagged.</w:t>
      </w:r>
    </w:p>
    <w:p>
      <w:pPr>
        <w:spacing w:after="120"/>
      </w:pPr>
      <w:r>
        <w:t xml:space="preserve">Key narrative anchors:</w:t>
      </w:r>
    </w:p>
    <w:p>
      <w:pPr>
        <w:pStyle w:val="ListParagraph"/>
        <w:numPr>
          <w:ilvl w:val="0"/>
          <w:numId w:val="2"/>
        </w:numPr>
        <w:spacing w:after="80"/>
      </w:pPr>
      <w:r>
        <w:t xml:space="preserve">OtherDM is the headline finding: significant across all three outcomes (aOR 3.21–3.83), in the 180-day window (8A), in the TKA subgroup (8B), and in the active-pharmacotherapy-only analysis (8C).</w:t>
      </w:r>
    </w:p>
    <w:p>
      <w:pPr>
        <w:pStyle w:val="ListParagraph"/>
        <w:numPr>
          <w:ilvl w:val="0"/>
          <w:numId w:val="2"/>
        </w:numPr>
        <w:spacing w:after="80"/>
      </w:pPr>
      <w:r>
        <w:rPr>
          <w:b/>
          <w:bCs/>
        </w:rPr>
        <w:t xml:space="preserve">8B-TKA OtherDM aOR 3.89 (p=0.006) is the strongest and most clinically actionable subgroup signal.</w:t>
      </w:r>
      <w:r>
        <w:t xml:space="preserve"> The THA estimate (aOR 2.40, p=0.210, n=18 OtherDM) is in the same direction; the THA non-significance is most likely a power issue, not absence of effect — frame this explicitly in the Discussion.</w:t>
      </w:r>
    </w:p>
    <w:p>
      <w:pPr>
        <w:pStyle w:val="ListParagraph"/>
        <w:numPr>
          <w:ilvl w:val="0"/>
          <w:numId w:val="2"/>
        </w:numPr>
        <w:spacing w:after="80"/>
      </w:pPr>
      <w:r>
        <w:t xml:space="preserve">Insulin signal is in the secondary composite only (aOR 1.91, p=0.018) — interpret as ED-level acute care rather than admission-level severity.</w:t>
      </w:r>
    </w:p>
    <w:p>
      <w:pPr>
        <w:pStyle w:val="ListParagraph"/>
        <w:numPr>
          <w:ilvl w:val="0"/>
          <w:numId w:val="2"/>
        </w:numPr>
        <w:spacing w:after="80"/>
      </w:pPr>
      <w:r>
        <w:t xml:space="preserve">DietControlled 30-day Firth-only borderline (aOR 1.76, p=0.030; GLM p=0.066) — report transparently as borderline, not as a positive finding.</w:t>
      </w:r>
    </w:p>
    <w:p>
      <w:pPr>
        <w:pStyle w:val="ListParagraph"/>
        <w:numPr>
          <w:ilvl w:val="0"/>
          <w:numId w:val="2"/>
        </w:numPr>
        <w:spacing w:after="80"/>
      </w:pPr>
      <w:r>
        <w:t xml:space="preserve">Cross-study comparison with the opioid project (Study 2) is informative: DietControlled has lower opioid use but elevated readmission tendency — the two outcomes index distinct clinical pathways (pain management vs complication burden).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Readmission Project — Methods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2026-05-12T04:40:58.031Z</dcterms:created>
  <dcterms:modified xsi:type="dcterms:W3CDTF">2026-05-12T04:40:58.031Z</dcterms:modified>
</cp:coreProperties>
</file>

<file path=docProps/custom.xml><?xml version="1.0" encoding="utf-8"?>
<Properties xmlns="http://schemas.openxmlformats.org/officeDocument/2006/custom-properties" xmlns:vt="http://schemas.openxmlformats.org/officeDocument/2006/docPropsVTypes"/>
</file>