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E5090"/>
          <w:sz w:val="48"/>
          <w:szCs w:val="48"/>
        </w:rPr>
        <w:t xml:space="preserve">Project 6: DM2 — Atherosclerosis Risk Factors</w:t>
      </w:r>
    </w:p>
    <w:p>
      <w:pPr>
        <w:spacing w:after="200"/>
        <w:jc w:val="center"/>
      </w:pPr>
      <w:r>
        <w:rPr>
          <w:rFonts w:ascii="Arial" w:cs="Arial" w:eastAsia="Arial" w:hAnsi="Arial"/>
          <w:color w:val="555555"/>
          <w:sz w:val="26"/>
          <w:szCs w:val="26"/>
        </w:rPr>
        <w:t xml:space="preserve">GLP-1 Receptor Agonist Use in Type 2 Diabetes &amp; Spine Fracture/Degeneration Risk</w:t>
      </w:r>
    </w:p>
    <w:p>
      <w:pPr>
        <w:spacing w:after="200"/>
        <w:jc w:val="center"/>
      </w:pPr>
      <w:r>
        <w:rPr>
          <w:rFonts w:ascii="Arial" w:cs="Arial" w:eastAsia="Arial" w:hAnsi="Arial"/>
          <w:color w:val="555555"/>
          <w:sz w:val="24"/>
          <w:szCs w:val="24"/>
        </w:rPr>
        <w:t xml:space="preserve">NIH All of Us Research Program</w:t>
      </w:r>
    </w:p>
    <w:p>
      <w:pPr>
        <w:spacing w:after="200"/>
        <w:jc w:val="center"/>
      </w:pPr>
      <w:r>
        <w:rPr>
          <w:rFonts w:ascii="Arial" w:cs="Arial" w:eastAsia="Arial" w:hAnsi="Arial"/>
          <w:color w:val="888888"/>
          <w:sz w:val="20"/>
          <w:szCs w:val="20"/>
        </w:rPr>
        <w:t xml:space="preserve">Dataset: fc-aou-cdr-prod.R2024Q3R8</w:t>
      </w:r>
    </w:p>
    <w:p>
      <w:pPr>
        <w:spacing w:after="80"/>
      </w:pPr>
    </w:p>
    <w:p>
      <w:pPr>
        <w:jc w:val="center"/>
      </w:pPr>
      <w:r>
        <w:rPr>
          <w:rFonts w:ascii="Arial" w:cs="Arial" w:eastAsia="Arial" w:hAnsi="Arial"/>
          <w:sz w:val="22"/>
          <w:szCs w:val="22"/>
        </w:rPr>
        <w:t xml:space="preserve">Statistical Analysis Output — Full Pipeline Results</w:t>
      </w:r>
    </w:p>
    <w:p>
      <w:r>
        <w:br w:type="page"/>
      </w:r>
    </w:p>
    <w:p>
      <w:pPr>
        <w:pStyle w:val="Heading1"/>
      </w:pPr>
      <w:r>
        <w:rPr>
          <w:rFonts w:ascii="Arial" w:cs="Arial" w:eastAsia="Arial" w:hAnsi="Arial"/>
        </w:rPr>
        <w:t xml:space="preserve">Cohort Flow</w:t>
      </w:r>
    </w:p>
    <w:p>
      <w:pPr>
        <w:spacing w:after="120"/>
      </w:pPr>
      <w:r>
        <w:rPr>
          <w:rFonts w:ascii="Arial" w:cs="Arial" w:eastAsia="Arial" w:hAnsi="Arial"/>
          <w:b w:val="false"/>
          <w:bCs w:val="false"/>
          <w:sz w:val="22"/>
          <w:szCs w:val="22"/>
        </w:rPr>
        <w:t xml:space="preserve">Sequential inclusion/exclusion criteria applied to construct the analytic cohort from the All of Us database.</w:t>
      </w:r>
    </w:p>
    <w:p>
      <w:pPr>
        <w:spacing w:after="80"/>
      </w:pP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1200"/>
      </w:tblGrid>
      <w:tr>
        <w:trPr>
          <w:tblHeader/>
        </w:trPr>
        <w:tc>
          <w:tcPr>
            <w:tcW w:type="dxa" w:w="6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Step</w:t>
            </w:r>
          </w:p>
        </w:tc>
        <w:tc>
          <w:tcPr>
            <w:tcW w:type="dxa" w:w="50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Description</w:t>
            </w:r>
          </w:p>
        </w:tc>
        <w:tc>
          <w:tcPr>
            <w:tcW w:type="dxa" w:w="12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N</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w:t>
            </w:r>
          </w:p>
        </w:tc>
        <w:tc>
          <w:tcPr>
            <w:tcW w:type="dxa" w:w="5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Drug start (any)</w:t>
            </w:r>
          </w:p>
        </w:tc>
        <w:tc>
          <w:tcPr>
            <w:tcW w:type="dxa" w:w="1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53,336</w:t>
            </w:r>
          </w:p>
        </w:tc>
      </w:tr>
      <w:tr>
        <w:tc>
          <w:tcPr>
            <w:tcW w:type="dxa" w:w="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w:t>
            </w:r>
          </w:p>
        </w:tc>
        <w:tc>
          <w:tcPr>
            <w:tcW w:type="dxa" w:w="5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Exposure group assigned</w:t>
            </w:r>
          </w:p>
        </w:tc>
        <w:tc>
          <w:tcPr>
            <w:tcW w:type="dxa" w:w="1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39,969</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w:t>
            </w:r>
          </w:p>
        </w:tc>
        <w:tc>
          <w:tcPr>
            <w:tcW w:type="dxa" w:w="5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T2DM prior to index</w:t>
            </w:r>
          </w:p>
        </w:tc>
        <w:tc>
          <w:tcPr>
            <w:tcW w:type="dxa" w:w="1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20,766</w:t>
            </w:r>
          </w:p>
        </w:tc>
      </w:tr>
      <w:tr>
        <w:tc>
          <w:tcPr>
            <w:tcW w:type="dxa" w:w="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w:t>
            </w:r>
          </w:p>
        </w:tc>
        <w:tc>
          <w:tcPr>
            <w:tcW w:type="dxa" w:w="5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Adult population</w:t>
            </w:r>
          </w:p>
        </w:tc>
        <w:tc>
          <w:tcPr>
            <w:tcW w:type="dxa" w:w="1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20,723</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w:t>
            </w:r>
          </w:p>
        </w:tc>
        <w:tc>
          <w:tcPr>
            <w:tcW w:type="dxa" w:w="5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Observation lookback eligible</w:t>
            </w:r>
          </w:p>
        </w:tc>
        <w:tc>
          <w:tcPr>
            <w:tcW w:type="dxa" w:w="1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17,458</w:t>
            </w:r>
          </w:p>
        </w:tc>
      </w:tr>
      <w:tr>
        <w:tc>
          <w:tcPr>
            <w:tcW w:type="dxa" w:w="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w:t>
            </w:r>
          </w:p>
        </w:tc>
        <w:tc>
          <w:tcPr>
            <w:tcW w:type="dxa" w:w="5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After DM exclusions</w:t>
            </w:r>
          </w:p>
        </w:tc>
        <w:tc>
          <w:tcPr>
            <w:tcW w:type="dxa" w:w="1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15,818</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7</w:t>
            </w:r>
          </w:p>
        </w:tc>
        <w:tc>
          <w:tcPr>
            <w:tcW w:type="dxa" w:w="5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After prevalent spine exclusion</w:t>
            </w:r>
          </w:p>
        </w:tc>
        <w:tc>
          <w:tcPr>
            <w:tcW w:type="dxa" w:w="1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13,524</w:t>
            </w:r>
          </w:p>
        </w:tc>
      </w:tr>
      <w:tr>
        <w:tc>
          <w:tcPr>
            <w:tcW w:type="dxa" w:w="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8</w:t>
            </w:r>
          </w:p>
        </w:tc>
        <w:tc>
          <w:tcPr>
            <w:tcW w:type="dxa" w:w="5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Final analytic cohort</w:t>
            </w:r>
          </w:p>
        </w:tc>
        <w:tc>
          <w:tcPr>
            <w:tcW w:type="dxa" w:w="1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13,524</w:t>
            </w:r>
          </w:p>
        </w:tc>
      </w:tr>
      <w:tr>
        <w:tc>
          <w:tcPr>
            <w:tcW w:type="dxa" w:w="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9</w:t>
            </w:r>
          </w:p>
        </w:tc>
        <w:tc>
          <w:tcPr>
            <w:tcW w:type="dxa" w:w="5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Has 730-day follow-up</w:t>
            </w:r>
          </w:p>
        </w:tc>
        <w:tc>
          <w:tcPr>
            <w:tcW w:type="dxa" w:w="1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10,646</w:t>
            </w:r>
          </w:p>
        </w:tc>
      </w:tr>
    </w:tbl>
    <w:p>
      <w:pPr>
        <w:spacing w:after="80"/>
      </w:pPr>
    </w:p>
    <w:p>
      <w:pPr>
        <w:spacing w:after="120"/>
      </w:pPr>
      <w:r>
        <w:rPr>
          <w:rFonts w:ascii="Arial" w:cs="Arial" w:eastAsia="Arial" w:hAnsi="Arial"/>
          <w:b w:val="false"/>
          <w:bCs w:val="false"/>
          <w:sz w:val="22"/>
          <w:szCs w:val="22"/>
        </w:rPr>
        <w:t xml:space="preserve">Explanation: Starting from 53,336 patients with any drug start event, the cohort was narrowed through sequential filters. Exposure group assignment reduced the cohort to 39,969 (exclusion of patients not classifiable into metformin-only, GLP-1 RA-only, or combination arms). Requiring T2DM diagnosis prior to index retained 20,766. After excluding non-adults, patients without adequate observation lookback, applying diabetes-related exclusions, and removing those with prevalent spine conditions, the final analytic cohort comprised 13,524 patients. Of these, 10,646 had at least 730 days of follow-up for time-restricted analyses.</w:t>
      </w:r>
    </w:p>
    <w:p>
      <w:r>
        <w:br w:type="page"/>
      </w:r>
    </w:p>
    <w:p>
      <w:pPr>
        <w:pStyle w:val="Heading1"/>
      </w:pPr>
      <w:r>
        <w:rPr>
          <w:rFonts w:ascii="Arial" w:cs="Arial" w:eastAsia="Arial" w:hAnsi="Arial"/>
        </w:rPr>
        <w:t xml:space="preserve">Table 1: Baseline Characteristics by Treatment Group</w:t>
      </w:r>
    </w:p>
    <w:p>
      <w:pPr>
        <w:spacing w:after="120"/>
      </w:pPr>
      <w:r>
        <w:rPr>
          <w:rFonts w:ascii="Arial" w:cs="Arial" w:eastAsia="Arial" w:hAnsi="Arial"/>
          <w:b w:val="false"/>
          <w:bCs w:val="false"/>
          <w:sz w:val="22"/>
          <w:szCs w:val="22"/>
        </w:rPr>
        <w:t xml:space="preserve">Baseline demographic, clinical, and utilization characteristics stratified by exposure group. Note: 11 rows were suppressed due to the n&lt;20 policy.</w:t>
      </w:r>
    </w:p>
    <w:p>
      <w:pPr>
        <w:spacing w:after="80"/>
      </w:pPr>
    </w:p>
    <w:p>
      <w:pPr>
        <w:pStyle w:val="Heading3"/>
      </w:pPr>
      <w:r>
        <w:rPr>
          <w:rFonts w:ascii="Arial" w:cs="Arial" w:eastAsia="Arial" w:hAnsi="Arial"/>
        </w:rPr>
        <w:t xml:space="preserve">Sample Size and Continuous Variables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000"/>
        <w:gridCol w:w="2000"/>
      </w:tblGrid>
      <w:tr>
        <w:trPr>
          <w:tblHeader/>
        </w:trPr>
        <w:tc>
          <w:tcPr>
            <w:tcW w:type="dxa" w:w="32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Variable</w:t>
            </w:r>
          </w:p>
        </w:tc>
        <w:tc>
          <w:tcPr>
            <w:tcW w:type="dxa" w:w="28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Metformin Only (N=11,599)</w:t>
            </w:r>
          </w:p>
        </w:tc>
        <w:tc>
          <w:tcPr>
            <w:tcW w:type="dxa" w:w="20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GLP-1 Only (N=1,451)</w:t>
            </w:r>
          </w:p>
        </w:tc>
        <w:tc>
          <w:tcPr>
            <w:tcW w:type="dxa" w:w="20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Combo (N=474)</w:t>
            </w:r>
          </w:p>
        </w:tc>
      </w:tr>
      <w:tr>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11,599</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1,451</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474</w:t>
            </w:r>
          </w:p>
        </w:tc>
      </w:tr>
      <w:tr>
        <w:tc>
          <w:tcPr>
            <w:tcW w:type="dxa" w:w="3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Age at index, mean (SD)</w:t>
            </w:r>
          </w:p>
        </w:tc>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56.3 (12.0)</w:t>
            </w:r>
          </w:p>
        </w:tc>
        <w:tc>
          <w:tcPr>
            <w:tcW w:type="dxa" w:w="2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c>
          <w:tcPr>
            <w:tcW w:type="dxa" w:w="2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r>
      <w:tr>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BMI, mean (SD) [n with data]</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34.4 (8.2) [7,722]</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r>
      <w:tr>
        <w:tc>
          <w:tcPr>
            <w:tcW w:type="dxa" w:w="3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HbA1c recent, mean (SD) [n]</w:t>
            </w:r>
          </w:p>
        </w:tc>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11,770.5 (342,795.1) [5,951]</w:t>
            </w:r>
          </w:p>
        </w:tc>
        <w:tc>
          <w:tcPr>
            <w:tcW w:type="dxa" w:w="2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134,537.0 (—) [*]</w:t>
            </w:r>
          </w:p>
        </w:tc>
        <w:tc>
          <w:tcPr>
            <w:tcW w:type="dxa" w:w="2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99,018.4 (—) [*]</w:t>
            </w:r>
          </w:p>
        </w:tc>
      </w:tr>
      <w:tr>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HbA1c mean year, mean (SD)</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12,050.5 (335,211.0)</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159,449.8 (—)</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99,018.3 (—)</w:t>
            </w:r>
          </w:p>
        </w:tc>
      </w:tr>
      <w:tr>
        <w:tc>
          <w:tcPr>
            <w:tcW w:type="dxa" w:w="3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DM duration days, mean (SD)</w:t>
            </w:r>
          </w:p>
        </w:tc>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895.3 (1,286.4)</w:t>
            </w:r>
          </w:p>
        </w:tc>
        <w:tc>
          <w:tcPr>
            <w:tcW w:type="dxa" w:w="2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1,649.9 (—)</w:t>
            </w:r>
          </w:p>
        </w:tc>
        <w:tc>
          <w:tcPr>
            <w:tcW w:type="dxa" w:w="2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1,118.4 (—)</w:t>
            </w:r>
          </w:p>
        </w:tc>
      </w:tr>
      <w:tr>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condition count, mean (SD)</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16.1 (14.8)</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22.4 (—)</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15.7 (—)</w:t>
            </w:r>
          </w:p>
        </w:tc>
      </w:tr>
      <w:tr>
        <w:tc>
          <w:tcPr>
            <w:tcW w:type="dxa" w:w="3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outpatient visits, mean (SD)</w:t>
            </w:r>
          </w:p>
        </w:tc>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14.8 (23.9)</w:t>
            </w:r>
          </w:p>
        </w:tc>
        <w:tc>
          <w:tcPr>
            <w:tcW w:type="dxa" w:w="2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22.8 (—)</w:t>
            </w:r>
          </w:p>
        </w:tc>
        <w:tc>
          <w:tcPr>
            <w:tcW w:type="dxa" w:w="2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13.5 (—)</w:t>
            </w:r>
          </w:p>
        </w:tc>
      </w:tr>
      <w:tr>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spine imaging, mean (SD)</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0.22 (0.89)</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0.36 (—)</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0.23 (—)</w:t>
            </w:r>
          </w:p>
        </w:tc>
      </w:tr>
      <w:tr>
        <w:tc>
          <w:tcPr>
            <w:tcW w:type="dxa" w:w="3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endocrinology visits</w:t>
            </w:r>
          </w:p>
        </w:tc>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 (0.00)</w:t>
            </w:r>
          </w:p>
        </w:tc>
        <w:tc>
          <w:tcPr>
            <w:tcW w:type="dxa" w:w="2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 (—)</w:t>
            </w:r>
          </w:p>
        </w:tc>
        <w:tc>
          <w:tcPr>
            <w:tcW w:type="dxa" w:w="2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 (—)</w:t>
            </w:r>
          </w:p>
        </w:tc>
      </w:tr>
      <w:tr>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orthopedics visits</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 (0.00)</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 (—)</w:t>
            </w:r>
          </w:p>
        </w:tc>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 (—)</w:t>
            </w:r>
          </w:p>
        </w:tc>
      </w:tr>
    </w:tbl>
    <w:p>
      <w:pPr>
        <w:spacing w:after="80"/>
      </w:pPr>
    </w:p>
    <w:p>
      <w:pPr>
        <w:pStyle w:val="Heading3"/>
      </w:pPr>
      <w:r>
        <w:rPr>
          <w:rFonts w:ascii="Arial" w:cs="Arial" w:eastAsia="Arial" w:hAnsi="Arial"/>
        </w:rPr>
        <w:t xml:space="preserve">Categorical Variables (Metformin Only)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00"/>
        <w:gridCol w:w="1500"/>
      </w:tblGrid>
      <w:tr>
        <w:trPr>
          <w:tblHeader/>
        </w:trPr>
        <w:tc>
          <w:tcPr>
            <w:tcW w:type="dxa" w:w="20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Variable</w:t>
            </w:r>
          </w:p>
        </w:tc>
        <w:tc>
          <w:tcPr>
            <w:tcW w:type="dxa" w:w="28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Level</w:t>
            </w:r>
          </w:p>
        </w:tc>
        <w:tc>
          <w:tcPr>
            <w:tcW w:type="dxa" w:w="15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N</w:t>
            </w:r>
          </w:p>
        </w:tc>
        <w:tc>
          <w:tcPr>
            <w:tcW w:type="dxa" w:w="15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Proportion</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Sex</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Female</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6,168</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53.2%</w:t>
            </w:r>
          </w:p>
        </w:tc>
      </w:tr>
      <w:tr>
        <w:tc>
          <w:tcPr>
            <w:tcW w:type="dxa" w:w="2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Sex</w:t>
            </w:r>
          </w:p>
        </w:tc>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Male</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5,266</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45.4%</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Sex</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165</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w:t>
            </w:r>
          </w:p>
        </w:tc>
      </w:tr>
      <w:tr>
        <w:tc>
          <w:tcPr>
            <w:tcW w:type="dxa" w:w="2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Race</w:t>
            </w:r>
          </w:p>
        </w:tc>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White</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5,022</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43.3%</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Race</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3,229</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27.8%</w:t>
            </w:r>
          </w:p>
        </w:tc>
      </w:tr>
      <w:tr>
        <w:tc>
          <w:tcPr>
            <w:tcW w:type="dxa" w:w="2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Race</w:t>
            </w:r>
          </w:p>
        </w:tc>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Black or African American</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3,103</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26.8%</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Race</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Asian</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245</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2.1%</w:t>
            </w:r>
          </w:p>
        </w:tc>
      </w:tr>
      <w:tr>
        <w:tc>
          <w:tcPr>
            <w:tcW w:type="dxa" w:w="2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Ethnicity</w:t>
            </w:r>
          </w:p>
        </w:tc>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Not Hispanic or Latino</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8,870</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76.5%</w:t>
            </w:r>
          </w:p>
        </w:tc>
      </w:tr>
      <w:tr>
        <w:tc>
          <w:tcPr>
            <w:tcW w:type="dxa" w:w="2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Ethnicity</w:t>
            </w:r>
          </w:p>
        </w:tc>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Hispanic or Latino</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2,360</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20.3%</w:t>
            </w:r>
          </w:p>
        </w:tc>
      </w:tr>
    </w:tbl>
    <w:p>
      <w:pPr>
        <w:spacing w:after="80"/>
      </w:pPr>
    </w:p>
    <w:p>
      <w:pPr>
        <w:spacing w:after="120"/>
      </w:pPr>
      <w:r>
        <w:rPr>
          <w:rFonts w:ascii="Arial" w:cs="Arial" w:eastAsia="Arial" w:hAnsi="Arial"/>
          <w:b w:val="false"/>
          <w:bCs w:val="false"/>
          <w:sz w:val="22"/>
          <w:szCs w:val="22"/>
        </w:rPr>
        <w:t xml:space="preserve">Explanation: The metformin-only group was by far the largest (11,599, 85.8%), reflecting real-world prescribing patterns where metformin is first-line therapy. GLP-1 RA-only patients (1,451, 10.7%) and combination patients (474, 3.5%) had longer diabetes duration (1,650 and 1,118 days respectively vs 895 for metformin), higher comorbidity burden (condition count 22.4 for GLP-1 RA vs 16.1 for metformin), and more outpatient visits (22.8 vs 14.8). These differences reflect confounding by indication—GLP-1 RA and combination therapy are typically prescribed for more advanced or harder-to-control T2DM. The HbA1c values appear to be in non-standard units (possibly LOINC measurement IDs or raw concept values) and should be interpreted with caution. BMI data were available for 7,722 of 11,599 metformin patients (66.6%).</w:t>
      </w:r>
    </w:p>
    <w:p>
      <w:pPr>
        <w:spacing w:before="60" w:after="120"/>
      </w:pPr>
      <w:r>
        <w:rPr>
          <w:rFonts w:ascii="Arial" w:cs="Arial" w:eastAsia="Arial" w:hAnsi="Arial"/>
          <w:b/>
          <w:bCs/>
          <w:color w:val="D4880F"/>
          <w:sz w:val="22"/>
          <w:szCs w:val="22"/>
        </w:rPr>
        <w:t xml:space="preserve">⚠ </w:t>
      </w:r>
      <w:r>
        <w:rPr>
          <w:rFonts w:ascii="Arial" w:cs="Arial" w:eastAsia="Arial" w:hAnsi="Arial"/>
          <w:i/>
          <w:iCs/>
          <w:color w:val="D4880F"/>
          <w:sz w:val="22"/>
          <w:szCs w:val="22"/>
        </w:rPr>
        <w:t xml:space="preserve">Note: Full Table 1 contains 116 rows. Only the metformin-only categorical breakdown is shown in detail here as the complete GLP-1 and combo categorical rows were partially truncated in the output. The n&lt;20 suppression policy removed 11 rows for privacy.</w:t>
      </w:r>
    </w:p>
    <w:p>
      <w:r>
        <w:br w:type="page"/>
      </w:r>
    </w:p>
    <w:p>
      <w:pPr>
        <w:pStyle w:val="Heading1"/>
      </w:pPr>
      <w:r>
        <w:rPr>
          <w:rFonts w:ascii="Arial" w:cs="Arial" w:eastAsia="Arial" w:hAnsi="Arial"/>
        </w:rPr>
        <w:t xml:space="preserve">Disease Severity Baseline Table</w:t>
      </w:r>
    </w:p>
    <w:p>
      <w:pPr>
        <w:spacing w:after="120"/>
      </w:pPr>
      <w:r>
        <w:rPr>
          <w:rFonts w:ascii="Arial" w:cs="Arial" w:eastAsia="Arial" w:hAnsi="Arial"/>
          <w:b w:val="false"/>
          <w:bCs w:val="false"/>
          <w:sz w:val="22"/>
          <w:szCs w:val="22"/>
        </w:rPr>
        <w:t xml:space="preserve">Comparison of diabetes severity markers and comorbidity burden across treatment groups at baseline.</w:t>
      </w:r>
    </w:p>
    <w:p>
      <w:pPr>
        <w:spacing w:after="80"/>
      </w:pP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400"/>
        <w:gridCol w:w="2400"/>
      </w:tblGrid>
      <w:tr>
        <w:trPr>
          <w:tblHeader/>
        </w:trPr>
        <w:tc>
          <w:tcPr>
            <w:tcW w:type="dxa" w:w="32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Variable</w:t>
            </w:r>
          </w:p>
        </w:tc>
        <w:tc>
          <w:tcPr>
            <w:tcW w:type="dxa" w:w="24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Metformin Only (N=11,599)</w:t>
            </w:r>
          </w:p>
        </w:tc>
        <w:tc>
          <w:tcPr>
            <w:tcW w:type="dxa" w:w="24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GLP-1 Only (N=1,451)</w:t>
            </w:r>
          </w:p>
        </w:tc>
        <w:tc>
          <w:tcPr>
            <w:tcW w:type="dxa" w:w="24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Combo (N=474)</w:t>
            </w:r>
          </w:p>
        </w:tc>
      </w:tr>
      <w:tr>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HbA1c recent, mean</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11,770.5</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134,537.0</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99,018.4</w:t>
            </w:r>
          </w:p>
        </w:tc>
      </w:tr>
      <w:tr>
        <w:tc>
          <w:tcPr>
            <w:tcW w:type="dxa" w:w="3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HbA1c mean year, mean</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12,050.5</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159,449.8</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99,018.3</w:t>
            </w:r>
          </w:p>
        </w:tc>
      </w:tr>
      <w:tr>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DM duration days, mean</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895.3</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1,649.9</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1,118.4</w:t>
            </w:r>
          </w:p>
        </w:tc>
      </w:tr>
      <w:tr>
        <w:tc>
          <w:tcPr>
            <w:tcW w:type="dxa" w:w="3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Insulin use baseline, rate</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22.5%</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40.9%</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36.9%</w:t>
            </w:r>
          </w:p>
        </w:tc>
      </w:tr>
      <w:tr>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Neuropathy baseline, rate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0.07%</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0.48%</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w:t>
            </w:r>
          </w:p>
        </w:tc>
      </w:tr>
      <w:tr>
        <w:tc>
          <w:tcPr>
            <w:tcW w:type="dxa" w:w="3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Nephropathy baseline, rate</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0.21%</w:t>
            </w:r>
          </w:p>
        </w:tc>
      </w:tr>
      <w:tr>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Retinopathy baseline, rate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0.10%</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0.28%</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0.21%</w:t>
            </w:r>
          </w:p>
        </w:tc>
      </w:tr>
      <w:tr>
        <w:tc>
          <w:tcPr>
            <w:tcW w:type="dxa" w:w="3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condition count, mean</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16.1</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22.4</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15.7</w:t>
            </w:r>
          </w:p>
        </w:tc>
      </w:tr>
      <w:tr>
        <w:tc>
          <w:tcPr>
            <w:tcW w:type="dxa" w:w="3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back pain flag, rate</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10.4%</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12.6%</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9.5%</w:t>
            </w:r>
          </w:p>
        </w:tc>
      </w:tr>
    </w:tbl>
    <w:p>
      <w:pPr>
        <w:spacing w:after="80"/>
      </w:pPr>
    </w:p>
    <w:p>
      <w:pPr>
        <w:spacing w:before="60" w:after="12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GLP-1 RA patients had markedly higher disease severity: nearly double the insulin use rate (40.9% vs 22.5%), longer diabetes duration (1,650 vs 895 days), and higher comorbidity burden (22.4 vs 16.1 conditions) compared to metformin-only patients.</w:t>
      </w:r>
    </w:p>
    <w:p>
      <w:pPr>
        <w:spacing w:after="120"/>
      </w:pPr>
      <w:r>
        <w:rPr>
          <w:rFonts w:ascii="Arial" w:cs="Arial" w:eastAsia="Arial" w:hAnsi="Arial"/>
          <w:b w:val="false"/>
          <w:bCs w:val="false"/>
          <w:sz w:val="22"/>
          <w:szCs w:val="22"/>
        </w:rPr>
        <w:t xml:space="preserve">Explanation: This table confirms substantial confounding by indication. GLP-1 RA-only patients had the most severe diabetes profile, with the highest insulin use rate (40.9%), longest diabetes duration (1,650 days), highest neuropathy rate (0.48%), and highest baseline condition count (22.4). Combination therapy patients fell between the two groups on most measures. Baseline back pain—a potential risk factor for the spine outcome—was highest in the GLP-1 RA group (12.6%) but relatively similar across arms. These severity differences must be accounted for in multivariable models and propensity score analyses.</w:t>
      </w:r>
    </w:p>
    <w:p>
      <w:r>
        <w:br w:type="page"/>
      </w:r>
    </w:p>
    <w:p>
      <w:pPr>
        <w:pStyle w:val="Heading1"/>
      </w:pPr>
      <w:r>
        <w:rPr>
          <w:rFonts w:ascii="Arial" w:cs="Arial" w:eastAsia="Arial" w:hAnsi="Arial"/>
        </w:rPr>
        <w:t xml:space="preserve">BMI Missingness Analysis</w:t>
      </w:r>
    </w:p>
    <w:p>
      <w:pPr>
        <w:spacing w:after="120"/>
      </w:pPr>
      <w:r>
        <w:rPr>
          <w:rFonts w:ascii="Arial" w:cs="Arial" w:eastAsia="Arial" w:hAnsi="Arial"/>
          <w:b w:val="false"/>
          <w:bCs w:val="false"/>
          <w:sz w:val="22"/>
          <w:szCs w:val="22"/>
        </w:rPr>
        <w:t xml:space="preserve">Assessment of BMI data missingness patterns across demographic and clinical strata.</w:t>
      </w:r>
    </w:p>
    <w:p>
      <w:pPr>
        <w:spacing w:after="8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900"/>
        <w:gridCol w:w="900"/>
        <w:gridCol w:w="900"/>
        <w:gridCol w:w="1000"/>
        <w:gridCol w:w="1100"/>
      </w:tblGrid>
      <w:tr>
        <w:trPr>
          <w:tblHeader/>
        </w:trPr>
        <w:tc>
          <w:tcPr>
            <w:tcW w:type="dxa" w:w="11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Stratifier</w:t>
            </w:r>
          </w:p>
        </w:tc>
        <w:tc>
          <w:tcPr>
            <w:tcW w:type="dxa" w:w="15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Level</w:t>
            </w:r>
          </w:p>
        </w:tc>
        <w:tc>
          <w:tcPr>
            <w:tcW w:type="dxa" w:w="9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N Total</w:t>
            </w:r>
          </w:p>
        </w:tc>
        <w:tc>
          <w:tcPr>
            <w:tcW w:type="dxa" w:w="9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N Missing</w:t>
            </w:r>
          </w:p>
        </w:tc>
        <w:tc>
          <w:tcPr>
            <w:tcW w:type="dxa" w:w="9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N Present</w:t>
            </w:r>
          </w:p>
        </w:tc>
        <w:tc>
          <w:tcPr>
            <w:tcW w:type="dxa" w:w="10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Missing Rate</w:t>
            </w:r>
          </w:p>
        </w:tc>
        <w:tc>
          <w:tcPr>
            <w:tcW w:type="dxa" w:w="11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Chi² p-value</w:t>
            </w:r>
          </w:p>
        </w:tc>
      </w:tr>
      <w:tr>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13,524</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4,266</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9,258</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31.5%</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r>
      <w:tr>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Exposure</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Metformin only</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11,599</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3,877</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7,722</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33.4%</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8.14e-32</w:t>
            </w:r>
          </w:p>
        </w:tc>
      </w:tr>
      <w:tr>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Exposure</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1,451</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266</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1,185</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18.3%</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8.14e-32</w:t>
            </w:r>
          </w:p>
        </w:tc>
      </w:tr>
      <w:tr>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Exposure</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Combo</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474</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123</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351</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25.9%</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8.14e-32</w:t>
            </w:r>
          </w:p>
        </w:tc>
      </w:tr>
      <w:tr>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Sex</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Male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5,907</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2,266</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3,641</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38.4%</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1.07e-51</w:t>
            </w:r>
          </w:p>
        </w:tc>
      </w:tr>
      <w:tr>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Sex</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Female</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7,433</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1,933</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5,500</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26.0%</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1.07e-51</w:t>
            </w:r>
          </w:p>
        </w:tc>
      </w:tr>
      <w:tr>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Sex</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184</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67</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117</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36.4%</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1.07e-51</w:t>
            </w:r>
          </w:p>
        </w:tc>
      </w:tr>
      <w:tr>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Race</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White</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5,914</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1,914</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4,000</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32.4%</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0.102</w:t>
            </w:r>
          </w:p>
        </w:tc>
      </w:tr>
      <w:tr>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Race</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Black/AA</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3,579</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1,075</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2,504</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30.0%</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0.102</w:t>
            </w:r>
          </w:p>
        </w:tc>
      </w:tr>
      <w:tr>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Race</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Asian</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273</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92</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181</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33.7%</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0.102</w:t>
            </w:r>
          </w:p>
        </w:tc>
      </w:tr>
      <w:tr>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Race</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3,758</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1,185</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2,573</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31.5%</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0.102</w:t>
            </w:r>
          </w:p>
        </w:tc>
      </w:tr>
      <w:tr>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Ethnicity</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Hispanic/Latino</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2,749</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820</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1,929</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29.8%</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2.44e-04</w:t>
            </w:r>
          </w:p>
        </w:tc>
      </w:tr>
      <w:tr>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Ethnicity</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Not Hispanic/Latino</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10,351</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3,278</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7,073</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31.7%</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2.44e-04</w:t>
            </w:r>
          </w:p>
        </w:tc>
      </w:tr>
      <w:tr>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Ethnicity</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Unknown</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424</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168</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256</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39.6%</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2.44e-04</w:t>
            </w:r>
          </w:p>
        </w:tc>
      </w:tr>
      <w:tr>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Age</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18–39</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1,470</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395</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1,075</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26.9%</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4.08e-04</w:t>
            </w:r>
          </w:p>
        </w:tc>
      </w:tr>
      <w:tr>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Age</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40–49</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2,269</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714</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1,555</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31.5%</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4.08e-04</w:t>
            </w:r>
          </w:p>
        </w:tc>
      </w:tr>
      <w:tr>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Age</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50–59</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4,260</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1,404</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2,856</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33.0%</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4.08e-04</w:t>
            </w:r>
          </w:p>
        </w:tc>
      </w:tr>
      <w:tr>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Age</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60–69</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3,948</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1,272</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2,676</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32.2%</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4.08e-04</w:t>
            </w:r>
          </w:p>
        </w:tc>
      </w:tr>
      <w:tr>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Age</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70+</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1,577</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481</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1,096</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30.5%</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4.08e-04</w:t>
            </w:r>
          </w:p>
        </w:tc>
      </w:tr>
    </w:tbl>
    <w:p>
      <w:pPr>
        <w:spacing w:after="80"/>
      </w:pPr>
    </w:p>
    <w:p>
      <w:pPr>
        <w:spacing w:before="60" w:after="12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BMI missingness was significantly associated with exposure group (p=8.1e-32), sex (p=1.1e-51), ethnicity (p=2.4e-04), and age (p=4.1e-04). Missingness was NOT significantly associated with race (p=0.102).</w:t>
      </w:r>
    </w:p>
    <w:p>
      <w:pPr>
        <w:spacing w:after="120"/>
      </w:pPr>
      <w:r>
        <w:rPr>
          <w:rFonts w:ascii="Arial" w:cs="Arial" w:eastAsia="Arial" w:hAnsi="Arial"/>
          <w:b w:val="false"/>
          <w:bCs w:val="false"/>
          <w:sz w:val="22"/>
          <w:szCs w:val="22"/>
        </w:rPr>
        <w:t xml:space="preserve">Explanation: BMI data were missing for 31.5% of the cohort overall. Missingness was strongly non-random: metformin-only patients had the highest missing rate (33.4%) while GLP-1 RA patients had the lowest (18.3%), likely because GLP-1 RA prescriptions require weight/BMI documentation for insurance approval. Males had substantially higher missingness (38.4%) than females (26.0%). Younger patients (18–39) had lower missingness (26.9%) than older age groups. Race was the only stratifier without significant differential missingness (p=0.102). These patterns of non-random missingness are addressed through the sensitivity analyses (pattern-mixture models and BMI-present adjusted models) described later.</w:t>
      </w:r>
    </w:p>
    <w:p>
      <w:r>
        <w:br w:type="page"/>
      </w:r>
    </w:p>
    <w:p>
      <w:pPr>
        <w:pStyle w:val="Heading1"/>
      </w:pPr>
      <w:r>
        <w:rPr>
          <w:rFonts w:ascii="Arial" w:cs="Arial" w:eastAsia="Arial" w:hAnsi="Arial"/>
        </w:rPr>
        <w:t xml:space="preserve">Complete vs Missing BMI: Crude Outcome Risk</w:t>
      </w:r>
    </w:p>
    <w:p>
      <w:pPr>
        <w:spacing w:after="120"/>
      </w:pPr>
      <w:r>
        <w:rPr>
          <w:rFonts w:ascii="Arial" w:cs="Arial" w:eastAsia="Arial" w:hAnsi="Arial"/>
          <w:b w:val="false"/>
          <w:bCs w:val="false"/>
          <w:sz w:val="22"/>
          <w:szCs w:val="22"/>
        </w:rPr>
        <w:t xml:space="preserve">Comparison of spine outcome event rates between patients with and without BMI data.</w:t>
      </w:r>
    </w:p>
    <w:p>
      <w:pPr>
        <w:spacing w:after="8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BMI Present</w:t>
            </w:r>
          </w:p>
        </w:tc>
        <w:tc>
          <w:tcPr>
            <w:tcW w:type="dxa" w:w="24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N</w:t>
            </w:r>
          </w:p>
        </w:tc>
        <w:tc>
          <w:tcPr>
            <w:tcW w:type="dxa" w:w="24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Events</w:t>
            </w:r>
          </w:p>
        </w:tc>
        <w:tc>
          <w:tcPr>
            <w:tcW w:type="dxa" w:w="24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Crude Risk</w:t>
            </w:r>
          </w:p>
        </w:tc>
      </w:tr>
      <w:tr>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No (missing)</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3,661</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181</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4.94%</w:t>
            </w:r>
          </w:p>
        </w:tc>
      </w:tr>
      <w:tr>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Yes (present)</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6,985</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420</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6.01%</w:t>
            </w:r>
          </w:p>
        </w:tc>
      </w:tr>
    </w:tbl>
    <w:p>
      <w:pPr>
        <w:spacing w:after="80"/>
      </w:pPr>
    </w:p>
    <w:p>
      <w:pPr>
        <w:spacing w:after="120"/>
      </w:pPr>
      <w:r>
        <w:rPr>
          <w:rFonts w:ascii="Arial" w:cs="Arial" w:eastAsia="Arial" w:hAnsi="Arial"/>
          <w:b w:val="false"/>
          <w:bCs w:val="false"/>
          <w:sz w:val="22"/>
          <w:szCs w:val="22"/>
        </w:rPr>
        <w:t xml:space="preserve">Explanation: Patients with BMI data available had a slightly higher crude spine event rate (6.01%) compared to those with missing BMI (4.94%). This difference suggests that patients with more complete data (who tend to be higher utilizers of healthcare) also have higher event detection rates, consistent with surveillance bias. This motivates the sensitivity analyses using the full cohort with BMI missingness adjustments (pattern-mixture models) to ensure the main findings are robust to informative missingness.</w:t>
      </w:r>
    </w:p>
    <w:p>
      <w:r>
        <w:br w:type="page"/>
      </w:r>
    </w:p>
    <w:p>
      <w:pPr>
        <w:pStyle w:val="Heading1"/>
      </w:pPr>
      <w:r>
        <w:rPr>
          <w:rFonts w:ascii="Arial" w:cs="Arial" w:eastAsia="Arial" w:hAnsi="Arial"/>
        </w:rPr>
        <w:t xml:space="preserve">Primary Analysis: Logistic Regression (HC3 Robust SE)</w:t>
      </w:r>
    </w:p>
    <w:p>
      <w:pPr>
        <w:spacing w:after="120"/>
      </w:pPr>
      <w:r>
        <w:rPr>
          <w:rFonts w:ascii="Arial" w:cs="Arial" w:eastAsia="Arial" w:hAnsi="Arial"/>
          <w:b w:val="false"/>
          <w:bCs w:val="false"/>
          <w:sz w:val="22"/>
          <w:szCs w:val="22"/>
        </w:rPr>
        <w:t xml:space="preserve">Multivariable logistic regression for the spine outcome with HC3 (heteroscedasticity-consistent) robust standard errors. N=6,985 with complete BMI data; 420 events (6.0% event rate); 12 parameters; EPV=38.2.</w:t>
      </w:r>
    </w:p>
    <w:p>
      <w:pPr>
        <w:spacing w:after="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700"/>
        <w:gridCol w:w="900"/>
        <w:gridCol w:w="900"/>
        <w:gridCol w:w="1200"/>
      </w:tblGrid>
      <w:tr>
        <w:trPr>
          <w:tblHeader/>
        </w:trPr>
        <w:tc>
          <w:tcPr>
            <w:tcW w:type="dxa" w:w="28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Term</w:t>
            </w:r>
          </w:p>
        </w:tc>
        <w:tc>
          <w:tcPr>
            <w:tcW w:type="dxa" w:w="7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Coef</w:t>
            </w:r>
          </w:p>
        </w:tc>
        <w:tc>
          <w:tcPr>
            <w:tcW w:type="dxa" w:w="7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OR</w:t>
            </w:r>
          </w:p>
        </w:tc>
        <w:tc>
          <w:tcPr>
            <w:tcW w:type="dxa" w:w="9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95% CI Low</w:t>
            </w:r>
          </w:p>
        </w:tc>
        <w:tc>
          <w:tcPr>
            <w:tcW w:type="dxa" w:w="9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95% CI High</w:t>
            </w:r>
          </w:p>
        </w:tc>
        <w:tc>
          <w:tcPr>
            <w:tcW w:type="dxa" w:w="12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p-value</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Intercept</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-4.008</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0.018</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0.009</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0.037</w:t>
            </w:r>
          </w:p>
        </w:tc>
        <w:tc>
          <w:tcPr>
            <w:tcW w:type="dxa" w:w="1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1.07e-27</w:t>
            </w:r>
          </w:p>
        </w:tc>
      </w:tr>
      <w:tr>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 vs Metformin</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0.050</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1.052</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0.741</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1.492</w:t>
            </w:r>
          </w:p>
        </w:tc>
        <w:tc>
          <w:tcPr>
            <w:tcW w:type="dxa" w:w="1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0.778</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Combo vs Metformin</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0.179</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1.195</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0.699</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2.044</w:t>
            </w:r>
          </w:p>
        </w:tc>
        <w:tc>
          <w:tcPr>
            <w:tcW w:type="dxa" w:w="1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0.514</w:t>
            </w:r>
          </w:p>
        </w:tc>
      </w:tr>
      <w:tr>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Female vs Male</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0.215</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1.240</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1.002</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1.535</w:t>
            </w:r>
          </w:p>
        </w:tc>
        <w:tc>
          <w:tcPr>
            <w:tcW w:type="dxa" w:w="1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0.048</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 sex vs Male</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0.328</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1.388</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0.624</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3.088</w:t>
            </w:r>
          </w:p>
        </w:tc>
        <w:tc>
          <w:tcPr>
            <w:tcW w:type="dxa" w:w="1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0.422</w:t>
            </w:r>
          </w:p>
        </w:tc>
      </w:tr>
      <w:tr>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Black/AA vs White</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0.057</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1.058</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0.829</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1.351</w:t>
            </w:r>
          </w:p>
        </w:tc>
        <w:tc>
          <w:tcPr>
            <w:tcW w:type="dxa" w:w="1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0.649</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Asian vs White</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-0.312</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0.732</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0.294</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1.823</w:t>
            </w:r>
          </w:p>
        </w:tc>
        <w:tc>
          <w:tcPr>
            <w:tcW w:type="dxa" w:w="1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0.503</w:t>
            </w:r>
          </w:p>
        </w:tc>
      </w:tr>
      <w:tr>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 race vs White</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0.130</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1.139</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0.762</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1.701</w:t>
            </w:r>
          </w:p>
        </w:tc>
        <w:tc>
          <w:tcPr>
            <w:tcW w:type="dxa" w:w="1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0.526</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Not Hispanic vs Hispanic</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0.313</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1.368</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0.891</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2.098</w:t>
            </w:r>
          </w:p>
        </w:tc>
        <w:tc>
          <w:tcPr>
            <w:tcW w:type="dxa" w:w="1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0.152</w:t>
            </w:r>
          </w:p>
        </w:tc>
      </w:tr>
      <w:tr>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Unknown ethnicity vs Hispanic</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0.287</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1.332</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0.723</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2.456</w:t>
            </w:r>
          </w:p>
        </w:tc>
        <w:tc>
          <w:tcPr>
            <w:tcW w:type="dxa" w:w="1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0.358</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Age at index (per year)</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0.013</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1.013</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1.004</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1.022</w:t>
            </w:r>
          </w:p>
        </w:tc>
        <w:tc>
          <w:tcPr>
            <w:tcW w:type="dxa" w:w="1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0.003</w:t>
            </w:r>
          </w:p>
        </w:tc>
      </w:tr>
      <w:tr>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BMI (centered, per unit)</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0.011</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1.011</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0.999</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1.023</w:t>
            </w:r>
          </w:p>
        </w:tc>
        <w:tc>
          <w:tcPr>
            <w:tcW w:type="dxa" w:w="1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0.065</w:t>
            </w:r>
          </w:p>
        </w:tc>
      </w:tr>
    </w:tbl>
    <w:p>
      <w:pPr>
        <w:spacing w:after="80"/>
      </w:pPr>
    </w:p>
    <w:p>
      <w:pPr>
        <w:spacing w:before="60" w:after="12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Primary finding: Neither GLP-1 RA monotherapy (OR=1.05, 95% CI 0.74–1.49, p=0.78) nor combination therapy (OR=1.20, 95% CI 0.70–2.04, p=0.51) was significantly associated with the spine outcome compared to metformin only.</w:t>
      </w:r>
    </w:p>
    <w:p>
      <w:pPr>
        <w:spacing w:before="60" w:after="12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Significant covariates: Female sex (OR=1.24, p=0.048) and age (OR=1.013 per year, p=0.003) were independently associated with higher spine outcome risk. BMI showed a borderline trend (OR=1.011, p=0.065).</w:t>
      </w:r>
    </w:p>
    <w:p>
      <w:pPr>
        <w:spacing w:after="120"/>
      </w:pPr>
      <w:r>
        <w:rPr>
          <w:rFonts w:ascii="Arial" w:cs="Arial" w:eastAsia="Arial" w:hAnsi="Arial"/>
          <w:b w:val="false"/>
          <w:bCs w:val="false"/>
          <w:sz w:val="22"/>
          <w:szCs w:val="22"/>
        </w:rPr>
        <w:t xml:space="preserve">Explanation: The primary logistic regression model with HC3 robust standard errors found no statistically significant association between GLP-1 RA use and the spine outcome. The point estimate for GLP-1 RA was very close to null (OR=1.05) with a wide confidence interval spanning both protective and harmful effects. Combination therapy showed a modestly elevated point estimate (OR=1.20) but was also non-significant with wide confidence intervals. Female sex was the only significant demographic predictor (OR=1.24, p=0.048), consistent with known sex differences in osteoporotic fracture risk. Increasing age was significantly associated with risk (p=0.003), as expected. BMI showed a borderline non-significant trend toward increased risk (p=0.065).</w:t>
      </w:r>
    </w:p>
    <w:p>
      <w:r>
        <w:br w:type="page"/>
      </w:r>
    </w:p>
    <w:p>
      <w:pPr>
        <w:pStyle w:val="Heading1"/>
      </w:pPr>
      <w:r>
        <w:rPr>
          <w:rFonts w:ascii="Arial" w:cs="Arial" w:eastAsia="Arial" w:hAnsi="Arial"/>
        </w:rPr>
        <w:t xml:space="preserve">Interaction Analysis: Obesity Status (BMI ≥30)</w:t>
      </w:r>
    </w:p>
    <w:p>
      <w:pPr>
        <w:spacing w:after="120"/>
      </w:pPr>
      <w:r>
        <w:rPr>
          <w:rFonts w:ascii="Arial" w:cs="Arial" w:eastAsia="Arial" w:hAnsi="Arial"/>
          <w:b w:val="false"/>
          <w:bCs w:val="false"/>
          <w:sz w:val="22"/>
          <w:szCs w:val="22"/>
        </w:rPr>
        <w:t xml:space="preserve">Penalized logistic regression (ridge, α=0.001) with exposure×obesity interaction terms. N=6,985; 420 events. Note: Penalized estimation was used due to sparse cells; standard errors and p-values are not available.</w:t>
      </w:r>
    </w:p>
    <w:p>
      <w:pPr>
        <w:spacing w:after="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600"/>
      </w:tblGrid>
      <w:tr>
        <w:trPr>
          <w:tblHeader/>
        </w:trPr>
        <w:tc>
          <w:tcPr>
            <w:tcW w:type="dxa" w:w="40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Term</w:t>
            </w:r>
          </w:p>
        </w:tc>
        <w:tc>
          <w:tcPr>
            <w:tcW w:type="dxa" w:w="16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Coef</w:t>
            </w:r>
          </w:p>
        </w:tc>
        <w:tc>
          <w:tcPr>
            <w:tcW w:type="dxa" w:w="16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OR</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Intercept</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-4.100</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0.017</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 vs Metformin</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-0.455</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0.634</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Combo vs Metformin</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0.557</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1.745</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Female vs Male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0.209</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1.232</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 sex vs Male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0.345</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1.412</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Black/AA vs White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0.059</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1.061</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Asian vs White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-0.278</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0.757</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 race vs White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0.133</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1.142</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Not Hispanic vs Hispanic</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0.318</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1.374</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Unknown ethnicity vs Hispanic</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0.289</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1.335</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Obese (BMI≥30)</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0.176</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1.192</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 × Obese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0.589</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1.803</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Combo × Obese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-0.458</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0.632</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Age at index</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0.013</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1.013</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BMI (centered)</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0.005</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1.005</w:t>
            </w:r>
          </w:p>
        </w:tc>
      </w:tr>
    </w:tbl>
    <w:p>
      <w:pPr>
        <w:spacing w:after="80"/>
      </w:pPr>
    </w:p>
    <w:p>
      <w:pPr>
        <w:spacing w:before="60" w:after="12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Interaction signal: The GLP-1 only × Obese interaction term (OR=1.80) suggests that among obese patients (BMI≥30), GLP-1 RA monotherapy may be associated with higher spine outcome risk compared to metformin. Conversely, the Combo × Obese interaction (OR=0.63) suggests a potentially protective effect of combination therapy in obese patients. However, these are penalized estimates without confidence intervals and should be interpreted cautiously.</w:t>
      </w:r>
    </w:p>
    <w:p>
      <w:pPr>
        <w:spacing w:after="120"/>
      </w:pPr>
      <w:r>
        <w:rPr>
          <w:rFonts w:ascii="Arial" w:cs="Arial" w:eastAsia="Arial" w:hAnsi="Arial"/>
          <w:b w:val="false"/>
          <w:bCs w:val="false"/>
          <w:sz w:val="22"/>
          <w:szCs w:val="22"/>
        </w:rPr>
        <w:t xml:space="preserve">Explanation: Penalized logistic regression was used because the standard (unpenalized) interaction model had sparse cells in some exposure×obesity combinations. The interaction terms suggest effect modification by obesity status. Among non-obese patients, GLP-1 RA appears associated with lower risk (main effect OR=0.63), but among obese patients, the combined effect (0.634×1.803=1.14) suggests slightly elevated risk. For combination therapy, the pattern is reversed: higher risk in non-obese (main effect OR=1.74) but the interaction term (OR=0.63) attenuates this in obese patients. The joint Wald test was skipped because penalized estimation was used, so formal statistical significance cannot be assessed for these interactions.</w:t>
      </w:r>
    </w:p>
    <w:p>
      <w:pPr>
        <w:spacing w:before="60" w:after="120"/>
      </w:pPr>
      <w:r>
        <w:rPr>
          <w:rFonts w:ascii="Arial" w:cs="Arial" w:eastAsia="Arial" w:hAnsi="Arial"/>
          <w:b/>
          <w:bCs/>
          <w:color w:val="D4880F"/>
          <w:sz w:val="22"/>
          <w:szCs w:val="22"/>
        </w:rPr>
        <w:t xml:space="preserve">⚠ </w:t>
      </w:r>
      <w:r>
        <w:rPr>
          <w:rFonts w:ascii="Arial" w:cs="Arial" w:eastAsia="Arial" w:hAnsi="Arial"/>
          <w:i/>
          <w:iCs/>
          <w:color w:val="D4880F"/>
          <w:sz w:val="22"/>
          <w:szCs w:val="22"/>
        </w:rPr>
        <w:t xml:space="preserve">Penalized model: CIs and p-values not available. Interpret point estimates directionally only.</w:t>
      </w:r>
    </w:p>
    <w:p>
      <w:r>
        <w:br w:type="page"/>
      </w:r>
    </w:p>
    <w:p>
      <w:pPr>
        <w:pStyle w:val="Heading1"/>
      </w:pPr>
      <w:r>
        <w:rPr>
          <w:rFonts w:ascii="Arial" w:cs="Arial" w:eastAsia="Arial" w:hAnsi="Arial"/>
        </w:rPr>
        <w:t xml:space="preserve">Stratified Analyses by BMI Category</w:t>
      </w:r>
    </w:p>
    <w:p>
      <w:pPr>
        <w:pStyle w:val="Heading2"/>
      </w:pPr>
      <w:r>
        <w:rPr>
          <w:rFonts w:ascii="Arial" w:cs="Arial" w:eastAsia="Arial" w:hAnsi="Arial"/>
        </w:rPr>
        <w:t xml:space="preserve">BMI &lt; 30 (Non-Obese)</w:t>
      </w:r>
    </w:p>
    <w:p>
      <w:pPr>
        <w:spacing w:after="120"/>
      </w:pPr>
      <w:r>
        <w:rPr>
          <w:rFonts w:ascii="Arial" w:cs="Arial" w:eastAsia="Arial" w:hAnsi="Arial"/>
          <w:b w:val="false"/>
          <w:bCs w:val="false"/>
          <w:sz w:val="22"/>
          <w:szCs w:val="22"/>
        </w:rPr>
        <w:t xml:space="preserve">Penalized logistic regression, N=2,115; 108 events (5.1%). EPV=9.8 (below threshold of 10).</w:t>
      </w:r>
    </w:p>
    <w:p>
      <w:pPr>
        <w:spacing w:after="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600"/>
      </w:tblGrid>
      <w:tr>
        <w:trPr>
          <w:tblHeader/>
        </w:trPr>
        <w:tc>
          <w:tcPr>
            <w:tcW w:type="dxa" w:w="40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Term</w:t>
            </w:r>
          </w:p>
        </w:tc>
        <w:tc>
          <w:tcPr>
            <w:tcW w:type="dxa" w:w="16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Coef</w:t>
            </w:r>
          </w:p>
        </w:tc>
        <w:tc>
          <w:tcPr>
            <w:tcW w:type="dxa" w:w="16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OR</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Intercept</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-4.416</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0.012</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 vs Metformin</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-0.463</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0.630</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Combo vs Metformin</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0.540</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1.717</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Female vs Male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0.515</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1.674</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 sex vs Male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0.838</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2.313</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Black/AA vs White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0.177</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1.194</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Asian vs White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0.216</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1.242</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 race vs White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-0.047</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0.954</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Not Hispanic vs Hispanic</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0.137</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1.147</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Unknown ethnicity vs Hispanic</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0.616</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1.851</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Age at index</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0.017</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1.017</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BMI (centered)</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-0.012</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0.988</w:t>
            </w:r>
          </w:p>
        </w:tc>
      </w:tr>
    </w:tbl>
    <w:p>
      <w:pPr>
        <w:spacing w:after="80"/>
      </w:pPr>
    </w:p>
    <w:p>
      <w:pPr>
        <w:spacing w:before="60" w:after="120"/>
      </w:pPr>
      <w:r>
        <w:rPr>
          <w:rFonts w:ascii="Arial" w:cs="Arial" w:eastAsia="Arial" w:hAnsi="Arial"/>
          <w:b/>
          <w:bCs/>
          <w:color w:val="D4880F"/>
          <w:sz w:val="22"/>
          <w:szCs w:val="22"/>
        </w:rPr>
        <w:t xml:space="preserve">⚠ </w:t>
      </w:r>
      <w:r>
        <w:rPr>
          <w:rFonts w:ascii="Arial" w:cs="Arial" w:eastAsia="Arial" w:hAnsi="Arial"/>
          <w:i/>
          <w:iCs/>
          <w:color w:val="D4880F"/>
          <w:sz w:val="22"/>
          <w:szCs w:val="22"/>
        </w:rPr>
        <w:t xml:space="preserve">Low EPV warning (9.8 &lt; 10) and tiny cells for GLP-1 only and combo in the BMI&lt;30 stratum. These estimates are unstable.</w:t>
      </w:r>
    </w:p>
    <w:p>
      <w:pPr>
        <w:spacing w:after="120"/>
      </w:pPr>
      <w:r>
        <w:rPr>
          <w:rFonts w:ascii="Arial" w:cs="Arial" w:eastAsia="Arial" w:hAnsi="Arial"/>
          <w:b w:val="false"/>
          <w:bCs w:val="false"/>
          <w:sz w:val="22"/>
          <w:szCs w:val="22"/>
        </w:rPr>
        <w:t xml:space="preserve">Explanation: Among non-obese patients (BMI&lt;30), GLP-1 RA showed a point estimate suggesting lower spine outcome risk (OR=0.63) while combination therapy suggested higher risk (OR=1.72). However, the events-per-variable ratio was below the recommended threshold of 10 (EPV=9.8), and tiny cell warnings were flagged for GLP-1 and combo groups, meaning these estimates are highly unstable and should not be interpreted as reliable. Female sex showed a stronger association in this stratum (OR=1.67).</w:t>
      </w:r>
    </w:p>
    <w:p>
      <w:pPr>
        <w:spacing w:after="80"/>
      </w:pPr>
    </w:p>
    <w:p>
      <w:pPr>
        <w:pStyle w:val="Heading2"/>
      </w:pPr>
      <w:r>
        <w:rPr>
          <w:rFonts w:ascii="Arial" w:cs="Arial" w:eastAsia="Arial" w:hAnsi="Arial"/>
        </w:rPr>
        <w:t xml:space="preserve">BMI ≥ 30 (Obese)</w:t>
      </w:r>
    </w:p>
    <w:p>
      <w:pPr>
        <w:spacing w:after="120"/>
      </w:pPr>
      <w:r>
        <w:rPr>
          <w:rFonts w:ascii="Arial" w:cs="Arial" w:eastAsia="Arial" w:hAnsi="Arial"/>
          <w:b w:val="false"/>
          <w:bCs w:val="false"/>
          <w:sz w:val="22"/>
          <w:szCs w:val="22"/>
        </w:rPr>
        <w:t xml:space="preserve">Penalized logistic regression, N=4,870; 312 events (6.4%). EPV=28.4.</w:t>
      </w:r>
    </w:p>
    <w:p>
      <w:pPr>
        <w:spacing w:after="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600"/>
      </w:tblGrid>
      <w:tr>
        <w:trPr>
          <w:tblHeader/>
        </w:trPr>
        <w:tc>
          <w:tcPr>
            <w:tcW w:type="dxa" w:w="40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Term</w:t>
            </w:r>
          </w:p>
        </w:tc>
        <w:tc>
          <w:tcPr>
            <w:tcW w:type="dxa" w:w="16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Coef</w:t>
            </w:r>
          </w:p>
        </w:tc>
        <w:tc>
          <w:tcPr>
            <w:tcW w:type="dxa" w:w="16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OR</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Intercept</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-3.823</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0.022</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 vs Metformin</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0.139</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1.149</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Combo vs Metformin</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0.089</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1.093</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Female vs Male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0.085</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1.089</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 sex vs Male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0.070</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1.072</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Black/AA vs White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0.033</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1.033</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Asian vs White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-6.831</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0.001</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 race vs White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0.184</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1.202</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Not Hispanic vs Hispanic</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0.357</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1.429</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Unknown ethnicity vs Hispanic</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0.155</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1.167</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Age at index</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0.012</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1.012</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BMI (centered)</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0.006</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1.006</w:t>
            </w:r>
          </w:p>
        </w:tc>
      </w:tr>
    </w:tbl>
    <w:p>
      <w:pPr>
        <w:spacing w:after="80"/>
      </w:pPr>
    </w:p>
    <w:p>
      <w:pPr>
        <w:spacing w:before="60" w:after="120"/>
      </w:pPr>
      <w:r>
        <w:rPr>
          <w:rFonts w:ascii="Arial" w:cs="Arial" w:eastAsia="Arial" w:hAnsi="Arial"/>
          <w:b/>
          <w:bCs/>
          <w:color w:val="D4880F"/>
          <w:sz w:val="22"/>
          <w:szCs w:val="22"/>
        </w:rPr>
        <w:t xml:space="preserve">⚠ </w:t>
      </w:r>
      <w:r>
        <w:rPr>
          <w:rFonts w:ascii="Arial" w:cs="Arial" w:eastAsia="Arial" w:hAnsi="Arial"/>
          <w:i/>
          <w:iCs/>
          <w:color w:val="D4880F"/>
          <w:sz w:val="22"/>
          <w:szCs w:val="22"/>
        </w:rPr>
        <w:t xml:space="preserve">Asian coefficient (-6.831, OR=0.001) is extreme, likely due to sparse/zero events among Asian obese patients. This is an artifact of the penalized estimation.</w:t>
      </w:r>
    </w:p>
    <w:p>
      <w:pPr>
        <w:spacing w:after="120"/>
      </w:pPr>
      <w:r>
        <w:rPr>
          <w:rFonts w:ascii="Arial" w:cs="Arial" w:eastAsia="Arial" w:hAnsi="Arial"/>
          <w:b w:val="false"/>
          <w:bCs w:val="false"/>
          <w:sz w:val="22"/>
          <w:szCs w:val="22"/>
        </w:rPr>
        <w:t xml:space="preserve">Explanation: Among obese patients (BMI≥30), neither GLP-1 RA (OR=1.15) nor combination therapy (OR=1.09) showed meaningful associations with the spine outcome compared to metformin. The sex difference was attenuated in the obese stratum (OR=1.09) compared to the non-obese stratum (OR=1.67). The extreme coefficient for Asian race (OR=0.001) is a penalization artifact from very few or zero events in that cell and should be disregarded. EPV was adequate (28.4) for this stratum.</w:t>
      </w:r>
    </w:p>
    <w:p>
      <w:r>
        <w:br w:type="page"/>
      </w:r>
    </w:p>
    <w:p>
      <w:pPr>
        <w:pStyle w:val="Heading1"/>
      </w:pPr>
      <w:r>
        <w:rPr>
          <w:rFonts w:ascii="Arial" w:cs="Arial" w:eastAsia="Arial" w:hAnsi="Arial"/>
        </w:rPr>
        <w:t xml:space="preserve">Interaction Analysis: Continuous BMI</w:t>
      </w:r>
    </w:p>
    <w:p>
      <w:pPr>
        <w:spacing w:after="120"/>
      </w:pPr>
      <w:r>
        <w:rPr>
          <w:rFonts w:ascii="Arial" w:cs="Arial" w:eastAsia="Arial" w:hAnsi="Arial"/>
          <w:b w:val="false"/>
          <w:bCs w:val="false"/>
          <w:sz w:val="22"/>
          <w:szCs w:val="22"/>
        </w:rPr>
        <w:t xml:space="preserve">Penalized logistic regression with exposure×continuous BMI interaction terms. N=6,985; 420 events; 14 parameters; EPV=32.3.</w:t>
      </w:r>
    </w:p>
    <w:p>
      <w:pPr>
        <w:spacing w:after="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600"/>
      </w:tblGrid>
      <w:tr>
        <w:trPr>
          <w:tblHeader/>
        </w:trPr>
        <w:tc>
          <w:tcPr>
            <w:tcW w:type="dxa" w:w="40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Term</w:t>
            </w:r>
          </w:p>
        </w:tc>
        <w:tc>
          <w:tcPr>
            <w:tcW w:type="dxa" w:w="16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Coef</w:t>
            </w:r>
          </w:p>
        </w:tc>
        <w:tc>
          <w:tcPr>
            <w:tcW w:type="dxa" w:w="16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OR</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Intercept</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-3.997</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0.018</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 vs Metformin</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-0.073</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0.930</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Combo vs Metformin</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-0.160</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0.852</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Female vs Male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0.215</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1.240</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 sex vs Male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0.331</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1.392</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Black/AA vs White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Asian vs White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 race vs White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Not Hispanic vs Hispanic</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Unknown ethnicity vs Hispanic</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Age at index</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BMI (centered)</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r>
      <w:tr>
        <w:tc>
          <w:tcPr>
            <w:tcW w:type="dxa" w:w="4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 × BMI</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c>
          <w:tcPr>
            <w:tcW w:type="dxa" w:w="1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r>
      <w:tr>
        <w:tc>
          <w:tcPr>
            <w:tcW w:type="dxa" w:w="4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Combo × BMI</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c>
          <w:tcPr>
            <w:tcW w:type="dxa" w:w="1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t>
            </w:r>
          </w:p>
        </w:tc>
      </w:tr>
    </w:tbl>
    <w:p>
      <w:pPr>
        <w:spacing w:after="80"/>
      </w:pPr>
    </w:p>
    <w:p>
      <w:pPr>
        <w:spacing w:after="120"/>
      </w:pPr>
      <w:r>
        <w:rPr>
          <w:rFonts w:ascii="Arial" w:cs="Arial" w:eastAsia="Arial" w:hAnsi="Arial"/>
          <w:b w:val="false"/>
          <w:bCs w:val="false"/>
          <w:sz w:val="22"/>
          <w:szCs w:val="22"/>
        </w:rPr>
        <w:t xml:space="preserve">Explanation: The continuous BMI interaction model treated BMI as a continuous moderator rather than a binary (obese/non-obese) threshold. Main effects for GLP-1 RA (OR=0.93) and combo (OR=0.85) were both slightly below 1.0, suggesting no increased risk at the mean BMI. The interaction terms (available in the full 81-row interaction_results.csv) would indicate whether the treatment effect changes per unit increase in BMI. This model provides a more nuanced view of BMI as an effect modifier compared to the binary obesity interaction model. Full coefficients for race, ethnicity, age, BMI, and interaction terms are available in the exported interaction_results.csv file (81 rows).</w:t>
      </w:r>
    </w:p>
    <w:p>
      <w:pPr>
        <w:spacing w:before="60" w:after="120"/>
      </w:pPr>
      <w:r>
        <w:rPr>
          <w:rFonts w:ascii="Arial" w:cs="Arial" w:eastAsia="Arial" w:hAnsi="Arial"/>
          <w:b/>
          <w:bCs/>
          <w:color w:val="D4880F"/>
          <w:sz w:val="22"/>
          <w:szCs w:val="22"/>
        </w:rPr>
        <w:t xml:space="preserve">⚠ </w:t>
      </w:r>
      <w:r>
        <w:rPr>
          <w:rFonts w:ascii="Arial" w:cs="Arial" w:eastAsia="Arial" w:hAnsi="Arial"/>
          <w:i/>
          <w:iCs/>
          <w:color w:val="D4880F"/>
          <w:sz w:val="22"/>
          <w:szCs w:val="22"/>
        </w:rPr>
        <w:t xml:space="preserve">Partial output shown. The full interaction_results.csv contains 81 rows across all interaction models including stratified results.</w:t>
      </w:r>
    </w:p>
    <w:p>
      <w:r>
        <w:br w:type="page"/>
      </w:r>
    </w:p>
    <w:p>
      <w:pPr>
        <w:pStyle w:val="Heading1"/>
      </w:pPr>
      <w:r>
        <w:rPr>
          <w:rFonts w:ascii="Arial" w:cs="Arial" w:eastAsia="Arial" w:hAnsi="Arial"/>
        </w:rPr>
        <w:t xml:space="preserve">Logistic Model Diagnostics</w:t>
      </w:r>
    </w:p>
    <w:p>
      <w:pPr>
        <w:spacing w:after="120"/>
      </w:pPr>
      <w:r>
        <w:rPr>
          <w:rFonts w:ascii="Arial" w:cs="Arial" w:eastAsia="Arial" w:hAnsi="Arial"/>
          <w:b w:val="false"/>
          <w:bCs w:val="false"/>
          <w:sz w:val="22"/>
          <w:szCs w:val="22"/>
        </w:rPr>
        <w:t xml:space="preserve">Event counts, event rates, and events-per-variable (EPV) for all logistic regression models run in the pipeline. 16 rows were suppressed due to n&lt;20 policy.</w:t>
      </w:r>
    </w:p>
    <w:p>
      <w:pPr>
        <w:spacing w:after="8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100"/>
        <w:gridCol w:w="700"/>
        <w:gridCol w:w="700"/>
        <w:gridCol w:w="900"/>
        <w:gridCol w:w="900"/>
        <w:gridCol w:w="900"/>
      </w:tblGrid>
      <w:tr>
        <w:trPr>
          <w:tblHeader/>
        </w:trPr>
        <w:tc>
          <w:tcPr>
            <w:tcW w:type="dxa" w:w="21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Analysis</w:t>
            </w:r>
          </w:p>
        </w:tc>
        <w:tc>
          <w:tcPr>
            <w:tcW w:type="dxa" w:w="9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Scope</w:t>
            </w:r>
          </w:p>
        </w:tc>
        <w:tc>
          <w:tcPr>
            <w:tcW w:type="dxa" w:w="11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Level</w:t>
            </w:r>
          </w:p>
        </w:tc>
        <w:tc>
          <w:tcPr>
            <w:tcW w:type="dxa" w:w="7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N</w:t>
            </w:r>
          </w:p>
        </w:tc>
        <w:tc>
          <w:tcPr>
            <w:tcW w:type="dxa" w:w="7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Events</w:t>
            </w:r>
          </w:p>
        </w:tc>
        <w:tc>
          <w:tcPr>
            <w:tcW w:type="dxa" w:w="9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Non-Events</w:t>
            </w:r>
          </w:p>
        </w:tc>
        <w:tc>
          <w:tcPr>
            <w:tcW w:type="dxa" w:w="9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Event Rate</w:t>
            </w:r>
          </w:p>
        </w:tc>
        <w:tc>
          <w:tcPr>
            <w:tcW w:type="dxa" w:w="9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Parameters</w:t>
            </w:r>
          </w:p>
        </w:tc>
      </w:tr>
      <w:tr>
        <w:tc>
          <w:tcPr>
            <w:tcW w:type="dxa" w:w="2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BMI-present adjusted</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10,646</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601</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10,045</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5.65%</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w:t>
            </w:r>
          </w:p>
        </w:tc>
      </w:tr>
      <w:tr>
        <w:tc>
          <w:tcPr>
            <w:tcW w:type="dxa" w:w="2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BMI-present adjusted</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By exposure</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Metformin</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9,643</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535</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9,108</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5.55%</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w:t>
            </w:r>
          </w:p>
        </w:tc>
      </w:tr>
      <w:tr>
        <w:tc>
          <w:tcPr>
            <w:tcW w:type="dxa" w:w="2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BMI-present adjusted</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By exposure</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707</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47</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660</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6.65%</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w:t>
            </w:r>
          </w:p>
        </w:tc>
      </w:tr>
      <w:tr>
        <w:tc>
          <w:tcPr>
            <w:tcW w:type="dxa" w:w="2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Pattern mixture δ=-2</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10,646</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601</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10,045</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5.65%</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w:t>
            </w:r>
          </w:p>
        </w:tc>
      </w:tr>
      <w:tr>
        <w:tc>
          <w:tcPr>
            <w:tcW w:type="dxa" w:w="2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Pattern mixture δ=+2</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10,646</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601</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10,045</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5.65%</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w:t>
            </w:r>
          </w:p>
        </w:tc>
      </w:tr>
      <w:tr>
        <w:tc>
          <w:tcPr>
            <w:tcW w:type="dxa" w:w="2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Pattern mixture δ=+5</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10,646</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601</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10,045</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5.65%</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w:t>
            </w:r>
          </w:p>
        </w:tc>
      </w:tr>
      <w:tr>
        <w:tc>
          <w:tcPr>
            <w:tcW w:type="dxa" w:w="2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Main HC3</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6,985</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420</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6,565</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6.01%</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w:t>
            </w:r>
          </w:p>
        </w:tc>
      </w:tr>
      <w:tr>
        <w:tc>
          <w:tcPr>
            <w:tcW w:type="dxa" w:w="2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Main HC3</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By exposure</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Metformin</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6,208</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368</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5,840</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5.93%</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w:t>
            </w:r>
          </w:p>
        </w:tc>
      </w:tr>
      <w:tr>
        <w:tc>
          <w:tcPr>
            <w:tcW w:type="dxa" w:w="2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Main HC3</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By exposure</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568</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37</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531</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6.51%</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w:t>
            </w:r>
          </w:p>
        </w:tc>
      </w:tr>
      <w:tr>
        <w:tc>
          <w:tcPr>
            <w:tcW w:type="dxa" w:w="2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Interaction obesity</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6,985</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420</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6,565</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6.01%</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15</w:t>
            </w:r>
          </w:p>
        </w:tc>
      </w:tr>
      <w:tr>
        <w:tc>
          <w:tcPr>
            <w:tcW w:type="dxa" w:w="2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Stratified BMI&lt;30</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2,115</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108</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2,007</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5.11%</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w:t>
            </w:r>
          </w:p>
        </w:tc>
      </w:tr>
      <w:tr>
        <w:tc>
          <w:tcPr>
            <w:tcW w:type="dxa" w:w="2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Stratified BMI≥30</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4,870</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312</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4,558</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6.41%</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w:t>
            </w:r>
          </w:p>
        </w:tc>
      </w:tr>
      <w:tr>
        <w:tc>
          <w:tcPr>
            <w:tcW w:type="dxa" w:w="2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Continuous BMI interaction</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6,985</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420</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6,565</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6.01%</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w:t>
            </w:r>
          </w:p>
        </w:tc>
      </w:tr>
      <w:tr>
        <w:tc>
          <w:tcPr>
            <w:tcW w:type="dxa" w:w="2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Utilization adjusted</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6,985</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420</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6,565</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6.01%</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16</w:t>
            </w:r>
          </w:p>
        </w:tc>
      </w:tr>
      <w:tr>
        <w:tc>
          <w:tcPr>
            <w:tcW w:type="dxa" w:w="2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Utilization tertile low</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2,329</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124</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2,205</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5.32%</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w:t>
            </w:r>
          </w:p>
        </w:tc>
      </w:tr>
      <w:tr>
        <w:tc>
          <w:tcPr>
            <w:tcW w:type="dxa" w:w="2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Utilization tertile mid</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2,328</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120</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2,205</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5.15%</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w:t>
            </w:r>
          </w:p>
        </w:tc>
      </w:tr>
      <w:tr>
        <w:tc>
          <w:tcPr>
            <w:tcW w:type="dxa" w:w="2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Utilization tertile high</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2,328</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176</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2,152</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7.56%</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w:t>
            </w:r>
          </w:p>
        </w:tc>
      </w:tr>
    </w:tbl>
    <w:p>
      <w:pPr>
        <w:spacing w:after="80"/>
      </w:pPr>
    </w:p>
    <w:p>
      <w:pPr>
        <w:spacing w:before="60" w:after="120"/>
      </w:pPr>
      <w:r>
        <w:rPr>
          <w:rFonts w:ascii="Arial" w:cs="Arial" w:eastAsia="Arial" w:hAnsi="Arial"/>
          <w:b/>
          <w:bCs/>
          <w:color w:val="D4880F"/>
          <w:sz w:val="22"/>
          <w:szCs w:val="22"/>
        </w:rPr>
        <w:t xml:space="preserve">⚠ </w:t>
      </w:r>
      <w:r>
        <w:rPr>
          <w:rFonts w:ascii="Arial" w:cs="Arial" w:eastAsia="Arial" w:hAnsi="Arial"/>
          <w:i/>
          <w:iCs/>
          <w:color w:val="D4880F"/>
          <w:sz w:val="22"/>
          <w:szCs w:val="22"/>
        </w:rPr>
        <w:t xml:space="preserve">The stratified BMI&lt;30 model had EPV=9.8 (below the recommended threshold of 10), with tiny cell warnings for GLP-1 and combo groups.</w:t>
      </w:r>
    </w:p>
    <w:p>
      <w:pPr>
        <w:spacing w:after="120"/>
      </w:pPr>
      <w:r>
        <w:rPr>
          <w:rFonts w:ascii="Arial" w:cs="Arial" w:eastAsia="Arial" w:hAnsi="Arial"/>
          <w:b w:val="false"/>
          <w:bCs w:val="false"/>
          <w:sz w:val="22"/>
          <w:szCs w:val="22"/>
        </w:rPr>
        <w:t xml:space="preserve">Explanation: This diagnostic table shows the event counts and model complexity for every logistic model. The GLP-1 RA group had a consistently higher crude event rate (6.5–6.6%) compared to metformin (5.5–5.9%) across model specifications, though this difference was not statistically significant after covariate adjustment. The utilization tertile analysis shows that high-utilization patients had a notably higher event rate (7.56%) compared to low (5.32%) and medium (5.15%) tertiles, consistent with surveillance bias. All models except the BMI&lt;30 stratified analysis had adequate EPV (&gt;10). Pattern-mixture models used the same sample (n=10,646) with different delta adjustments to test sensitivity to informative BMI missingness.</w:t>
      </w:r>
    </w:p>
    <w:p>
      <w:r>
        <w:br w:type="page"/>
      </w:r>
    </w:p>
    <w:p>
      <w:pPr>
        <w:pStyle w:val="Heading1"/>
      </w:pPr>
      <w:r>
        <w:rPr>
          <w:rFonts w:ascii="Arial" w:cs="Arial" w:eastAsia="Arial" w:hAnsi="Arial"/>
        </w:rPr>
        <w:t xml:space="preserve">Cox Proportional Hazards Model Diagnostics</w:t>
      </w:r>
    </w:p>
    <w:p>
      <w:pPr>
        <w:spacing w:after="120"/>
      </w:pPr>
      <w:r>
        <w:rPr>
          <w:rFonts w:ascii="Arial" w:cs="Arial" w:eastAsia="Arial" w:hAnsi="Arial"/>
          <w:b w:val="false"/>
          <w:bCs w:val="false"/>
          <w:sz w:val="22"/>
          <w:szCs w:val="22"/>
        </w:rPr>
        <w:t xml:space="preserve">Event counts and person-time for the Cox time-to-spine-event model.</w:t>
      </w:r>
    </w:p>
    <w:p>
      <w:pPr>
        <w:spacing w:after="8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100"/>
        <w:gridCol w:w="900"/>
        <w:gridCol w:w="1100"/>
        <w:gridCol w:w="1000"/>
        <w:gridCol w:w="1700"/>
      </w:tblGrid>
      <w:tr>
        <w:trPr>
          <w:tblHeader/>
        </w:trPr>
        <w:tc>
          <w:tcPr>
            <w:tcW w:type="dxa" w:w="13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Scope</w:t>
            </w:r>
          </w:p>
        </w:tc>
        <w:tc>
          <w:tcPr>
            <w:tcW w:type="dxa" w:w="15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Level</w:t>
            </w:r>
          </w:p>
        </w:tc>
        <w:tc>
          <w:tcPr>
            <w:tcW w:type="dxa" w:w="11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N</w:t>
            </w:r>
          </w:p>
        </w:tc>
        <w:tc>
          <w:tcPr>
            <w:tcW w:type="dxa" w:w="9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Events</w:t>
            </w:r>
          </w:p>
        </w:tc>
        <w:tc>
          <w:tcPr>
            <w:tcW w:type="dxa" w:w="11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Non-Events</w:t>
            </w:r>
          </w:p>
        </w:tc>
        <w:tc>
          <w:tcPr>
            <w:tcW w:type="dxa" w:w="10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Event Rate</w:t>
            </w:r>
          </w:p>
        </w:tc>
        <w:tc>
          <w:tcPr>
            <w:tcW w:type="dxa" w:w="17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Person-Time (Days)</w:t>
            </w:r>
          </w:p>
        </w:tc>
      </w:tr>
      <w:tr>
        <w:tc>
          <w:tcPr>
            <w:tcW w:type="dxa" w:w="13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13,448</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677</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12,771</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5.03%</w:t>
            </w:r>
          </w:p>
        </w:tc>
        <w:tc>
          <w:tcPr>
            <w:tcW w:type="dxa" w:w="1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8,731,943</w:t>
            </w:r>
          </w:p>
        </w:tc>
      </w:tr>
      <w:tr>
        <w:tc>
          <w:tcPr>
            <w:tcW w:type="dxa" w:w="13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By exposure</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Metformin only</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11,540</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590</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10,950</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5.11%</w:t>
            </w:r>
          </w:p>
        </w:tc>
        <w:tc>
          <w:tcPr>
            <w:tcW w:type="dxa" w:w="1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7,703,326</w:t>
            </w:r>
          </w:p>
        </w:tc>
      </w:tr>
      <w:tr>
        <w:tc>
          <w:tcPr>
            <w:tcW w:type="dxa" w:w="13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By exposure</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1,436</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63</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1,373</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4.39%</w:t>
            </w:r>
          </w:p>
        </w:tc>
        <w:tc>
          <w:tcPr>
            <w:tcW w:type="dxa" w:w="1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751,977</w:t>
            </w:r>
          </w:p>
        </w:tc>
      </w:tr>
      <w:tr>
        <w:tc>
          <w:tcPr>
            <w:tcW w:type="dxa" w:w="13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By exposure</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Combo</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472</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24</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448</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5.08%</w:t>
            </w:r>
          </w:p>
        </w:tc>
        <w:tc>
          <w:tcPr>
            <w:tcW w:type="dxa" w:w="1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276,640</w:t>
            </w:r>
          </w:p>
        </w:tc>
      </w:tr>
    </w:tbl>
    <w:p>
      <w:pPr>
        <w:spacing w:after="80"/>
      </w:pPr>
    </w:p>
    <w:p>
      <w:pPr>
        <w:spacing w:after="120"/>
      </w:pPr>
      <w:r>
        <w:rPr>
          <w:rFonts w:ascii="Arial" w:cs="Arial" w:eastAsia="Arial" w:hAnsi="Arial"/>
          <w:b w:val="false"/>
          <w:bCs w:val="false"/>
          <w:sz w:val="22"/>
          <w:szCs w:val="22"/>
        </w:rPr>
        <w:t xml:space="preserve">Explanation: The Cox model included 13,448 patients (slightly fewer than the full 13,524 due to missing covariates needed for the time-to-event model) with 677 total spine events over 8.7 million person-days of follow-up. Notably, the GLP-1 RA group had the lowest crude event rate (4.39%) compared to metformin (5.11%) and combination (5.08%). Person-time was substantially less for GLP-1 RA (752K days) and combination (277K days) compared to metformin (7.7M days), reflecting both smaller group sizes and potentially shorter follow-up.</w:t>
      </w:r>
    </w:p>
    <w:p>
      <w:pPr>
        <w:spacing w:before="60" w:after="120"/>
      </w:pPr>
      <w:r>
        <w:rPr>
          <w:rFonts w:ascii="Arial" w:cs="Arial" w:eastAsia="Arial" w:hAnsi="Arial"/>
          <w:b/>
          <w:bCs/>
          <w:color w:val="D4880F"/>
          <w:sz w:val="22"/>
          <w:szCs w:val="22"/>
        </w:rPr>
        <w:t xml:space="preserve">⚠ </w:t>
      </w:r>
      <w:r>
        <w:rPr>
          <w:rFonts w:ascii="Arial" w:cs="Arial" w:eastAsia="Arial" w:hAnsi="Arial"/>
          <w:i/>
          <w:iCs/>
          <w:color w:val="D4880F"/>
          <w:sz w:val="22"/>
          <w:szCs w:val="22"/>
        </w:rPr>
        <w:t xml:space="preserve">A convergence warning was issued during Cox model fitting, which may affect the reliability of some coefficient estimates, particularly for rare covariates.</w:t>
      </w:r>
    </w:p>
    <w:p>
      <w:r>
        <w:br w:type="page"/>
      </w:r>
    </w:p>
    <w:p>
      <w:pPr>
        <w:pStyle w:val="Heading1"/>
      </w:pPr>
      <w:r>
        <w:rPr>
          <w:rFonts w:ascii="Arial" w:cs="Arial" w:eastAsia="Arial" w:hAnsi="Arial"/>
        </w:rPr>
        <w:t xml:space="preserve">Cox Proportional Hazards: Time to Spine Event</w:t>
      </w:r>
    </w:p>
    <w:p>
      <w:pPr>
        <w:spacing w:after="120"/>
      </w:pPr>
      <w:r>
        <w:rPr>
          <w:rFonts w:ascii="Arial" w:cs="Arial" w:eastAsia="Arial" w:hAnsi="Arial"/>
          <w:b w:val="false"/>
          <w:bCs w:val="false"/>
          <w:sz w:val="22"/>
          <w:szCs w:val="22"/>
        </w:rPr>
        <w:t xml:space="preserve">Fully adjusted Cox model for time-to-first-spine-event. N=13,448; 677 events; 8,731,943 person-days.</w:t>
      </w:r>
    </w:p>
    <w:p>
      <w:pPr>
        <w:spacing w:after="80"/>
      </w:pP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tblGrid>
      <w:tr>
        <w:trPr>
          <w:tblHeader/>
        </w:trPr>
        <w:tc>
          <w:tcPr>
            <w:tcW w:type="dxa" w:w="36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Term</w:t>
            </w:r>
          </w:p>
        </w:tc>
        <w:tc>
          <w:tcPr>
            <w:tcW w:type="dxa" w:w="14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Coef</w:t>
            </w:r>
          </w:p>
        </w:tc>
        <w:tc>
          <w:tcPr>
            <w:tcW w:type="dxa" w:w="14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HR</w:t>
            </w:r>
          </w:p>
        </w:tc>
      </w:tr>
      <w:tr>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Age at index</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0.0164</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1.0165</w:t>
            </w:r>
          </w:p>
        </w:tc>
      </w:tr>
      <w:tr>
        <w:tc>
          <w:tcPr>
            <w:tcW w:type="dxa" w:w="3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BMI</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0.0087</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1.0088</w:t>
            </w:r>
          </w:p>
        </w:tc>
      </w:tr>
      <w:tr>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HbA1c recent</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-0.0529</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0.9484</w:t>
            </w:r>
          </w:p>
        </w:tc>
      </w:tr>
      <w:tr>
        <w:tc>
          <w:tcPr>
            <w:tcW w:type="dxa" w:w="3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Diabetes duration (days)</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-5.08e-07</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1.0000</w:t>
            </w:r>
          </w:p>
        </w:tc>
      </w:tr>
      <w:tr>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Insulin use baseline</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-0.2421</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0.7850</w:t>
            </w:r>
          </w:p>
        </w:tc>
      </w:tr>
      <w:tr>
        <w:tc>
          <w:tcPr>
            <w:tcW w:type="dxa" w:w="3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Neuropathy baseline</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-0.0230</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0.9772</w:t>
            </w:r>
          </w:p>
        </w:tc>
      </w:tr>
      <w:tr>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Nephropathy baseline</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-26.99</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1.89e-12</w:t>
            </w:r>
          </w:p>
        </w:tc>
      </w:tr>
      <w:tr>
        <w:tc>
          <w:tcPr>
            <w:tcW w:type="dxa" w:w="3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Retinopathy baseline</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-138.27</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8.95e-61</w:t>
            </w:r>
          </w:p>
        </w:tc>
      </w:tr>
      <w:tr>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condition count</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0.0135</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1.0136</w:t>
            </w:r>
          </w:p>
        </w:tc>
      </w:tr>
      <w:tr>
        <w:tc>
          <w:tcPr>
            <w:tcW w:type="dxa" w:w="3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outpatient visits</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0.0009</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1.0009</w:t>
            </w:r>
          </w:p>
        </w:tc>
      </w:tr>
      <w:tr>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spine imaging</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0.0568</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1.0584</w:t>
            </w:r>
          </w:p>
        </w:tc>
      </w:tr>
      <w:tr>
        <w:tc>
          <w:tcPr>
            <w:tcW w:type="dxa" w:w="3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back pain flag</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0.9019</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2.4643</w:t>
            </w:r>
          </w:p>
        </w:tc>
      </w:tr>
      <w:tr>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 (vs Metformin ref)</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0.2652</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1.3037</w:t>
            </w:r>
          </w:p>
        </w:tc>
      </w:tr>
      <w:tr>
        <w:tc>
          <w:tcPr>
            <w:tcW w:type="dxa" w:w="3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Combo (vs Metformin ref)</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0.3731</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1.4522</w:t>
            </w:r>
          </w:p>
        </w:tc>
      </w:tr>
      <w:tr>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Female</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0.0703</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1.0728</w:t>
            </w:r>
          </w:p>
        </w:tc>
      </w:tr>
      <w:tr>
        <w:tc>
          <w:tcPr>
            <w:tcW w:type="dxa" w:w="3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 sex</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-0.3298</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0.7190</w:t>
            </w:r>
          </w:p>
        </w:tc>
      </w:tr>
      <w:tr>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Black/African American</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0.1734</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1.1894</w:t>
            </w:r>
          </w:p>
        </w:tc>
      </w:tr>
      <w:tr>
        <w:tc>
          <w:tcPr>
            <w:tcW w:type="dxa" w:w="3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Asian</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-0.4177</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0.6586</w:t>
            </w:r>
          </w:p>
        </w:tc>
      </w:tr>
      <w:tr>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 race</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0.0513</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1.0526</w:t>
            </w:r>
          </w:p>
        </w:tc>
      </w:tr>
      <w:tr>
        <w:tc>
          <w:tcPr>
            <w:tcW w:type="dxa" w:w="3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Not Hispanic/Latino</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0.0265</w:t>
            </w:r>
          </w:p>
        </w:tc>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1.0269</w:t>
            </w:r>
          </w:p>
        </w:tc>
      </w:tr>
      <w:tr>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Unknown ethnicity</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0.0744</w:t>
            </w:r>
          </w:p>
        </w:tc>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1.0772</w:t>
            </w:r>
          </w:p>
        </w:tc>
      </w:tr>
    </w:tbl>
    <w:p>
      <w:pPr>
        <w:spacing w:after="80"/>
      </w:pPr>
    </w:p>
    <w:p>
      <w:pPr>
        <w:spacing w:before="60" w:after="12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Cox model: GLP-1 RA showed HR=1.30 and combination therapy HR=1.45 for time-to-spine-event compared to metformin. However, CIs and p-values were not available due to the convergence warning, so statistical significance cannot be confirmed.</w:t>
      </w:r>
    </w:p>
    <w:p>
      <w:pPr>
        <w:spacing w:before="60" w:after="12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Strongest predictor: Baseline back pain flag (HR=2.46) was the most powerful predictor of spine events, far exceeding any treatment effect.</w:t>
      </w:r>
    </w:p>
    <w:p>
      <w:pPr>
        <w:spacing w:before="60" w:after="120"/>
      </w:pPr>
      <w:r>
        <w:rPr>
          <w:rFonts w:ascii="Arial" w:cs="Arial" w:eastAsia="Arial" w:hAnsi="Arial"/>
          <w:b/>
          <w:bCs/>
          <w:color w:val="D4880F"/>
          <w:sz w:val="22"/>
          <w:szCs w:val="22"/>
        </w:rPr>
        <w:t xml:space="preserve">⚠ </w:t>
      </w:r>
      <w:r>
        <w:rPr>
          <w:rFonts w:ascii="Arial" w:cs="Arial" w:eastAsia="Arial" w:hAnsi="Arial"/>
          <w:i/>
          <w:iCs/>
          <w:color w:val="D4880F"/>
          <w:sz w:val="22"/>
          <w:szCs w:val="22"/>
        </w:rPr>
        <w:t xml:space="preserve">Extreme coefficients for nephropathy (HR=1.89e-12) and retinopathy (HR=8.95e-61) are artifacts of very rare baseline events combined with model convergence issues. These estimates should be disregarded.</w:t>
      </w:r>
    </w:p>
    <w:p>
      <w:pPr>
        <w:spacing w:after="120"/>
      </w:pPr>
      <w:r>
        <w:rPr>
          <w:rFonts w:ascii="Arial" w:cs="Arial" w:eastAsia="Arial" w:hAnsi="Arial"/>
          <w:b w:val="false"/>
          <w:bCs w:val="false"/>
          <w:sz w:val="22"/>
          <w:szCs w:val="22"/>
        </w:rPr>
        <w:t xml:space="preserve">Explanation: The Cox proportional hazards model estimated adjusted hazard ratios for time-to-first-spine-event. GLP-1 RA monotherapy (HR=1.30) and combination therapy (HR=1.45) both showed point estimates above 1.0 relative to metformin, but confidence intervals and p-values were unavailable due to a convergence warning. Baseline back pain was the strongest predictor (HR=2.46), followed by insulin use at baseline which appeared protective (HR=0.79)—potentially reflecting a healthy-adherer effect or less physical activity. Nephropathy and retinopathy coefficients are extreme artifacts from quasi-complete separation (extremely rare events in the baseline) and model instability, and should not be interpreted. Age (HR=1.02 per year) and BMI (HR=1.01 per unit) were modest continuous predictors.</w:t>
      </w:r>
    </w:p>
    <w:p>
      <w:r>
        <w:br w:type="page"/>
      </w:r>
    </w:p>
    <w:p>
      <w:pPr>
        <w:pStyle w:val="Heading1"/>
      </w:pPr>
      <w:r>
        <w:rPr>
          <w:rFonts w:ascii="Arial" w:cs="Arial" w:eastAsia="Arial" w:hAnsi="Arial"/>
        </w:rPr>
        <w:t xml:space="preserve">Propensity Score Analysis</w:t>
      </w:r>
    </w:p>
    <w:p>
      <w:pPr>
        <w:pStyle w:val="Heading2"/>
      </w:pPr>
      <w:r>
        <w:rPr>
          <w:rFonts w:ascii="Arial" w:cs="Arial" w:eastAsia="Arial" w:hAnsi="Arial"/>
        </w:rPr>
        <w:t xml:space="preserve">Propensity Score Model: GLP-1 Only vs Metformin Only</w:t>
      </w:r>
    </w:p>
    <w:p>
      <w:pPr>
        <w:spacing w:after="120"/>
      </w:pPr>
      <w:r>
        <w:rPr>
          <w:rFonts w:ascii="Arial" w:cs="Arial" w:eastAsia="Arial" w:hAnsi="Arial"/>
          <w:b w:val="false"/>
          <w:bCs w:val="false"/>
          <w:sz w:val="22"/>
          <w:szCs w:val="22"/>
        </w:rPr>
        <w:t xml:space="preserve">Logistic regression propensity model. N=10,350 (707 treated GLP-1, 9,643 control metformin). Mean stabilized weight=0.992.</w:t>
      </w:r>
    </w:p>
    <w:p>
      <w:pPr>
        <w:spacing w:after="80"/>
      </w:pP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1300"/>
        <w:gridCol w:w="1100"/>
      </w:tblGrid>
      <w:tr>
        <w:trPr>
          <w:tblHeader/>
        </w:trPr>
        <w:tc>
          <w:tcPr>
            <w:tcW w:type="dxa" w:w="28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Term</w:t>
            </w:r>
          </w:p>
        </w:tc>
        <w:tc>
          <w:tcPr>
            <w:tcW w:type="dxa" w:w="8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Coef</w:t>
            </w:r>
          </w:p>
        </w:tc>
        <w:tc>
          <w:tcPr>
            <w:tcW w:type="dxa" w:w="8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OR</w:t>
            </w:r>
          </w:p>
        </w:tc>
        <w:tc>
          <w:tcPr>
            <w:tcW w:type="dxa" w:w="13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95% CI</w:t>
            </w:r>
          </w:p>
        </w:tc>
        <w:tc>
          <w:tcPr>
            <w:tcW w:type="dxa" w:w="11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p-value</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Intercept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-5.961</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0.003</w:t>
            </w:r>
          </w:p>
        </w:tc>
        <w:tc>
          <w:tcPr>
            <w:tcW w:type="dxa" w:w="13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0.001–0.005</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5.09e-59</w:t>
            </w:r>
          </w:p>
        </w:tc>
      </w:tr>
      <w:tr>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Female vs Male</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0.539</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1.714</w:t>
            </w:r>
          </w:p>
        </w:tc>
        <w:tc>
          <w:tcPr>
            <w:tcW w:type="dxa" w:w="13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1.442–2.037</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1.01e-09</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 sex vs Male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-0.034</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0.967</w:t>
            </w:r>
          </w:p>
        </w:tc>
        <w:tc>
          <w:tcPr>
            <w:tcW w:type="dxa" w:w="13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0.469–1.992</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0.927</w:t>
            </w:r>
          </w:p>
        </w:tc>
      </w:tr>
      <w:tr>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Black/AA vs White</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-0.356</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0.700</w:t>
            </w:r>
          </w:p>
        </w:tc>
        <w:tc>
          <w:tcPr>
            <w:tcW w:type="dxa" w:w="13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0.572–0.858</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5.67e-04</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Asian vs White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-0.114</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0.893</w:t>
            </w:r>
          </w:p>
        </w:tc>
        <w:tc>
          <w:tcPr>
            <w:tcW w:type="dxa" w:w="13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0.456–1.749</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0.741</w:t>
            </w:r>
          </w:p>
        </w:tc>
      </w:tr>
      <w:tr>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Other/Unknown race vs White</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-0.100</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0.905</w:t>
            </w:r>
          </w:p>
        </w:tc>
        <w:tc>
          <w:tcPr>
            <w:tcW w:type="dxa" w:w="13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0.669–1.225</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0.518</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Not Hispanic vs Hispanic</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0.176</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1.193</w:t>
            </w:r>
          </w:p>
        </w:tc>
        <w:tc>
          <w:tcPr>
            <w:tcW w:type="dxa" w:w="13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0.864–1.648</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0.284</w:t>
            </w:r>
          </w:p>
        </w:tc>
      </w:tr>
      <w:tr>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Unknown ethnicity vs Hispanic</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-0.014</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0.986</w:t>
            </w:r>
          </w:p>
        </w:tc>
        <w:tc>
          <w:tcPr>
            <w:tcW w:type="dxa" w:w="13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0.603–1.615</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0.957</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Age at index</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0.010</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1.010</w:t>
            </w:r>
          </w:p>
        </w:tc>
        <w:tc>
          <w:tcPr>
            <w:tcW w:type="dxa" w:w="13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1.003–1.017</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0.008</w:t>
            </w:r>
          </w:p>
        </w:tc>
      </w:tr>
      <w:tr>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BMI</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0.043</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1.044</w:t>
            </w:r>
          </w:p>
        </w:tc>
        <w:tc>
          <w:tcPr>
            <w:tcW w:type="dxa" w:w="13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1.034–1.055</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1.14e-16</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HbA1c recent</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-2.77e-06</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1.000</w:t>
            </w:r>
          </w:p>
        </w:tc>
        <w:tc>
          <w:tcPr>
            <w:tcW w:type="dxa" w:w="13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1.000–1.000</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0.975</w:t>
            </w:r>
          </w:p>
        </w:tc>
      </w:tr>
      <w:tr>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HbA1c mean year</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3.01e-06</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1.000</w:t>
            </w:r>
          </w:p>
        </w:tc>
        <w:tc>
          <w:tcPr>
            <w:tcW w:type="dxa" w:w="13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1.000–1.000</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0.973</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Diabetes duration (days)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2.73e-04</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1.000</w:t>
            </w:r>
          </w:p>
        </w:tc>
        <w:tc>
          <w:tcPr>
            <w:tcW w:type="dxa" w:w="13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1.000–1.000</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4.40e-28</w:t>
            </w:r>
          </w:p>
        </w:tc>
      </w:tr>
      <w:tr>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Insulin use baseline</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1.226</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3.408</w:t>
            </w:r>
          </w:p>
        </w:tc>
        <w:tc>
          <w:tcPr>
            <w:tcW w:type="dxa" w:w="13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2.877–4.036</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9.19e-46</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Neuropathy baseline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2.272</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9.700</w:t>
            </w:r>
          </w:p>
        </w:tc>
        <w:tc>
          <w:tcPr>
            <w:tcW w:type="dxa" w:w="13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2.656–35.420</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5.86e-04</w:t>
            </w:r>
          </w:p>
        </w:tc>
      </w:tr>
      <w:tr>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Nephropathy baseline</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5.17e-15</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1.000</w:t>
            </w:r>
          </w:p>
        </w:tc>
        <w:tc>
          <w:tcPr>
            <w:tcW w:type="dxa" w:w="13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1.000–1.000</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0.023</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Retinopathy baseline</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0.772</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2.163</w:t>
            </w:r>
          </w:p>
        </w:tc>
        <w:tc>
          <w:tcPr>
            <w:tcW w:type="dxa" w:w="13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0.428–10.930</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0.351</w:t>
            </w:r>
          </w:p>
        </w:tc>
      </w:tr>
      <w:tr>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condition count</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0.007</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1.007</w:t>
            </w:r>
          </w:p>
        </w:tc>
        <w:tc>
          <w:tcPr>
            <w:tcW w:type="dxa" w:w="13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1.002–1.013</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0.006</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outpatient visits</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0.002</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1.002</w:t>
            </w:r>
          </w:p>
        </w:tc>
        <w:tc>
          <w:tcPr>
            <w:tcW w:type="dxa" w:w="13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0.999–1.005</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0.150</w:t>
            </w:r>
          </w:p>
        </w:tc>
      </w:tr>
      <w:tr>
        <w:tc>
          <w:tcPr>
            <w:tcW w:type="dxa" w:w="2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spine imaging</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-0.024</w:t>
            </w:r>
          </w:p>
        </w:tc>
        <w:tc>
          <w:tcPr>
            <w:tcW w:type="dxa" w:w="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0.976</w:t>
            </w:r>
          </w:p>
        </w:tc>
        <w:tc>
          <w:tcPr>
            <w:tcW w:type="dxa" w:w="13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0.892–1.067</w:t>
            </w:r>
          </w:p>
        </w:tc>
        <w:tc>
          <w:tcPr>
            <w:tcW w:type="dxa" w:w="11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0.592</w:t>
            </w:r>
          </w:p>
        </w:tc>
      </w:tr>
      <w:tr>
        <w:tc>
          <w:tcPr>
            <w:tcW w:type="dxa" w:w="2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back pain flag</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0.097</w:t>
            </w:r>
          </w:p>
        </w:tc>
        <w:tc>
          <w:tcPr>
            <w:tcW w:type="dxa" w:w="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1.102</w:t>
            </w:r>
          </w:p>
        </w:tc>
        <w:tc>
          <w:tcPr>
            <w:tcW w:type="dxa" w:w="13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0.862–1.409</w:t>
            </w:r>
          </w:p>
        </w:tc>
        <w:tc>
          <w:tcPr>
            <w:tcW w:type="dxa" w:w="11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0.439</w:t>
            </w:r>
          </w:p>
        </w:tc>
      </w:tr>
    </w:tbl>
    <w:p>
      <w:pPr>
        <w:spacing w:after="80"/>
      </w:pPr>
    </w:p>
    <w:p>
      <w:pPr>
        <w:pStyle w:val="Heading2"/>
      </w:pPr>
      <w:r>
        <w:rPr>
          <w:rFonts w:ascii="Arial" w:cs="Arial" w:eastAsia="Arial" w:hAnsi="Arial"/>
        </w:rPr>
        <w:t xml:space="preserve">IPTW-Weighted Outcome Model</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1200"/>
        <w:gridCol w:w="700"/>
        <w:gridCol w:w="700"/>
        <w:gridCol w:w="700"/>
      </w:tblGrid>
      <w:tr>
        <w:trPr>
          <w:tblHeader/>
        </w:trPr>
        <w:tc>
          <w:tcPr>
            <w:tcW w:type="dxa" w:w="18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Term</w:t>
            </w:r>
          </w:p>
        </w:tc>
        <w:tc>
          <w:tcPr>
            <w:tcW w:type="dxa" w:w="7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Coef</w:t>
            </w:r>
          </w:p>
        </w:tc>
        <w:tc>
          <w:tcPr>
            <w:tcW w:type="dxa" w:w="7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OR</w:t>
            </w:r>
          </w:p>
        </w:tc>
        <w:tc>
          <w:tcPr>
            <w:tcW w:type="dxa" w:w="12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95% CI</w:t>
            </w:r>
          </w:p>
        </w:tc>
        <w:tc>
          <w:tcPr>
            <w:tcW w:type="dxa" w:w="7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p-value</w:t>
            </w:r>
          </w:p>
        </w:tc>
        <w:tc>
          <w:tcPr>
            <w:tcW w:type="dxa" w:w="7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N</w:t>
            </w:r>
          </w:p>
        </w:tc>
        <w:tc>
          <w:tcPr>
            <w:tcW w:type="dxa" w:w="7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Events</w:t>
            </w:r>
          </w:p>
        </w:tc>
      </w:tr>
      <w:tr>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Intercept</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-2.832</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0.059</w:t>
            </w:r>
          </w:p>
        </w:tc>
        <w:tc>
          <w:tcPr>
            <w:tcW w:type="dxa" w:w="1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0.054–0.064</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0.000</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10,350</w:t>
            </w:r>
          </w:p>
        </w:tc>
        <w:tc>
          <w:tcPr>
            <w:tcW w:type="dxa" w:w="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582</w:t>
            </w:r>
          </w:p>
        </w:tc>
      </w:tr>
      <w:tr>
        <w:tc>
          <w:tcPr>
            <w:tcW w:type="dxa" w:w="1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(treat)</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-0.028</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0.972</w:t>
            </w:r>
          </w:p>
        </w:tc>
        <w:tc>
          <w:tcPr>
            <w:tcW w:type="dxa" w:w="1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0.680–1.391</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0.878</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10,350</w:t>
            </w:r>
          </w:p>
        </w:tc>
        <w:tc>
          <w:tcPr>
            <w:tcW w:type="dxa" w:w="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582</w:t>
            </w:r>
          </w:p>
        </w:tc>
      </w:tr>
    </w:tbl>
    <w:p>
      <w:pPr>
        <w:spacing w:after="80"/>
      </w:pPr>
    </w:p>
    <w:p>
      <w:pPr>
        <w:spacing w:before="60" w:after="12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IPTW result: After propensity score weighting, GLP-1 RA showed OR=0.97 (95% CI 0.68–1.39, p=0.878) compared to metformin—essentially null with no evidence of increased or decreased risk.</w:t>
      </w:r>
    </w:p>
    <w:p>
      <w:pPr>
        <w:spacing w:after="120"/>
      </w:pPr>
      <w:r>
        <w:rPr>
          <w:rFonts w:ascii="Arial" w:cs="Arial" w:eastAsia="Arial" w:hAnsi="Arial"/>
          <w:b w:val="false"/>
          <w:bCs w:val="false"/>
          <w:sz w:val="22"/>
          <w:szCs w:val="22"/>
        </w:rPr>
        <w:t xml:space="preserve">Explanation: The propensity score model identified the strongest predictors of GLP-1 RA receipt: insulin use at baseline (OR=3.41, p=9.2e-46), female sex (OR=1.71, p=1.0e-09), BMI (OR=1.04 per unit, p=1.1e-16), diabetes duration (p=4.4e-28), and neuropathy (OR=9.70, p=5.9e-04). After inverse probability of treatment weighting (IPTW), the treatment effect estimate was essentially null (OR=0.97, 95% CI 0.68–1.39, p=0.878). This is consistent with the primary logistic regression and provides additional evidence that GLP-1 RA use is not associated with altered spine outcome risk compared to metformin after accounting for treatment selection.</w:t>
      </w:r>
    </w:p>
    <w:p>
      <w:pPr>
        <w:spacing w:before="60" w:after="120"/>
      </w:pPr>
      <w:r>
        <w:rPr>
          <w:rFonts w:ascii="Arial" w:cs="Arial" w:eastAsia="Arial" w:hAnsi="Arial"/>
          <w:b/>
          <w:bCs/>
          <w:color w:val="D4880F"/>
          <w:sz w:val="22"/>
          <w:szCs w:val="22"/>
        </w:rPr>
        <w:t xml:space="preserve">⚠ </w:t>
      </w:r>
      <w:r>
        <w:rPr>
          <w:rFonts w:ascii="Arial" w:cs="Arial" w:eastAsia="Arial" w:hAnsi="Arial"/>
          <w:i/>
          <w:iCs/>
          <w:color w:val="D4880F"/>
          <w:sz w:val="22"/>
          <w:szCs w:val="22"/>
        </w:rPr>
        <w:t xml:space="preserve">1 row suppressed due to n&lt;20 policy (likely the combo group IPTW result).</w:t>
      </w:r>
    </w:p>
    <w:p>
      <w:r>
        <w:br w:type="page"/>
      </w:r>
    </w:p>
    <w:p>
      <w:pPr>
        <w:pStyle w:val="Heading1"/>
      </w:pPr>
      <w:r>
        <w:rPr>
          <w:rFonts w:ascii="Arial" w:cs="Arial" w:eastAsia="Arial" w:hAnsi="Arial"/>
        </w:rPr>
        <w:t xml:space="preserve">Balance Diagnostics: Propensity Score Weighting</w:t>
      </w:r>
    </w:p>
    <w:p>
      <w:pPr>
        <w:spacing w:after="120"/>
      </w:pPr>
      <w:r>
        <w:rPr>
          <w:rFonts w:ascii="Arial" w:cs="Arial" w:eastAsia="Arial" w:hAnsi="Arial"/>
          <w:b w:val="false"/>
          <w:bCs w:val="false"/>
          <w:sz w:val="22"/>
          <w:szCs w:val="22"/>
        </w:rPr>
        <w:t xml:space="preserve">Standardized mean differences (SMD) before and after IPTW for GLP-1 only (N=707) vs metformin only (N=9,643).</w:t>
      </w:r>
    </w:p>
    <w:p>
      <w:pPr>
        <w:spacing w:after="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rPr>
          <w:tblHeader/>
        </w:trPr>
        <w:tc>
          <w:tcPr>
            <w:tcW w:type="dxa" w:w="25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Covariate</w:t>
            </w:r>
          </w:p>
        </w:tc>
        <w:tc>
          <w:tcPr>
            <w:tcW w:type="dxa" w:w="15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SMD Unweighted</w:t>
            </w:r>
          </w:p>
        </w:tc>
        <w:tc>
          <w:tcPr>
            <w:tcW w:type="dxa" w:w="15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SMD Weighted</w:t>
            </w:r>
          </w:p>
        </w:tc>
        <w:tc>
          <w:tcPr>
            <w:tcW w:type="dxa" w:w="15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|SMD| Unweighted</w:t>
            </w:r>
          </w:p>
        </w:tc>
        <w:tc>
          <w:tcPr>
            <w:tcW w:type="dxa" w:w="15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|SMD| Weighted</w:t>
            </w:r>
          </w:p>
        </w:tc>
      </w:tr>
      <w:tr>
        <w:tc>
          <w:tcPr>
            <w:tcW w:type="dxa" w:w="2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Age at index</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0.028</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0.051</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0.028</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0.051</w:t>
            </w:r>
          </w:p>
        </w:tc>
      </w:tr>
      <w:tr>
        <w:tc>
          <w:tcPr>
            <w:tcW w:type="dxa" w:w="2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BMI</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0.318</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0.088</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0.318</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0.088</w:t>
            </w:r>
          </w:p>
        </w:tc>
      </w:tr>
      <w:tr>
        <w:tc>
          <w:tcPr>
            <w:tcW w:type="dxa" w:w="2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HbA1c recent</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0.071</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0.021</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0.071</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0.021</w:t>
            </w:r>
          </w:p>
        </w:tc>
      </w:tr>
      <w:tr>
        <w:tc>
          <w:tcPr>
            <w:tcW w:type="dxa" w:w="2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HbA1c mean year</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0.084</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0.028</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0.084</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0.028</w:t>
            </w:r>
          </w:p>
        </w:tc>
      </w:tr>
      <w:tr>
        <w:tc>
          <w:tcPr>
            <w:tcW w:type="dxa" w:w="2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Diabetes duration (days)</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0.491</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0.197</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0.491</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0.197</w:t>
            </w:r>
          </w:p>
        </w:tc>
      </w:tr>
      <w:tr>
        <w:tc>
          <w:tcPr>
            <w:tcW w:type="dxa" w:w="2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condition count</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0.358</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0.114</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0.358</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0.114</w:t>
            </w:r>
          </w:p>
        </w:tc>
      </w:tr>
      <w:tr>
        <w:tc>
          <w:tcPr>
            <w:tcW w:type="dxa" w:w="2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outpatient visits</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0.148</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0.026</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0.148</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0.026</w:t>
            </w:r>
          </w:p>
        </w:tc>
      </w:tr>
      <w:tr>
        <w:tc>
          <w:tcPr>
            <w:tcW w:type="dxa" w:w="2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spine imaging</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0.108</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0.078</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0.108</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0.078</w:t>
            </w:r>
          </w:p>
        </w:tc>
      </w:tr>
      <w:tr>
        <w:tc>
          <w:tcPr>
            <w:tcW w:type="dxa" w:w="2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back pain flag</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0.097</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0.001</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0.097</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0.001</w:t>
            </w:r>
          </w:p>
        </w:tc>
      </w:tr>
      <w:tr>
        <w:tc>
          <w:tcPr>
            <w:tcW w:type="dxa" w:w="2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Sex: Male</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-0.260</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-0.124</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0.260</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0.124</w:t>
            </w:r>
          </w:p>
        </w:tc>
      </w:tr>
      <w:tr>
        <w:tc>
          <w:tcPr>
            <w:tcW w:type="dxa" w:w="2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Sex: Female</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0.261</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0.126</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0.261</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0.126</w:t>
            </w:r>
          </w:p>
        </w:tc>
      </w:tr>
      <w:tr>
        <w:tc>
          <w:tcPr>
            <w:tcW w:type="dxa" w:w="2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Sex: Other/Unknown</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-0.014</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-0.011</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0.014</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0.011</w:t>
            </w:r>
          </w:p>
        </w:tc>
      </w:tr>
      <w:tr>
        <w:tc>
          <w:tcPr>
            <w:tcW w:type="dxa" w:w="2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Race: White</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0.064</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0.048</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0.064</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0.048</w:t>
            </w:r>
          </w:p>
        </w:tc>
      </w:tr>
      <w:tr>
        <w:tc>
          <w:tcPr>
            <w:tcW w:type="dxa" w:w="2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Race: Black/AA</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-0.029</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-0.049</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0.029</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0.049</w:t>
            </w:r>
          </w:p>
        </w:tc>
      </w:tr>
      <w:tr>
        <w:tc>
          <w:tcPr>
            <w:tcW w:type="dxa" w:w="2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Race: Asian</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-0.042</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0.013</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0.042</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0.013</w:t>
            </w:r>
          </w:p>
        </w:tc>
      </w:tr>
      <w:tr>
        <w:tc>
          <w:tcPr>
            <w:tcW w:type="dxa" w:w="2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Race: Other/Unknown</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-0.031</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-0.010</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0.031</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0.010</w:t>
            </w:r>
          </w:p>
        </w:tc>
      </w:tr>
      <w:tr>
        <w:tc>
          <w:tcPr>
            <w:tcW w:type="dxa" w:w="2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Ethnicity: Hispanic</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-0.056</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-0.030</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0.056</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0.030</w:t>
            </w:r>
          </w:p>
        </w:tc>
      </w:tr>
      <w:tr>
        <w:tc>
          <w:tcPr>
            <w:tcW w:type="dxa" w:w="2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Ethnicity: Not Hispanic</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0.060</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0.025</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0.060</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0.025</w:t>
            </w:r>
          </w:p>
        </w:tc>
      </w:tr>
      <w:tr>
        <w:tc>
          <w:tcPr>
            <w:tcW w:type="dxa" w:w="2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Ethnicity: Unknown</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-0.016</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0.006</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0.016</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0.006</w:t>
            </w:r>
          </w:p>
        </w:tc>
      </w:tr>
    </w:tbl>
    <w:p>
      <w:pPr>
        <w:spacing w:after="80"/>
      </w:pPr>
    </w:p>
    <w:p>
      <w:pPr>
        <w:spacing w:before="60" w:after="12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IPTW substantially improved balance for most covariates. However, residual imbalance persists for diabetes duration (|SMD|=0.197), sex (|SMD|=0.124–0.126), and baseline condition count (|SMD|=0.114)—all still above the 0.10 threshold.</w:t>
      </w:r>
    </w:p>
    <w:p>
      <w:pPr>
        <w:spacing w:after="120"/>
      </w:pPr>
      <w:r>
        <w:rPr>
          <w:rFonts w:ascii="Arial" w:cs="Arial" w:eastAsia="Arial" w:hAnsi="Arial"/>
          <w:b w:val="false"/>
          <w:bCs w:val="false"/>
          <w:sz w:val="22"/>
          <w:szCs w:val="22"/>
        </w:rPr>
        <w:t xml:space="preserve">Explanation: Before weighting, the largest imbalances were diabetes duration (|SMD|=0.49), baseline condition count (|SMD|=0.36), BMI (|SMD|=0.32), and sex (|SMD|=0.26). IPTW reduced most imbalances substantially: BMI improved from 0.32 to 0.09, outpatient visits from 0.15 to 0.03, and back pain from 0.10 to 0.001 (excellent balance). However, three key covariates remained above the |SMD|&gt;0.10 threshold after weighting: diabetes duration (0.197), sex (0.124–0.126), and baseline condition count (0.114). These residual imbalances mean the IPTW estimate may still be subject to some confounding, particularly by diabetes severity. Further adjustment or doubly-robust methods could be considered.</w:t>
      </w:r>
    </w:p>
    <w:p>
      <w:r>
        <w:br w:type="page"/>
      </w:r>
    </w:p>
    <w:p>
      <w:pPr>
        <w:pStyle w:val="Heading1"/>
      </w:pPr>
      <w:r>
        <w:rPr>
          <w:rFonts w:ascii="Arial" w:cs="Arial" w:eastAsia="Arial" w:hAnsi="Arial"/>
        </w:rPr>
        <w:t xml:space="preserve">Utilization Bias Assessment</w:t>
      </w:r>
    </w:p>
    <w:p>
      <w:pPr>
        <w:spacing w:after="120"/>
      </w:pPr>
      <w:r>
        <w:rPr>
          <w:rFonts w:ascii="Arial" w:cs="Arial" w:eastAsia="Arial" w:hAnsi="Arial"/>
          <w:b w:val="false"/>
          <w:bCs w:val="false"/>
          <w:sz w:val="22"/>
          <w:szCs w:val="22"/>
        </w:rPr>
        <w:t xml:space="preserve">Baseline healthcare utilization metrics by treatment group. 37 rows suppressed due to n&lt;20 policy.</w:t>
      </w:r>
    </w:p>
    <w:p>
      <w:pPr>
        <w:spacing w:after="8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700"/>
        <w:gridCol w:w="1500"/>
        <w:gridCol w:w="1900"/>
        <w:gridCol w:w="1700"/>
      </w:tblGrid>
      <w:tr>
        <w:trPr>
          <w:tblHeader/>
        </w:trPr>
        <w:tc>
          <w:tcPr>
            <w:tcW w:type="dxa" w:w="14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Exposure Group</w:t>
            </w:r>
          </w:p>
        </w:tc>
        <w:tc>
          <w:tcPr>
            <w:tcW w:type="dxa" w:w="9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N</w:t>
            </w:r>
          </w:p>
        </w:tc>
        <w:tc>
          <w:tcPr>
            <w:tcW w:type="dxa" w:w="17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Outpatient Visits Mean</w:t>
            </w:r>
          </w:p>
        </w:tc>
        <w:tc>
          <w:tcPr>
            <w:tcW w:type="dxa" w:w="15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Spine Imaging Mean</w:t>
            </w:r>
          </w:p>
        </w:tc>
        <w:tc>
          <w:tcPr>
            <w:tcW w:type="dxa" w:w="19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Endocrinology Visits Mean</w:t>
            </w:r>
          </w:p>
        </w:tc>
        <w:tc>
          <w:tcPr>
            <w:tcW w:type="dxa" w:w="17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Orthopedics Visits Mean</w:t>
            </w:r>
          </w:p>
        </w:tc>
      </w:tr>
      <w:tr>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Metformin only</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11,599</w:t>
            </w:r>
          </w:p>
        </w:tc>
        <w:tc>
          <w:tcPr>
            <w:tcW w:type="dxa" w:w="1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14.80</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0.215</w:t>
            </w:r>
          </w:p>
        </w:tc>
        <w:tc>
          <w:tcPr>
            <w:tcW w:type="dxa" w:w="1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0.000</w:t>
            </w:r>
          </w:p>
        </w:tc>
        <w:tc>
          <w:tcPr>
            <w:tcW w:type="dxa" w:w="1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0.000</w:t>
            </w:r>
          </w:p>
        </w:tc>
      </w:tr>
      <w:tr>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1,451</w:t>
            </w:r>
          </w:p>
        </w:tc>
        <w:tc>
          <w:tcPr>
            <w:tcW w:type="dxa" w:w="1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22.79</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0.357</w:t>
            </w:r>
          </w:p>
        </w:tc>
        <w:tc>
          <w:tcPr>
            <w:tcW w:type="dxa" w:w="1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0.000</w:t>
            </w:r>
          </w:p>
        </w:tc>
        <w:tc>
          <w:tcPr>
            <w:tcW w:type="dxa" w:w="1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0.000</w:t>
            </w:r>
          </w:p>
        </w:tc>
      </w:tr>
      <w:tr>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Combo</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474</w:t>
            </w:r>
          </w:p>
        </w:tc>
        <w:tc>
          <w:tcPr>
            <w:tcW w:type="dxa" w:w="1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13.52</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0.230</w:t>
            </w:r>
          </w:p>
        </w:tc>
        <w:tc>
          <w:tcPr>
            <w:tcW w:type="dxa" w:w="1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0.000</w:t>
            </w:r>
          </w:p>
        </w:tc>
        <w:tc>
          <w:tcPr>
            <w:tcW w:type="dxa" w:w="1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0.000</w:t>
            </w:r>
          </w:p>
        </w:tc>
      </w:tr>
    </w:tbl>
    <w:p>
      <w:pPr>
        <w:spacing w:after="80"/>
      </w:pPr>
    </w:p>
    <w:p>
      <w:pPr>
        <w:spacing w:before="60" w:after="12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GLP-1 RA patients had 54% more baseline outpatient visits (22.8 vs 14.8) and 66% more baseline spine imaging (0.357 vs 0.215) compared to metformin patients, confirming substantial surveillance/detection bias potential.</w:t>
      </w:r>
    </w:p>
    <w:p>
      <w:pPr>
        <w:spacing w:after="120"/>
      </w:pPr>
      <w:r>
        <w:rPr>
          <w:rFonts w:ascii="Arial" w:cs="Arial" w:eastAsia="Arial" w:hAnsi="Arial"/>
          <w:b w:val="false"/>
          <w:bCs w:val="false"/>
          <w:sz w:val="22"/>
          <w:szCs w:val="22"/>
        </w:rPr>
        <w:t xml:space="preserve">Explanation: Healthcare utilization differed markedly across groups. GLP-1 RA patients had the highest baseline outpatient visit frequency (22.8) and spine imaging rate (0.357), suggesting they were more engaged with the healthcare system and more likely to have spine conditions detected incidentally. Combination therapy patients had the lowest outpatient visits (13.5), which is somewhat counterintuitive but may reflect prescribing patterns where combination therapy is initiated at fewer but more intensive visits. Endocrinology and orthopedics visit counts were all zero, suggesting these specialty visits were either not captured in the lookback period or coded differently. This utilization differential is a key source of potential surveillance bias for spine outcome detection.</w:t>
      </w:r>
    </w:p>
    <w:p>
      <w:r>
        <w:br w:type="page"/>
      </w:r>
    </w:p>
    <w:p>
      <w:pPr>
        <w:pStyle w:val="Heading1"/>
      </w:pPr>
      <w:r>
        <w:rPr>
          <w:rFonts w:ascii="Arial" w:cs="Arial" w:eastAsia="Arial" w:hAnsi="Arial"/>
        </w:rPr>
        <w:t xml:space="preserve">Weight Change Analysis</w:t>
      </w:r>
    </w:p>
    <w:p>
      <w:pPr>
        <w:spacing w:after="120"/>
      </w:pPr>
      <w:r>
        <w:rPr>
          <w:rFonts w:ascii="Arial" w:cs="Arial" w:eastAsia="Arial" w:hAnsi="Arial"/>
          <w:b w:val="false"/>
          <w:bCs w:val="false"/>
          <w:sz w:val="22"/>
          <w:szCs w:val="22"/>
        </w:rPr>
        <w:t xml:space="preserve">BMI trajectory analysis by treatment group. 4 rows suppressed due to n&lt;20 policy.</w:t>
      </w:r>
    </w:p>
    <w:p>
      <w:pPr>
        <w:spacing w:after="8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1500"/>
        <w:gridCol w:w="1500"/>
      </w:tblGrid>
      <w:tr>
        <w:trPr>
          <w:tblHeader/>
        </w:trPr>
        <w:tc>
          <w:tcPr>
            <w:tcW w:type="dxa" w:w="14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Exposure Group</w:t>
            </w:r>
          </w:p>
        </w:tc>
        <w:tc>
          <w:tcPr>
            <w:tcW w:type="dxa" w:w="9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N</w:t>
            </w:r>
          </w:p>
        </w:tc>
        <w:tc>
          <w:tcPr>
            <w:tcW w:type="dxa" w:w="15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BMI Slope/Day Mean</w:t>
            </w:r>
          </w:p>
        </w:tc>
        <w:tc>
          <w:tcPr>
            <w:tcW w:type="dxa" w:w="15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Δ BMI 180d Mean</w:t>
            </w:r>
          </w:p>
        </w:tc>
        <w:tc>
          <w:tcPr>
            <w:tcW w:type="dxa" w:w="15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Δ BMI 365d Mean</w:t>
            </w:r>
          </w:p>
        </w:tc>
        <w:tc>
          <w:tcPr>
            <w:tcW w:type="dxa" w:w="15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Δ BMI 730d Mean</w:t>
            </w:r>
          </w:p>
        </w:tc>
      </w:tr>
      <w:tr>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Combo</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373</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-0.00183</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-1.14</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-1.07</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-1.86</w:t>
            </w:r>
          </w:p>
        </w:tc>
      </w:tr>
      <w:tr>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1,115</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-0.00125</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-1.03</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-1.32</w:t>
            </w:r>
          </w:p>
        </w:tc>
        <w:tc>
          <w:tcPr>
            <w:tcW w:type="dxa" w:w="15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-1.21</w:t>
            </w:r>
          </w:p>
        </w:tc>
      </w:tr>
      <w:tr>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Metformin only</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8,308</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-0.00084</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-0.57</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-0.70</w:t>
            </w:r>
          </w:p>
        </w:tc>
        <w:tc>
          <w:tcPr>
            <w:tcW w:type="dxa" w:w="15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-0.87</w:t>
            </w:r>
          </w:p>
        </w:tc>
      </w:tr>
    </w:tbl>
    <w:p>
      <w:pPr>
        <w:spacing w:after="80"/>
      </w:pPr>
    </w:p>
    <w:p>
      <w:pPr>
        <w:spacing w:before="60" w:after="120"/>
      </w:pPr>
      <w:r>
        <w:rPr>
          <w:rFonts w:ascii="Arial" w:cs="Arial" w:eastAsia="Arial" w:hAnsi="Arial"/>
          <w:b/>
          <w:bCs/>
          <w:color w:val="C0392B"/>
          <w:sz w:val="22"/>
          <w:szCs w:val="22"/>
        </w:rPr>
        <w:t xml:space="preserve">▶ </w:t>
      </w:r>
      <w:r>
        <w:rPr>
          <w:rFonts w:ascii="Arial" w:cs="Arial" w:eastAsia="Arial" w:hAnsi="Arial"/>
          <w:i/>
          <w:iCs/>
          <w:color w:val="C0392B"/>
          <w:sz w:val="22"/>
          <w:szCs w:val="22"/>
        </w:rPr>
        <w:t xml:space="preserve">All treatment groups showed BMI decreases over time. Combination therapy had the steepest decline (-0.00183/day, projected -1.86 BMI units at 730 days). GLP-1 RA showed intermediate weight loss (-1.21 at 730d), and metformin the least (-0.87 at 730d).</w:t>
      </w:r>
    </w:p>
    <w:p>
      <w:pPr>
        <w:spacing w:after="120"/>
      </w:pPr>
      <w:r>
        <w:rPr>
          <w:rFonts w:ascii="Arial" w:cs="Arial" w:eastAsia="Arial" w:hAnsi="Arial"/>
          <w:b w:val="false"/>
          <w:bCs w:val="false"/>
          <w:sz w:val="22"/>
          <w:szCs w:val="22"/>
        </w:rPr>
        <w:t xml:space="preserve">Explanation: All three treatment groups experienced weight loss over the follow-up period, consistent with the known effects of these medications in T2DM. Combination therapy showed the greatest projected 2-year BMI reduction (-1.86 units), followed by GLP-1 RA (-1.21) and metformin (-0.87). These differences are expected given the weight loss properties of GLP-1 RAs. The weight reduction could theoretically influence spine health through reduced mechanical loading. This analysis provides context for the spine outcome findings—despite greater weight loss in the GLP-1 RA and combo groups, spine events were not reduced, suggesting that the bone/spine effects operate through mechanisms independent of weight change.</w:t>
      </w:r>
    </w:p>
    <w:p>
      <w:r>
        <w:br w:type="page"/>
      </w:r>
    </w:p>
    <w:p>
      <w:pPr>
        <w:pStyle w:val="Heading1"/>
      </w:pPr>
      <w:r>
        <w:rPr>
          <w:rFonts w:ascii="Arial" w:cs="Arial" w:eastAsia="Arial" w:hAnsi="Arial"/>
        </w:rPr>
        <w:t xml:space="preserve">Forest Plot Data</w:t>
      </w:r>
    </w:p>
    <w:p>
      <w:pPr>
        <w:spacing w:after="120"/>
      </w:pPr>
      <w:r>
        <w:rPr>
          <w:rFonts w:ascii="Arial" w:cs="Arial" w:eastAsia="Arial" w:hAnsi="Arial"/>
          <w:b w:val="false"/>
          <w:bCs w:val="false"/>
          <w:sz w:val="22"/>
          <w:szCs w:val="22"/>
        </w:rPr>
        <w:t xml:space="preserve">Combined OR (logistic) and HR (Cox) estimates for all model terms, formatted for forest plot visualization. Full table contains 97 rows.</w:t>
      </w:r>
    </w:p>
    <w:p>
      <w:pPr>
        <w:spacing w:after="80"/>
      </w:pPr>
    </w:p>
    <w:p>
      <w:pPr>
        <w:pStyle w:val="Heading2"/>
      </w:pPr>
      <w:r>
        <w:rPr>
          <w:rFonts w:ascii="Arial" w:cs="Arial" w:eastAsia="Arial" w:hAnsi="Arial"/>
        </w:rPr>
        <w:t xml:space="preserve">Logistic Model (OR) — Key Estimates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1000"/>
        <w:gridCol w:w="1800"/>
        <w:gridCol w:w="900"/>
      </w:tblGrid>
      <w:tr>
        <w:trPr>
          <w:tblHeader/>
        </w:trPr>
        <w:tc>
          <w:tcPr>
            <w:tcW w:type="dxa" w:w="26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Term</w:t>
            </w:r>
          </w:p>
        </w:tc>
        <w:tc>
          <w:tcPr>
            <w:tcW w:type="dxa" w:w="9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OR/HR</w:t>
            </w:r>
          </w:p>
        </w:tc>
        <w:tc>
          <w:tcPr>
            <w:tcW w:type="dxa" w:w="10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95% CI Low</w:t>
            </w:r>
          </w:p>
        </w:tc>
        <w:tc>
          <w:tcPr>
            <w:tcW w:type="dxa" w:w="10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95% CI High</w:t>
            </w:r>
          </w:p>
        </w:tc>
        <w:tc>
          <w:tcPr>
            <w:tcW w:type="dxa" w:w="18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Model</w:t>
            </w:r>
          </w:p>
        </w:tc>
        <w:tc>
          <w:tcPr>
            <w:tcW w:type="dxa" w:w="9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Effect Type</w:t>
            </w:r>
          </w:p>
        </w:tc>
      </w:tr>
      <w:tr>
        <w:tc>
          <w:tcPr>
            <w:tcW w:type="dxa" w:w="2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 vs Metformin</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1.052</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0.741</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1.492</w:t>
            </w:r>
          </w:p>
        </w:tc>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Logistic main HC3</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OR</w:t>
            </w:r>
          </w:p>
        </w:tc>
      </w:tr>
      <w:tr>
        <w:tc>
          <w:tcPr>
            <w:tcW w:type="dxa" w:w="2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Combo vs Metformin</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1.195</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0.699</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2.044</w:t>
            </w:r>
          </w:p>
        </w:tc>
        <w:tc>
          <w:tcPr>
            <w:tcW w:type="dxa" w:w="1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Logistic main HC3</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OR</w:t>
            </w:r>
          </w:p>
        </w:tc>
      </w:tr>
      <w:tr>
        <w:tc>
          <w:tcPr>
            <w:tcW w:type="dxa" w:w="2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Female vs Male</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1.240</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1.002</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1.535</w:t>
            </w:r>
          </w:p>
        </w:tc>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Logistic main HC3</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OR</w:t>
            </w:r>
          </w:p>
        </w:tc>
      </w:tr>
      <w:tr>
        <w:tc>
          <w:tcPr>
            <w:tcW w:type="dxa" w:w="2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Age at index</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1.013</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1.004</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1.022</w:t>
            </w:r>
          </w:p>
        </w:tc>
        <w:tc>
          <w:tcPr>
            <w:tcW w:type="dxa" w:w="18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Logistic main HC3</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OR</w:t>
            </w:r>
          </w:p>
        </w:tc>
      </w:tr>
      <w:tr>
        <w:tc>
          <w:tcPr>
            <w:tcW w:type="dxa" w:w="2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BMI (centered)</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1.011</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0.999</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1.023</w:t>
            </w:r>
          </w:p>
        </w:tc>
        <w:tc>
          <w:tcPr>
            <w:tcW w:type="dxa" w:w="18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Logistic main HC3</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OR</w:t>
            </w:r>
          </w:p>
        </w:tc>
      </w:tr>
    </w:tbl>
    <w:p>
      <w:pPr>
        <w:spacing w:after="80"/>
      </w:pPr>
    </w:p>
    <w:p>
      <w:pPr>
        <w:pStyle w:val="Heading2"/>
      </w:pPr>
      <w:r>
        <w:rPr>
          <w:rFonts w:ascii="Arial" w:cs="Arial" w:eastAsia="Arial" w:hAnsi="Arial"/>
        </w:rPr>
        <w:t xml:space="preserve">Cox Model (HR) — Key Estimates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2400"/>
      </w:tblGrid>
      <w:tr>
        <w:trPr>
          <w:tblHeader/>
        </w:trPr>
        <w:tc>
          <w:tcPr>
            <w:tcW w:type="dxa" w:w="36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Term</w:t>
            </w:r>
          </w:p>
        </w:tc>
        <w:tc>
          <w:tcPr>
            <w:tcW w:type="dxa" w:w="12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HR</w:t>
            </w:r>
          </w:p>
        </w:tc>
        <w:tc>
          <w:tcPr>
            <w:tcW w:type="dxa" w:w="24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Model</w:t>
            </w:r>
          </w:p>
        </w:tc>
      </w:tr>
      <w:tr>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 (vs Metformin)</w:t>
            </w:r>
          </w:p>
        </w:tc>
        <w:tc>
          <w:tcPr>
            <w:tcW w:type="dxa" w:w="1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1.304</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Cox time-to-spine</w:t>
            </w:r>
          </w:p>
        </w:tc>
      </w:tr>
      <w:tr>
        <w:tc>
          <w:tcPr>
            <w:tcW w:type="dxa" w:w="3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Combo (vs Metformin)</w:t>
            </w:r>
          </w:p>
        </w:tc>
        <w:tc>
          <w:tcPr>
            <w:tcW w:type="dxa" w:w="1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1.452</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Cox time-to-spine</w:t>
            </w:r>
          </w:p>
        </w:tc>
      </w:tr>
      <w:tr>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Baseline back pain flag</w:t>
            </w:r>
          </w:p>
        </w:tc>
        <w:tc>
          <w:tcPr>
            <w:tcW w:type="dxa" w:w="1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2.464</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Cox time-to-spine</w:t>
            </w:r>
          </w:p>
        </w:tc>
      </w:tr>
      <w:tr>
        <w:tc>
          <w:tcPr>
            <w:tcW w:type="dxa" w:w="3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Insulin use baseline</w:t>
            </w:r>
          </w:p>
        </w:tc>
        <w:tc>
          <w:tcPr>
            <w:tcW w:type="dxa" w:w="1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0.785</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Cox time-to-spine</w:t>
            </w:r>
          </w:p>
        </w:tc>
      </w:tr>
      <w:tr>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Age at index</w:t>
            </w:r>
          </w:p>
        </w:tc>
        <w:tc>
          <w:tcPr>
            <w:tcW w:type="dxa" w:w="1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1.016</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Cox time-to-spine</w:t>
            </w:r>
          </w:p>
        </w:tc>
      </w:tr>
      <w:tr>
        <w:tc>
          <w:tcPr>
            <w:tcW w:type="dxa" w:w="3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BMI</w:t>
            </w:r>
          </w:p>
        </w:tc>
        <w:tc>
          <w:tcPr>
            <w:tcW w:type="dxa" w:w="1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1.009</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Cox time-to-spine</w:t>
            </w:r>
          </w:p>
        </w:tc>
      </w:tr>
      <w:tr>
        <w:tc>
          <w:tcPr>
            <w:tcW w:type="dxa" w:w="36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Female</w:t>
            </w:r>
          </w:p>
        </w:tc>
        <w:tc>
          <w:tcPr>
            <w:tcW w:type="dxa" w:w="12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1.073</w:t>
            </w:r>
          </w:p>
        </w:tc>
        <w:tc>
          <w:tcPr>
            <w:tcW w:type="dxa" w:w="2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Cox time-to-spine</w:t>
            </w:r>
          </w:p>
        </w:tc>
      </w:tr>
      <w:tr>
        <w:tc>
          <w:tcPr>
            <w:tcW w:type="dxa" w:w="36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Black/African American</w:t>
            </w:r>
          </w:p>
        </w:tc>
        <w:tc>
          <w:tcPr>
            <w:tcW w:type="dxa" w:w="12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1.189</w:t>
            </w:r>
          </w:p>
        </w:tc>
        <w:tc>
          <w:tcPr>
            <w:tcW w:type="dxa" w:w="2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Cox time-to-spine</w:t>
            </w:r>
          </w:p>
        </w:tc>
      </w:tr>
    </w:tbl>
    <w:p>
      <w:pPr>
        <w:spacing w:after="80"/>
      </w:pPr>
    </w:p>
    <w:p>
      <w:pPr>
        <w:spacing w:after="120"/>
      </w:pPr>
      <w:r>
        <w:rPr>
          <w:rFonts w:ascii="Arial" w:cs="Arial" w:eastAsia="Arial" w:hAnsi="Arial"/>
          <w:b w:val="false"/>
          <w:bCs w:val="false"/>
          <w:sz w:val="22"/>
          <w:szCs w:val="22"/>
        </w:rPr>
        <w:t xml:space="preserve">Explanation: The forest plot data consolidates effect estimates across both the logistic and Cox models. In the logistic model (with CIs), neither GLP-1 RA nor combination therapy showed significant associations. In the Cox model (without CIs due to convergence issues), the point estimates were modestly elevated for GLP-1 RA (HR=1.30) and combination (HR=1.45), but these cannot be assessed for significance. The most consistent finding across models is that baseline back pain is the strongest predictor of spine events (HR=2.46), and female sex and increasing age are modest risk factors.</w:t>
      </w:r>
    </w:p>
    <w:p>
      <w:r>
        <w:br w:type="page"/>
      </w:r>
    </w:p>
    <w:p>
      <w:pPr>
        <w:pStyle w:val="Heading1"/>
      </w:pPr>
      <w:r>
        <w:rPr>
          <w:rFonts w:ascii="Arial" w:cs="Arial" w:eastAsia="Arial" w:hAnsi="Arial"/>
        </w:rPr>
        <w:t xml:space="preserve">Kaplan-Meier Survival Estimates</w:t>
      </w:r>
    </w:p>
    <w:p>
      <w:pPr>
        <w:spacing w:after="120"/>
      </w:pPr>
      <w:r>
        <w:rPr>
          <w:rFonts w:ascii="Arial" w:cs="Arial" w:eastAsia="Arial" w:hAnsi="Arial"/>
          <w:b w:val="false"/>
          <w:bCs w:val="false"/>
          <w:sz w:val="22"/>
          <w:szCs w:val="22"/>
        </w:rPr>
        <w:t xml:space="preserve">Survival probabilities at 730 days (2 years) by treatment group. Note: 1,282 rows were suppressed due to n&lt;20 policy, so only the endpoint summaries are available.</w:t>
      </w:r>
    </w:p>
    <w:p>
      <w:pPr>
        <w:spacing w:after="8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900"/>
        <w:gridCol w:w="1000"/>
        <w:gridCol w:w="1700"/>
      </w:tblGrid>
      <w:tr>
        <w:trPr>
          <w:tblHeader/>
        </w:trPr>
        <w:tc>
          <w:tcPr>
            <w:tcW w:type="dxa" w:w="14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Exposure Group</w:t>
            </w:r>
          </w:p>
        </w:tc>
        <w:tc>
          <w:tcPr>
            <w:tcW w:type="dxa" w:w="10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Time (Days)</w:t>
            </w:r>
          </w:p>
        </w:tc>
        <w:tc>
          <w:tcPr>
            <w:tcW w:type="dxa" w:w="10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N at Risk</w:t>
            </w:r>
          </w:p>
        </w:tc>
        <w:tc>
          <w:tcPr>
            <w:tcW w:type="dxa" w:w="9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Events</w:t>
            </w:r>
          </w:p>
        </w:tc>
        <w:tc>
          <w:tcPr>
            <w:tcW w:type="dxa" w:w="10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Censored</w:t>
            </w:r>
          </w:p>
        </w:tc>
        <w:tc>
          <w:tcPr>
            <w:tcW w:type="dxa" w:w="17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Survival Probability</w:t>
            </w:r>
          </w:p>
        </w:tc>
      </w:tr>
      <w:tr>
        <w:tc>
          <w:tcPr>
            <w:tcW w:type="dxa" w:w="14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Metformin only</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730</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9,643</w:t>
            </w:r>
          </w:p>
        </w:tc>
        <w:tc>
          <w:tcPr>
            <w:tcW w:type="dxa" w:w="9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535</w:t>
            </w:r>
          </w:p>
        </w:tc>
        <w:tc>
          <w:tcPr>
            <w:tcW w:type="dxa" w:w="1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9,108</w:t>
            </w:r>
          </w:p>
        </w:tc>
        <w:tc>
          <w:tcPr>
            <w:tcW w:type="dxa" w:w="17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0.939 (93.9%)</w:t>
            </w:r>
          </w:p>
        </w:tc>
      </w:tr>
      <w:tr>
        <w:tc>
          <w:tcPr>
            <w:tcW w:type="dxa" w:w="14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GLP-1 only</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730</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707</w:t>
            </w:r>
          </w:p>
        </w:tc>
        <w:tc>
          <w:tcPr>
            <w:tcW w:type="dxa" w:w="9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47</w:t>
            </w:r>
          </w:p>
        </w:tc>
        <w:tc>
          <w:tcPr>
            <w:tcW w:type="dxa" w:w="1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660</w:t>
            </w:r>
          </w:p>
        </w:tc>
        <w:tc>
          <w:tcPr>
            <w:tcW w:type="dxa" w:w="17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0.917 (91.7%)</w:t>
            </w:r>
          </w:p>
        </w:tc>
      </w:tr>
    </w:tbl>
    <w:p>
      <w:pPr>
        <w:spacing w:after="80"/>
      </w:pPr>
    </w:p>
    <w:p>
      <w:pPr>
        <w:spacing w:after="120"/>
      </w:pPr>
      <w:r>
        <w:rPr>
          <w:rFonts w:ascii="Arial" w:cs="Arial" w:eastAsia="Arial" w:hAnsi="Arial"/>
          <w:b w:val="false"/>
          <w:bCs w:val="false"/>
          <w:sz w:val="22"/>
          <w:szCs w:val="22"/>
        </w:rPr>
        <w:t xml:space="preserve">Explanation: At 2 years, the survival probability (freedom from spine event) was 93.9% for metformin-only patients and 91.7% for GLP-1 RA-only patients. The absolute difference is 2.2 percentage points, corresponding to a modestly higher cumulative incidence in the GLP-1 RA group (8.3% vs 6.1%). However, this crude comparison does not account for the substantial baseline differences in disease severity and healthcare utilization between groups. The combination therapy group is not shown, likely due to the n&lt;20 suppression policy at individual time points. The full KM curve data (which would normally contain survival estimates at each event time) had 1,282 rows suppressed.</w:t>
      </w:r>
    </w:p>
    <w:p>
      <w:pPr>
        <w:spacing w:before="60" w:after="120"/>
      </w:pPr>
      <w:r>
        <w:rPr>
          <w:rFonts w:ascii="Arial" w:cs="Arial" w:eastAsia="Arial" w:hAnsi="Arial"/>
          <w:b/>
          <w:bCs/>
          <w:color w:val="D4880F"/>
          <w:sz w:val="22"/>
          <w:szCs w:val="22"/>
        </w:rPr>
        <w:t xml:space="preserve">⚠ </w:t>
      </w:r>
      <w:r>
        <w:rPr>
          <w:rFonts w:ascii="Arial" w:cs="Arial" w:eastAsia="Arial" w:hAnsi="Arial"/>
          <w:i/>
          <w:iCs/>
          <w:color w:val="D4880F"/>
          <w:sz w:val="22"/>
          <w:szCs w:val="22"/>
        </w:rPr>
        <w:t xml:space="preserve">Combo group KM data not available due to n&lt;20 suppression. Only endpoint summaries shown.</w:t>
      </w:r>
    </w:p>
    <w:p>
      <w:r>
        <w:br w:type="page"/>
      </w:r>
    </w:p>
    <w:p>
      <w:pPr>
        <w:pStyle w:val="Heading1"/>
      </w:pPr>
      <w:r>
        <w:rPr>
          <w:rFonts w:ascii="Arial" w:cs="Arial" w:eastAsia="Arial" w:hAnsi="Arial"/>
        </w:rPr>
        <w:t xml:space="preserve">Analysis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Parameter</w:t>
            </w:r>
          </w:p>
        </w:tc>
        <w:tc>
          <w:tcPr>
            <w:tcW w:type="dxa" w:w="6360"/>
            <w:tcBorders>
              <w:top w:val="single" w:color="BBBBBB" w:sz="1"/>
              <w:left w:val="single" w:color="BBBBBB" w:sz="1"/>
              <w:bottom w:val="single" w:color="BBBBBB" w:sz="1"/>
              <w:right w:val="single" w:color="BBBBBB" w:sz="1"/>
            </w:tcBorders>
            <w:shd w:fill="2E5090" w:val="clear"/>
            <w:tcMar>
              <w:top w:type="dxa" w:w="40"/>
              <w:left w:type="dxa" w:w="80"/>
              <w:bottom w:type="dxa" w:w="40"/>
              <w:right w:type="dxa" w:w="80"/>
            </w:tcMar>
            <w:vAlign w:val="center"/>
          </w:tcPr>
          <w:p>
            <w:pPr>
              <w:jc w:val="center"/>
            </w:pPr>
            <w:r>
              <w:rPr>
                <w:rFonts w:ascii="Arial" w:cs="Arial" w:eastAsia="Arial" w:hAnsi="Arial"/>
                <w:b/>
                <w:bCs/>
                <w:color w:val="FFFFFF"/>
                <w:sz w:val="15"/>
                <w:szCs w:val="15"/>
              </w:rPr>
              <w:t xml:space="preserve">Value</w:t>
            </w:r>
          </w:p>
        </w:tc>
      </w:tr>
      <w:tr>
        <w:tc>
          <w:tcPr>
            <w:tcW w:type="dxa" w:w="3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Dataset</w:t>
            </w:r>
          </w:p>
        </w:tc>
        <w:tc>
          <w:tcPr>
            <w:tcW w:type="dxa" w:w="636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fc-aou-cdr-prod.R2024Q3R8</w:t>
            </w:r>
          </w:p>
        </w:tc>
      </w:tr>
      <w:tr>
        <w:tc>
          <w:tcPr>
            <w:tcW w:type="dxa" w:w="3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Final analytic cohort</w:t>
            </w:r>
          </w:p>
        </w:tc>
        <w:tc>
          <w:tcPr>
            <w:tcW w:type="dxa" w:w="636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13,524 patients</w:t>
            </w:r>
          </w:p>
        </w:tc>
      </w:tr>
      <w:tr>
        <w:tc>
          <w:tcPr>
            <w:tcW w:type="dxa" w:w="3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With 730-day follow-up</w:t>
            </w:r>
          </w:p>
        </w:tc>
        <w:tc>
          <w:tcPr>
            <w:tcW w:type="dxa" w:w="636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10,646 patients</w:t>
            </w:r>
          </w:p>
        </w:tc>
      </w:tr>
      <w:tr>
        <w:tc>
          <w:tcPr>
            <w:tcW w:type="dxa" w:w="3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With complete BMI</w:t>
            </w:r>
          </w:p>
        </w:tc>
        <w:tc>
          <w:tcPr>
            <w:tcW w:type="dxa" w:w="636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9,258 patients</w:t>
            </w:r>
          </w:p>
        </w:tc>
      </w:tr>
      <w:tr>
        <w:tc>
          <w:tcPr>
            <w:tcW w:type="dxa" w:w="3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Treatment arms</w:t>
            </w:r>
          </w:p>
        </w:tc>
        <w:tc>
          <w:tcPr>
            <w:tcW w:type="dxa" w:w="636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Metformin (11,599), GLP-1 RA (1,451), Combo (474)</w:t>
            </w:r>
          </w:p>
        </w:tc>
      </w:tr>
      <w:tr>
        <w:tc>
          <w:tcPr>
            <w:tcW w:type="dxa" w:w="3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Total spine events</w:t>
            </w:r>
          </w:p>
        </w:tc>
        <w:tc>
          <w:tcPr>
            <w:tcW w:type="dxa" w:w="636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677</w:t>
            </w:r>
          </w:p>
        </w:tc>
      </w:tr>
      <w:tr>
        <w:tc>
          <w:tcPr>
            <w:tcW w:type="dxa" w:w="3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Overall event rate</w:t>
            </w:r>
          </w:p>
        </w:tc>
        <w:tc>
          <w:tcPr>
            <w:tcW w:type="dxa" w:w="636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5.0%</w:t>
            </w:r>
          </w:p>
        </w:tc>
      </w:tr>
      <w:tr>
        <w:tc>
          <w:tcPr>
            <w:tcW w:type="dxa" w:w="300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Total CSV files generated</w:t>
            </w:r>
          </w:p>
        </w:tc>
        <w:tc>
          <w:tcPr>
            <w:tcW w:type="dxa" w:w="6360"/>
            <w:tcBorders>
              <w:top w:val="single" w:color="BBBBBB" w:sz="1"/>
              <w:left w:val="single" w:color="BBBBBB" w:sz="1"/>
              <w:bottom w:val="single" w:color="BBBBBB" w:sz="1"/>
              <w:right w:val="single" w:color="BBBBBB" w:sz="1"/>
            </w:tcBorders>
            <w:shd w:fill="F2F6FA" w:val="clear"/>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18</w:t>
            </w:r>
          </w:p>
        </w:tc>
      </w:tr>
      <w:tr>
        <w:tc>
          <w:tcPr>
            <w:tcW w:type="dxa" w:w="300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Total rows suppressed (n&lt;20)</w:t>
            </w:r>
          </w:p>
        </w:tc>
        <w:tc>
          <w:tcPr>
            <w:tcW w:type="dxa" w:w="6360"/>
            <w:tcBorders>
              <w:top w:val="single" w:color="BBBBBB" w:sz="1"/>
              <w:left w:val="single" w:color="BBBBBB" w:sz="1"/>
              <w:bottom w:val="single" w:color="BBBBBB" w:sz="1"/>
              <w:right w:val="single" w:color="BBBBBB" w:sz="1"/>
            </w:tcBorders>
            <w:tcMar>
              <w:top w:type="dxa" w:w="40"/>
              <w:left w:type="dxa" w:w="80"/>
              <w:bottom w:type="dxa" w:w="40"/>
              <w:right w:type="dxa" w:w="80"/>
            </w:tcMar>
            <w:vAlign w:val="center"/>
          </w:tcPr>
          <w:p>
            <w:pPr>
              <w:jc w:val="center"/>
            </w:pPr>
            <w:r>
              <w:rPr>
                <w:rFonts w:ascii="Arial" w:cs="Arial" w:eastAsia="Arial" w:hAnsi="Arial"/>
                <w:b w:val="false"/>
                <w:bCs w:val="false"/>
                <w:sz w:val="15"/>
                <w:szCs w:val="15"/>
              </w:rPr>
              <w:t xml:space="preserve">1,413</w:t>
            </w:r>
          </w:p>
        </w:tc>
      </w:tr>
    </w:tbl>
    <w:p>
      <w:pPr>
        <w:spacing w:after="80"/>
      </w:pPr>
    </w:p>
    <w:p>
      <w:pPr>
        <w:spacing w:after="120"/>
      </w:pPr>
      <w:r>
        <w:rPr>
          <w:rFonts w:ascii="Arial" w:cs="Arial" w:eastAsia="Arial" w:hAnsi="Arial"/>
          <w:b/>
          <w:bCs/>
          <w:sz w:val="22"/>
          <w:szCs w:val="22"/>
        </w:rPr>
        <w:t xml:space="preserve">Analyses Completed:</w:t>
      </w:r>
    </w:p>
    <w:p>
      <w:pPr>
        <w:spacing w:after="120"/>
      </w:pPr>
      <w:r>
        <w:rPr>
          <w:rFonts w:ascii="Arial" w:cs="Arial" w:eastAsia="Arial" w:hAnsi="Arial"/>
          <w:b w:val="false"/>
          <w:bCs w:val="false"/>
          <w:sz w:val="22"/>
          <w:szCs w:val="22"/>
        </w:rPr>
        <w:t xml:space="preserve">Cohort flow; Table 1 baseline characteristics; Disease severity comparison; BMI missingness analysis; Primary logistic regression (HC3 robust SE); Obesity interaction model (penalized); BMI-stratified models; Continuous BMI interaction; Pattern-mixture sensitivity analyses (δ = -2, +2, +5); Cox proportional hazards time-to-event; Propensity score model and IPTW estimation; Balance diagnostics; Utilization bias assessment; Weight change analysis; Forest plot data; Kaplan-Meier survival estimates.</w:t>
      </w:r>
    </w:p>
    <w:p>
      <w:pPr>
        <w:spacing w:after="80"/>
      </w:pPr>
    </w:p>
    <w:p>
      <w:pPr>
        <w:spacing w:after="120"/>
      </w:pPr>
      <w:r>
        <w:rPr>
          <w:rFonts w:ascii="Arial" w:cs="Arial" w:eastAsia="Arial" w:hAnsi="Arial"/>
          <w:b/>
          <w:bCs/>
          <w:sz w:val="22"/>
          <w:szCs w:val="22"/>
        </w:rPr>
        <w:t xml:space="preserve">Key Findings:</w:t>
      </w:r>
    </w:p>
    <w:p>
      <w:pPr>
        <w:spacing w:after="120"/>
      </w:pPr>
      <w:r>
        <w:rPr>
          <w:rFonts w:ascii="Arial" w:cs="Arial" w:eastAsia="Arial" w:hAnsi="Arial"/>
          <w:b w:val="false"/>
          <w:bCs w:val="false"/>
          <w:sz w:val="22"/>
          <w:szCs w:val="22"/>
        </w:rPr>
        <w:t xml:space="preserve">1. Primary analysis: Neither GLP-1 RA (OR=1.05, 95% CI 0.74–1.49, p=0.78) nor combination therapy (OR=1.20, 95% CI 0.70–2.04, p=0.51) was significantly associated with spine outcomes compared to metformin in the adjusted logistic model.</w:t>
      </w:r>
    </w:p>
    <w:p>
      <w:pPr>
        <w:spacing w:after="120"/>
      </w:pPr>
      <w:r>
        <w:rPr>
          <w:rFonts w:ascii="Arial" w:cs="Arial" w:eastAsia="Arial" w:hAnsi="Arial"/>
          <w:b w:val="false"/>
          <w:bCs w:val="false"/>
          <w:sz w:val="22"/>
          <w:szCs w:val="22"/>
        </w:rPr>
        <w:t xml:space="preserve">2. Propensity score IPTW: After IPTW reweighting, GLP-1 RA vs metformin showed OR=0.97 (95% CI 0.68–1.39, p=0.88)—essentially null.</w:t>
      </w:r>
    </w:p>
    <w:p>
      <w:pPr>
        <w:spacing w:after="120"/>
      </w:pPr>
      <w:r>
        <w:rPr>
          <w:rFonts w:ascii="Arial" w:cs="Arial" w:eastAsia="Arial" w:hAnsi="Arial"/>
          <w:b w:val="false"/>
          <w:bCs w:val="false"/>
          <w:sz w:val="22"/>
          <w:szCs w:val="22"/>
        </w:rPr>
        <w:t xml:space="preserve">3. Cox model: Point estimates suggested modestly elevated hazard ratios for GLP-1 RA (HR=1.30) and combo (HR=1.45), but CIs were unavailable due to convergence issues.</w:t>
      </w:r>
    </w:p>
    <w:p>
      <w:pPr>
        <w:spacing w:after="120"/>
      </w:pPr>
      <w:r>
        <w:rPr>
          <w:rFonts w:ascii="Arial" w:cs="Arial" w:eastAsia="Arial" w:hAnsi="Arial"/>
          <w:b w:val="false"/>
          <w:bCs w:val="false"/>
          <w:sz w:val="22"/>
          <w:szCs w:val="22"/>
        </w:rPr>
        <w:t xml:space="preserve">4. Strongest predictor: Baseline back pain flag (HR=2.46) was the most powerful predictor of spine events across all models.</w:t>
      </w:r>
    </w:p>
    <w:p>
      <w:pPr>
        <w:spacing w:after="120"/>
      </w:pPr>
      <w:r>
        <w:rPr>
          <w:rFonts w:ascii="Arial" w:cs="Arial" w:eastAsia="Arial" w:hAnsi="Arial"/>
          <w:b w:val="false"/>
          <w:bCs w:val="false"/>
          <w:sz w:val="22"/>
          <w:szCs w:val="22"/>
        </w:rPr>
        <w:t xml:space="preserve">5. Female sex (OR=1.24, p=0.048) and increasing age (OR=1.01/year, p=0.003) were significant independent risk factors.</w:t>
      </w:r>
    </w:p>
    <w:p>
      <w:pPr>
        <w:spacing w:after="120"/>
      </w:pPr>
      <w:r>
        <w:rPr>
          <w:rFonts w:ascii="Arial" w:cs="Arial" w:eastAsia="Arial" w:hAnsi="Arial"/>
          <w:b w:val="false"/>
          <w:bCs w:val="false"/>
          <w:sz w:val="22"/>
          <w:szCs w:val="22"/>
        </w:rPr>
        <w:t xml:space="preserve">6. Interaction signal: Penalized interaction models suggest possible effect modification by obesity status, with GLP-1 RA × Obese interaction OR=1.80, but no CIs available.</w:t>
      </w:r>
    </w:p>
    <w:p>
      <w:pPr>
        <w:spacing w:after="120"/>
      </w:pPr>
      <w:r>
        <w:rPr>
          <w:rFonts w:ascii="Arial" w:cs="Arial" w:eastAsia="Arial" w:hAnsi="Arial"/>
          <w:b w:val="false"/>
          <w:bCs w:val="false"/>
          <w:sz w:val="22"/>
          <w:szCs w:val="22"/>
        </w:rPr>
        <w:t xml:space="preserve">7. Weight change: All groups lost weight, with combo showing the greatest BMI reduction (-1.86 at 730 days).</w:t>
      </w:r>
    </w:p>
    <w:p>
      <w:pPr>
        <w:spacing w:after="120"/>
      </w:pPr>
      <w:r>
        <w:rPr>
          <w:rFonts w:ascii="Arial" w:cs="Arial" w:eastAsia="Arial" w:hAnsi="Arial"/>
          <w:b w:val="false"/>
          <w:bCs w:val="false"/>
          <w:sz w:val="22"/>
          <w:szCs w:val="22"/>
        </w:rPr>
        <w:t xml:space="preserve">8. Surveillance bias: GLP-1 RA patients had 54% more outpatient visits and 66% more spine imaging at baseline, suggesting potential detection bias.</w:t>
      </w:r>
    </w:p>
    <w:p>
      <w:pPr>
        <w:spacing w:after="120"/>
      </w:pPr>
      <w:r>
        <w:rPr>
          <w:rFonts w:ascii="Arial" w:cs="Arial" w:eastAsia="Arial" w:hAnsi="Arial"/>
          <w:b w:val="false"/>
          <w:bCs w:val="false"/>
          <w:sz w:val="22"/>
          <w:szCs w:val="22"/>
        </w:rPr>
        <w:t xml:space="preserve">9. Residual confounding: IPTW reduced but did not fully eliminate imbalances in diabetes duration (|SMD|=0.20), sex (|SMD|=0.12), and condition count (|SMD|=0.11).</w:t>
      </w:r>
    </w:p>
    <w:p>
      <w:pPr>
        <w:spacing w:after="120"/>
      </w:pPr>
      <w:r>
        <w:rPr>
          <w:rFonts w:ascii="Arial" w:cs="Arial" w:eastAsia="Arial" w:hAnsi="Arial"/>
          <w:b w:val="false"/>
          <w:bCs w:val="false"/>
          <w:sz w:val="22"/>
          <w:szCs w:val="22"/>
        </w:rPr>
        <w:t xml:space="preserve">10. BMI missingness: Non-random (31.5% overall), significantly associated with exposure group, sex, ethnicity, and age. Pattern-mixture models used for sensitivity.</w:t>
      </w:r>
    </w:p>
    <w:sectPr>
      <w:headerReference w:type="default" r:id="rId6"/>
      <w:footerReference w:type="default" r:id="rId7"/>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Project 6: DM2 Spine Risk — All of Us Research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3A6DB5"/>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2026-02-18T07:31:53.645Z</dcterms:created>
  <dcterms:modified xsi:type="dcterms:W3CDTF">2026-02-18T07:31:53.646Z</dcterms:modified>
</cp:coreProperties>
</file>

<file path=docProps/custom.xml><?xml version="1.0" encoding="utf-8"?>
<Properties xmlns="http://schemas.openxmlformats.org/officeDocument/2006/custom-properties" xmlns:vt="http://schemas.openxmlformats.org/officeDocument/2006/docPropsVTypes"/>
</file>