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crédito y cobranza (EJEMPLO · datos ficticios)</w:t>
      </w:r>
    </w:p>
    <w:p>
      <w:r>
        <w:t>EJEMPLO · datos ficticios — documento de muestra para el requerimiento RQ-007.</w:t>
      </w:r>
    </w:p>
    <w:p>
      <w:pPr>
        <w:pStyle w:val="Heading1"/>
      </w:pPr>
      <w:r>
        <w:t>1. Otorgamiento de crédito</w:t>
      </w:r>
    </w:p>
    <w:p>
      <w:r>
        <w:t>El crédito se aprueba por el Comité de Crédito según la calificación del cliente. Plazos estándar: 30, 45, 60 o 90 días. El límite por cliente se revisa cada semestre.</w:t>
      </w:r>
    </w:p>
    <w:p>
      <w:pPr>
        <w:pStyle w:val="Heading1"/>
      </w:pPr>
      <w:r>
        <w:t>2. Gestión de cobranza</w:t>
      </w:r>
    </w:p>
    <w:p>
      <w:r>
        <w:t>Recordatorio a los 5 días de vencido; gestión telefónica a los 30; carta de requerimiento a los 60; y traslado a cobranza judicial sobre los 180 días.</w:t>
      </w:r>
    </w:p>
    <w:p>
      <w:pPr>
        <w:pStyle w:val="Heading1"/>
      </w:pPr>
      <w:r>
        <w:t>3. Deterioro y castigo</w:t>
      </w:r>
    </w:p>
    <w:p>
      <w:r>
        <w:t>La provisión por deterioro se estima con el modelo de pérdida incurrida de la Sección 11 de la NIIF para las PYMES, por tramos de antigüedad. Se propone castigo cuando la mora supera 730 días y se agotó la gestión de cobro documentada.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AuditConsulting Auditores Cía. Ltda. · Ejercicio modelo</dc:creator>
  <cp:keywords/>
  <dc:description>generated by python-docx</dc:description>
  <cp:lastModifiedBy/>
  <cp:revision>1</cp:revision>
  <dcterms:created xsi:type="dcterms:W3CDTF">2026-01-15T00:00:00Z</dcterms:created>
  <dcterms:modified xsi:type="dcterms:W3CDTF">2026-01-15T00:00:00Z</dcterms:modified>
  <cp:category/>
</cp:coreProperties>
</file>