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4472C4" w:sz="12" w:space="10"/>
        </w:pBdr>
        <w:spacing w:after="400"/>
        <w:jc w:val="center"/>
      </w:pPr>
      <w:r>
        <w:rPr>
          <w:rFonts w:ascii="Calibri" w:cs="Calibri" w:eastAsia="Calibri" w:hAnsi="Calibri"/>
          <w:b/>
          <w:bCs/>
          <w:color w:val="1F3864"/>
          <w:sz w:val="32"/>
          <w:szCs w:val="32"/>
        </w:rPr>
        <w:t xml:space="preserve">[COMPANY NAME]</w:t>
      </w:r>
    </w:p>
    <w:p>
      <w:pPr>
        <w:spacing w:after="200" w:before="600"/>
        <w:jc w:val="center"/>
      </w:pPr>
      <w:r>
        <w:rPr>
          <w:rFonts w:ascii="Calibri" w:cs="Calibri" w:eastAsia="Calibri" w:hAnsi="Calibri"/>
          <w:b/>
          <w:bCs/>
          <w:color w:val="1F3864"/>
          <w:sz w:val="44"/>
          <w:szCs w:val="44"/>
        </w:rPr>
        <w:t xml:space="preserve">Controlled Unclassified Information (CUI)</w:t>
      </w:r>
    </w:p>
    <w:p>
      <w:pPr>
        <w:spacing w:after="800"/>
        <w:jc w:val="center"/>
      </w:pPr>
      <w:r>
        <w:rPr>
          <w:rFonts w:ascii="Calibri" w:cs="Calibri" w:eastAsia="Calibri" w:hAnsi="Calibri"/>
          <w:b/>
          <w:bCs/>
          <w:color w:val="4472C4"/>
          <w:sz w:val="44"/>
          <w:szCs w:val="44"/>
        </w:rPr>
        <w:t xml:space="preserve">Protection Policy</w:t>
      </w:r>
    </w:p>
    <w:p>
      <w:pPr>
        <w:spacing w:after="120"/>
        <w:jc w:val="center"/>
      </w:pPr>
      <w:r>
        <w:rPr>
          <w:rFonts w:ascii="Calibri" w:cs="Calibri" w:eastAsia="Calibri" w:hAnsi="Calibri"/>
          <w:i/>
          <w:iCs/>
          <w:color w:val="595959"/>
          <w:sz w:val="22"/>
          <w:szCs w:val="22"/>
        </w:rPr>
        <w:t xml:space="preserve">Aligned to NIST SP 800-171 Rev. 3</w:t>
      </w:r>
    </w:p>
    <w:p>
      <w:pPr>
        <w:spacing w:after="3000"/>
        <w:jc w:val="center"/>
      </w:pPr>
      <w:r>
        <w:rPr>
          <w:rFonts w:ascii="Calibri" w:cs="Calibri" w:eastAsia="Calibri" w:hAnsi="Calibri"/>
          <w:i/>
          <w:iCs/>
          <w:color w:val="595959"/>
          <w:sz w:val="18"/>
          <w:szCs w:val="18"/>
        </w:rPr>
        <w:t xml:space="preserve">Protecting Controlled Unclassified Information in Nonfederal Systems and Organizations</w:t>
      </w:r>
    </w:p>
    <w:p>
      <w:pPr>
        <w:spacing w:after="80"/>
        <w:jc w:val="center"/>
      </w:pPr>
      <w:r>
        <w:rPr>
          <w:rFonts w:ascii="Calibri" w:cs="Calibri" w:eastAsia="Calibri" w:hAnsi="Calibri"/>
          <w:color w:val="262626"/>
          <w:sz w:val="20"/>
          <w:szCs w:val="20"/>
        </w:rPr>
        <w:t xml:space="preserve">Document Owner: IT Security Office</w:t>
      </w:r>
    </w:p>
    <w:p>
      <w:pPr>
        <w:spacing w:after="80"/>
        <w:jc w:val="center"/>
      </w:pPr>
      <w:r>
        <w:rPr>
          <w:rFonts w:ascii="Calibri" w:cs="Calibri" w:eastAsia="Calibri" w:hAnsi="Calibri"/>
          <w:color w:val="262626"/>
          <w:sz w:val="20"/>
          <w:szCs w:val="20"/>
        </w:rPr>
        <w:t xml:space="preserve">Version 1.1  |  Effective Date: [Month Day, Year]</w:t>
      </w:r>
    </w:p>
    <w:p>
      <w:pPr>
        <w:spacing w:after="80"/>
        <w:jc w:val="center"/>
      </w:pPr>
      <w:r>
        <w:rPr>
          <w:rFonts w:ascii="Calibri" w:cs="Calibri" w:eastAsia="Calibri" w:hAnsi="Calibri"/>
          <w:b/>
          <w:bCs/>
          <w:color w:val="C00000"/>
          <w:sz w:val="18"/>
          <w:szCs w:val="18"/>
        </w:rPr>
        <w:t xml:space="preserve">Classification: Internal Use Only</w:t>
      </w:r>
    </w:p>
    <w:p>
      <w:pPr>
        <w:sectPr>
          <w:pgSz w:w="12240" w:h="15840" w:orient="portrait"/>
          <w:pgMar w:top="1440" w:right="1440" w:bottom="1440" w:left="1440" w:header="708" w:footer="708" w:gutter="0"/>
          <w:pgNumType/>
          <w:docGrid w:linePitch="360"/>
        </w:sectPr>
      </w:pPr>
    </w:p>
    <w:p>
      <w:pPr>
        <w:pStyle w:val="Heading1"/>
        <w:pBdr>
          <w:bottom w:val="single" w:color="4472C4" w:sz="6" w:space="4"/>
        </w:pBdr>
        <w:spacing w:after="140" w:before="280"/>
      </w:pPr>
      <w:r>
        <w:rPr>
          <w:rFonts w:ascii="Calibri" w:cs="Calibri" w:eastAsia="Calibri" w:hAnsi="Calibri"/>
          <w:b/>
          <w:bCs/>
          <w:color w:val="1F3864"/>
          <w:sz w:val="26"/>
          <w:szCs w:val="26"/>
        </w:rPr>
        <w:t xml:space="preserve">Version / Revision History</w:t>
      </w:r>
    </w:p>
    <w:p>
      <w:pPr>
        <w:spacing w:after="120" w:line="264"/>
      </w:pPr>
      <w:r>
        <w:rPr>
          <w:rFonts w:ascii="Calibri" w:cs="Calibri" w:eastAsia="Calibri" w:hAnsi="Calibri"/>
          <w:color w:val="262626"/>
          <w:sz w:val="20"/>
          <w:szCs w:val="20"/>
        </w:rPr>
        <w:t xml:space="preserve">This document is reviewed at least annually and upon any significant change to the organization's CUI environment, applicable regulations, or NIST SP 800-171 guidance.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50"/>
        <w:gridCol w:w="4000"/>
      </w:tblGrid>
      <w:tr>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Version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Date</w:t>
            </w:r>
          </w:p>
        </w:tc>
        <w:tc>
          <w:tcPr>
            <w:tcW w:type="dxa" w:w="23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Author</w:t>
            </w:r>
          </w:p>
        </w:tc>
        <w:tc>
          <w:tcPr>
            <w:tcW w:type="dxa" w:w="40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Summary of Changes</w:t>
            </w:r>
          </w:p>
        </w:tc>
      </w:tr>
      <w:tr>
        <w:tc>
          <w:tcPr>
            <w:tcW w:type="dxa" w:w="14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0.1</w:t>
            </w:r>
          </w:p>
        </w:tc>
        <w:tc>
          <w:tcPr>
            <w:tcW w:type="dxa" w:w="16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2026-01-10</w:t>
            </w:r>
          </w:p>
        </w:tc>
        <w:tc>
          <w:tcPr>
            <w:tcW w:type="dxa" w:w="23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IT Security Office</w:t>
            </w:r>
          </w:p>
        </w:tc>
        <w:tc>
          <w:tcPr>
            <w:tcW w:type="dxa" w:w="40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Initial draft for internal review</w:t>
            </w:r>
          </w:p>
        </w:tc>
      </w:tr>
      <w:tr>
        <w:tc>
          <w:tcPr>
            <w:tcW w:type="dxa" w:w="14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1.0</w:t>
            </w:r>
          </w:p>
        </w:tc>
        <w:tc>
          <w:tcPr>
            <w:tcW w:type="dxa" w:w="16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2026-02-15</w:t>
            </w:r>
          </w:p>
        </w:tc>
        <w:tc>
          <w:tcPr>
            <w:tcW w:type="dxa" w:w="23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CISO</w:t>
            </w:r>
          </w:p>
        </w:tc>
        <w:tc>
          <w:tcPr>
            <w:tcW w:type="dxa" w:w="40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Approved baseline release, aligned to NIST SP 800-171 Rev. 3</w:t>
            </w:r>
          </w:p>
        </w:tc>
      </w:tr>
      <w:tr>
        <w:tc>
          <w:tcPr>
            <w:tcW w:type="dxa" w:w="14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1.1</w:t>
            </w:r>
          </w:p>
        </w:tc>
        <w:tc>
          <w:tcPr>
            <w:tcW w:type="dxa" w:w="16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2026-07-16</w:t>
            </w:r>
          </w:p>
        </w:tc>
        <w:tc>
          <w:tcPr>
            <w:tcW w:type="dxa" w:w="23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IT Security Office</w:t>
            </w:r>
          </w:p>
        </w:tc>
        <w:tc>
          <w:tcPr>
            <w:tcW w:type="dxa" w:w="40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Annual review; no substantive changes</w:t>
            </w:r>
          </w:p>
        </w:tc>
      </w:tr>
    </w:tbl>
    <w:p>
      <w:pPr>
        <w:spacing w:before="400"/>
      </w:pPr>
    </w:p>
    <w:p>
      <w:pPr>
        <w:pStyle w:val="Heading1"/>
        <w:pBdr>
          <w:bottom w:val="single" w:color="4472C4" w:sz="6" w:space="4"/>
        </w:pBdr>
        <w:spacing w:after="140" w:before="280"/>
      </w:pPr>
      <w:r>
        <w:rPr>
          <w:rFonts w:ascii="Calibri" w:cs="Calibri" w:eastAsia="Calibri" w:hAnsi="Calibri"/>
          <w:b/>
          <w:bCs/>
          <w:color w:val="1F3864"/>
          <w:sz w:val="26"/>
          <w:szCs w:val="26"/>
        </w:rPr>
        <w:t xml:space="preserve">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Role</w:t>
            </w:r>
          </w:p>
        </w:tc>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Name</w:t>
            </w:r>
          </w:p>
        </w:tc>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Signature</w:t>
            </w:r>
          </w:p>
        </w:tc>
        <w:tc>
          <w:tcPr>
            <w:tcW w:type="dxa" w:w="19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Date</w:t>
            </w:r>
          </w:p>
        </w:tc>
      </w:tr>
      <w:tr>
        <w:tc>
          <w:tcPr>
            <w:tcW w:type="dxa" w:w="30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Chief Information Security Officer</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19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r>
      <w:tr>
        <w:tc>
          <w:tcPr>
            <w:tcW w:type="dxa" w:w="30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Chief Information Officer</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19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r>
      <w:tr>
        <w:tc>
          <w:tcPr>
            <w:tcW w:type="dxa" w:w="30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Document Owner</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c>
          <w:tcPr>
            <w:tcW w:type="dxa" w:w="19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
            </w:r>
          </w:p>
        </w:tc>
      </w:tr>
    </w:tbl>
    <w:p>
      <w:pPr>
        <w:sectPr>
          <w:headerReference w:type="default" r:id="rId7"/>
          <w:footerReference w:type="default" r:id="rId8"/>
          <w:pgSz w:w="11906" w:h="16838" w:orient="portrait"/>
          <w:pgMar w:top="1440" w:right="1080" w:bottom="1440" w:left="1080" w:header="708" w:footer="708" w:gutter="0"/>
          <w:pgNumType/>
          <w:docGrid w:linePitch="360"/>
        </w:sectPr>
      </w:pPr>
    </w:p>
    <w:p>
      <w:pPr>
        <w:pStyle w:val="Heading1"/>
        <w:pBdr>
          <w:bottom w:val="single" w:color="4472C4" w:sz="6" w:space="4"/>
        </w:pBdr>
        <w:spacing w:after="140" w:before="280"/>
      </w:pPr>
      <w:r>
        <w:rPr>
          <w:rFonts w:ascii="Calibri" w:cs="Calibri" w:eastAsia="Calibri" w:hAnsi="Calibri"/>
          <w:b/>
          <w:bCs/>
          <w:color w:val="1F3864"/>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9"/>
          <w:footerReference w:type="default" r:id="rId10"/>
          <w:pgSz w:w="11906" w:h="16838" w:orient="portrait"/>
          <w:pgMar w:top="1440" w:right="1080" w:bottom="1440" w:left="1080" w:header="708" w:footer="708" w:gutter="0"/>
          <w:pgNumType/>
          <w:docGrid w:linePitch="360"/>
        </w:sectPr>
      </w:pPr>
    </w:p>
    <w:p>
      <w:pPr>
        <w:pStyle w:val="Heading1"/>
        <w:pBdr>
          <w:bottom w:val="single" w:color="4472C4" w:sz="6" w:space="4"/>
        </w:pBdr>
        <w:spacing w:after="140" w:before="280"/>
      </w:pPr>
      <w:r>
        <w:rPr>
          <w:rFonts w:ascii="Calibri" w:cs="Calibri" w:eastAsia="Calibri" w:hAnsi="Calibri"/>
          <w:b/>
          <w:bCs/>
          <w:color w:val="1F3864"/>
          <w:sz w:val="26"/>
          <w:szCs w:val="26"/>
        </w:rPr>
        <w:t xml:space="preserve">1. Purpose</w:t>
      </w:r>
    </w:p>
    <w:p>
      <w:pPr>
        <w:spacing w:after="120" w:line="264"/>
      </w:pPr>
      <w:r>
        <w:rPr>
          <w:rFonts w:ascii="Calibri" w:cs="Calibri" w:eastAsia="Calibri" w:hAnsi="Calibri"/>
          <w:color w:val="262626"/>
          <w:sz w:val="20"/>
          <w:szCs w:val="20"/>
        </w:rPr>
        <w:t xml:space="preserve">This policy establishes [Company Name]'s ('the Company') requirements for protecting the confidentiality of Controlled Unclassified Information (CUI) that the Company processes, stores, or transmits on nonfederal systems, in accordance with NIST Special Publication 800-171 Rev. 3, Protecting Controlled Unclassified Information in Nonfederal Systems and Organizations, and applicable federal contract requirements (e.g., DFARS 252.204-7012).</w:t>
      </w:r>
    </w:p>
    <w:p>
      <w:pPr>
        <w:pStyle w:val="Heading1"/>
        <w:pBdr>
          <w:bottom w:val="single" w:color="4472C4" w:sz="6" w:space="4"/>
        </w:pBdr>
        <w:spacing w:after="140" w:before="280"/>
      </w:pPr>
      <w:r>
        <w:rPr>
          <w:rFonts w:ascii="Calibri" w:cs="Calibri" w:eastAsia="Calibri" w:hAnsi="Calibri"/>
          <w:b/>
          <w:bCs/>
          <w:color w:val="1F3864"/>
          <w:sz w:val="26"/>
          <w:szCs w:val="26"/>
        </w:rPr>
        <w:t xml:space="preserve">2. Scope</w:t>
      </w:r>
    </w:p>
    <w:p>
      <w:pPr>
        <w:spacing w:after="120" w:line="264"/>
      </w:pPr>
      <w:r>
        <w:rPr>
          <w:rFonts w:ascii="Calibri" w:cs="Calibri" w:eastAsia="Calibri" w:hAnsi="Calibri"/>
          <w:color w:val="262626"/>
          <w:sz w:val="20"/>
          <w:szCs w:val="20"/>
        </w:rPr>
        <w:t xml:space="preserve">This policy applies to all employees, contractors, and third parties who access, process, store, or transmit CUI on behalf of the Company, and to all systems, applications, and physical locations — owned, leased, or cloud-hosted — where CUI resides. It covers CUI in electronic and physical form.</w:t>
      </w:r>
    </w:p>
    <w:p>
      <w:pPr>
        <w:pStyle w:val="Heading1"/>
        <w:pBdr>
          <w:bottom w:val="single" w:color="4472C4" w:sz="6" w:space="4"/>
        </w:pBdr>
        <w:spacing w:after="140" w:before="280"/>
      </w:pPr>
      <w:r>
        <w:rPr>
          <w:rFonts w:ascii="Calibri" w:cs="Calibri" w:eastAsia="Calibri" w:hAnsi="Calibri"/>
          <w:b/>
          <w:bCs/>
          <w:color w:val="1F3864"/>
          <w:sz w:val="26"/>
          <w:szCs w:val="26"/>
        </w:rPr>
        <w:t xml:space="preserve">3. Policy Statement</w:t>
      </w:r>
    </w:p>
    <w:p>
      <w:pPr>
        <w:spacing w:after="120" w:line="264"/>
      </w:pPr>
      <w:r>
        <w:rPr>
          <w:rFonts w:ascii="Calibri" w:cs="Calibri" w:eastAsia="Calibri" w:hAnsi="Calibri"/>
          <w:color w:val="262626"/>
          <w:sz w:val="20"/>
          <w:szCs w:val="20"/>
        </w:rPr>
        <w:t xml:space="preserve">The Company will implement and maintain security controls across the 17 requirement families defined in NIST SP 800-171 Rev. 3 (summarized in Section 5) sufficient to protect the confidentiality of CUI. CUI must never be processed, stored, or transmitted on personal, unmanaged, or unauthorized systems. All CUI must be marked, handled, and disposed of in accordance with the CUI Registry and this policy.</w:t>
      </w:r>
    </w:p>
    <w:p>
      <w:pPr>
        <w:pStyle w:val="Heading1"/>
        <w:pBdr>
          <w:bottom w:val="single" w:color="4472C4" w:sz="6" w:space="4"/>
        </w:pBdr>
        <w:spacing w:after="140" w:before="280"/>
      </w:pPr>
      <w:r>
        <w:rPr>
          <w:rFonts w:ascii="Calibri" w:cs="Calibri" w:eastAsia="Calibri" w:hAnsi="Calibri"/>
          <w:b/>
          <w:bCs/>
          <w:color w:val="1F3864"/>
          <w:sz w:val="26"/>
          <w:szCs w:val="26"/>
        </w:rPr>
        <w:t xml:space="preserve">4. Roles &amp; Responsibilities</w:t>
      </w:r>
    </w:p>
    <w:p>
      <w:pPr>
        <w:pStyle w:val="ListParagraph"/>
        <w:numPr>
          <w:ilvl w:val="0"/>
          <w:numId w:val="2"/>
        </w:numPr>
        <w:spacing w:after="60"/>
      </w:pPr>
      <w:r>
        <w:rPr>
          <w:rFonts w:ascii="Calibri" w:cs="Calibri" w:eastAsia="Calibri" w:hAnsi="Calibri"/>
          <w:color w:val="262626"/>
          <w:sz w:val="20"/>
          <w:szCs w:val="20"/>
        </w:rPr>
        <w:t xml:space="preserve">Chief Information Security Officer (CISO): owns this policy, approves exceptions, and reports compliance status to executive leadership.</w:t>
      </w:r>
    </w:p>
    <w:p>
      <w:pPr>
        <w:pStyle w:val="ListParagraph"/>
        <w:numPr>
          <w:ilvl w:val="0"/>
          <w:numId w:val="2"/>
        </w:numPr>
        <w:spacing w:after="60"/>
      </w:pPr>
      <w:r>
        <w:rPr>
          <w:rFonts w:ascii="Calibri" w:cs="Calibri" w:eastAsia="Calibri" w:hAnsi="Calibri"/>
          <w:color w:val="262626"/>
          <w:sz w:val="20"/>
          <w:szCs w:val="20"/>
        </w:rPr>
        <w:t xml:space="preserve">IT Security Office: implements and monitors technical controls; maintains the System Security Plan (SSP) and Plan of Action &amp; Milestones (POA&amp;M).</w:t>
      </w:r>
    </w:p>
    <w:p>
      <w:pPr>
        <w:pStyle w:val="ListParagraph"/>
        <w:numPr>
          <w:ilvl w:val="0"/>
          <w:numId w:val="2"/>
        </w:numPr>
        <w:spacing w:after="60"/>
      </w:pPr>
      <w:r>
        <w:rPr>
          <w:rFonts w:ascii="Calibri" w:cs="Calibri" w:eastAsia="Calibri" w:hAnsi="Calibri"/>
          <w:color w:val="262626"/>
          <w:sz w:val="20"/>
          <w:szCs w:val="20"/>
        </w:rPr>
        <w:t xml:space="preserve">Managers: ensure staff complete required CUI training and access is limited to a need-to-know basis.</w:t>
      </w:r>
    </w:p>
    <w:p>
      <w:pPr>
        <w:pStyle w:val="ListParagraph"/>
        <w:numPr>
          <w:ilvl w:val="0"/>
          <w:numId w:val="2"/>
        </w:numPr>
        <w:spacing w:after="60"/>
      </w:pPr>
      <w:r>
        <w:rPr>
          <w:rFonts w:ascii="Calibri" w:cs="Calibri" w:eastAsia="Calibri" w:hAnsi="Calibri"/>
          <w:color w:val="262626"/>
          <w:sz w:val="20"/>
          <w:szCs w:val="20"/>
        </w:rPr>
        <w:t xml:space="preserve">All Personnel: safeguard CUI in their custody, report suspected incidents immediately, and complete annual awareness training.</w:t>
      </w:r>
    </w:p>
    <w:p>
      <w:pPr>
        <w:pStyle w:val="Heading1"/>
        <w:pBdr>
          <w:bottom w:val="single" w:color="4472C4" w:sz="6" w:space="4"/>
        </w:pBdr>
        <w:spacing w:after="140" w:before="280"/>
      </w:pPr>
      <w:r>
        <w:rPr>
          <w:rFonts w:ascii="Calibri" w:cs="Calibri" w:eastAsia="Calibri" w:hAnsi="Calibri"/>
          <w:b/>
          <w:bCs/>
          <w:color w:val="1F3864"/>
          <w:sz w:val="26"/>
          <w:szCs w:val="26"/>
        </w:rPr>
        <w:t xml:space="preserve">5. Security Requirements Aligned with NIST SP 800-171 Rev. 3</w:t>
      </w:r>
    </w:p>
    <w:p>
      <w:pPr>
        <w:spacing w:after="120" w:line="264"/>
      </w:pPr>
      <w:r>
        <w:rPr>
          <w:rFonts w:ascii="Calibri" w:cs="Calibri" w:eastAsia="Calibri" w:hAnsi="Calibri"/>
          <w:color w:val="262626"/>
          <w:sz w:val="20"/>
          <w:szCs w:val="20"/>
        </w:rPr>
        <w:t xml:space="preserve">The following 14 security domains, consistent with the CMMC Level 2 Assessment Guide and NIST SP 800-171, organize the Company's control implementation. The full list of individual security requirements for each domain is provided in Appendix A. Control-by-control implementation status is maintained in the System Security Plan (SSP), a controlled companion document to this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c>
          <w:tcPr>
            <w:tcW w:type="dxa" w:w="7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Domain</w:t>
            </w:r>
          </w:p>
        </w:tc>
        <w:tc>
          <w:tcPr>
            <w:tcW w:type="dxa" w:w="6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Policy Requirement (Summary)</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AC</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Access Control</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system access to authorized users, processes, and devices; enforce least privilege.</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AT</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Awareness &amp; Training</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personnel are trained to recognize and respond to CUI security risks.</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AU</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Audit &amp; Accountability</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Create, protect, and retain system audit logs to enable monitoring and investigation.</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CM</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Configuration Management</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and maintain secure baseline configurations and control system changes.</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IA</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Identification &amp; Authentication</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Verify the identity of users, processes, and devices before granting access.</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IR</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Incident Response</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 operational capability to detect, report, and respond to incidents.</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MA</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Maintenance</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Perform system maintenance and control the tools, techniques, and personnel used.</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MP</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Media Protection</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and sanitize system media containing CUI, in both digital and physical form.</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PS</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Personnel Security</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Screen individuals before granting access; protect CUI during personnel actions.</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Physical Protection</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physical access to systems, equipment, and operating environments to authorized individuals.</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RA</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Risk Assessment</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Periodically assess operational risk from the processing, storage, or transmission of CUI.</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CA</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Security Assessment</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Periodically assess, monitor, and improve the effectiveness of security controls.</w:t>
            </w:r>
          </w:p>
        </w:tc>
      </w:tr>
      <w:tr>
        <w:tc>
          <w:tcPr>
            <w:tcW w:type="dxa" w:w="7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SC</w:t>
            </w:r>
          </w:p>
        </w:tc>
        <w:tc>
          <w:tcPr>
            <w:tcW w:type="dxa" w:w="22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System &amp; Communications Protection</w:t>
            </w:r>
          </w:p>
        </w:tc>
        <w:tc>
          <w:tcPr>
            <w:tcW w:type="dxa" w:w="6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and protect communications at system boundaries and internally.</w:t>
            </w:r>
          </w:p>
        </w:tc>
      </w:tr>
      <w:tr>
        <w:tc>
          <w:tcPr>
            <w:tcW w:type="dxa" w:w="7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SI</w:t>
            </w:r>
          </w:p>
        </w:tc>
        <w:tc>
          <w:tcPr>
            <w:tcW w:type="dxa" w:w="22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System &amp; Information Integrity</w:t>
            </w:r>
          </w:p>
        </w:tc>
        <w:tc>
          <w:tcPr>
            <w:tcW w:type="dxa" w:w="6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Identify, report, and correct system flaws; protect against malicious code.</w:t>
            </w:r>
          </w:p>
        </w:tc>
      </w:tr>
    </w:tbl>
    <w:p>
      <w:pPr>
        <w:pStyle w:val="Heading1"/>
        <w:pBdr>
          <w:bottom w:val="single" w:color="4472C4" w:sz="6" w:space="4"/>
        </w:pBdr>
        <w:spacing w:after="140" w:before="280"/>
      </w:pPr>
      <w:r>
        <w:rPr>
          <w:rFonts w:ascii="Calibri" w:cs="Calibri" w:eastAsia="Calibri" w:hAnsi="Calibri"/>
          <w:b/>
          <w:bCs/>
          <w:color w:val="1F3864"/>
          <w:sz w:val="26"/>
          <w:szCs w:val="26"/>
        </w:rPr>
        <w:t xml:space="preserve">6. CUI Handling Requirements</w:t>
      </w:r>
    </w:p>
    <w:p>
      <w:pPr>
        <w:pStyle w:val="Heading2"/>
        <w:spacing w:after="100" w:before="200"/>
      </w:pPr>
      <w:r>
        <w:rPr>
          <w:rFonts w:ascii="Calibri" w:cs="Calibri" w:eastAsia="Calibri" w:hAnsi="Calibri"/>
          <w:b/>
          <w:bCs/>
          <w:color w:val="4472C4"/>
          <w:sz w:val="22"/>
          <w:szCs w:val="22"/>
        </w:rPr>
        <w:t xml:space="preserve">6.1 Marking &amp; Identification</w:t>
      </w:r>
    </w:p>
    <w:p>
      <w:pPr>
        <w:spacing w:after="120" w:line="264"/>
      </w:pPr>
      <w:r>
        <w:rPr>
          <w:rFonts w:ascii="Calibri" w:cs="Calibri" w:eastAsia="Calibri" w:hAnsi="Calibri"/>
          <w:color w:val="262626"/>
          <w:sz w:val="20"/>
          <w:szCs w:val="20"/>
        </w:rPr>
        <w:t xml:space="preserve">CUI must be marked with the appropriate CUI banner and, where applicable, category markings per the CUI Registry at the time of creation or receipt.</w:t>
      </w:r>
    </w:p>
    <w:p>
      <w:pPr>
        <w:pStyle w:val="Heading2"/>
        <w:spacing w:after="100" w:before="200"/>
      </w:pPr>
      <w:r>
        <w:rPr>
          <w:rFonts w:ascii="Calibri" w:cs="Calibri" w:eastAsia="Calibri" w:hAnsi="Calibri"/>
          <w:b/>
          <w:bCs/>
          <w:color w:val="4472C4"/>
          <w:sz w:val="22"/>
          <w:szCs w:val="22"/>
        </w:rPr>
        <w:t xml:space="preserve">6.2 Storage</w:t>
      </w:r>
    </w:p>
    <w:p>
      <w:pPr>
        <w:spacing w:after="120" w:line="264"/>
      </w:pPr>
      <w:r>
        <w:rPr>
          <w:rFonts w:ascii="Calibri" w:cs="Calibri" w:eastAsia="Calibri" w:hAnsi="Calibri"/>
          <w:color w:val="262626"/>
          <w:sz w:val="20"/>
          <w:szCs w:val="20"/>
        </w:rPr>
        <w:t xml:space="preserve">CUI must be stored only on Company-authorized systems that meet the controls in Section 5. Digital CUI must be encrypted at rest using FIPS-validated cryptography; physical CUI must be stored in locked containers or restricted-access areas.</w:t>
      </w:r>
    </w:p>
    <w:p>
      <w:pPr>
        <w:pStyle w:val="Heading2"/>
        <w:spacing w:after="100" w:before="200"/>
      </w:pPr>
      <w:r>
        <w:rPr>
          <w:rFonts w:ascii="Calibri" w:cs="Calibri" w:eastAsia="Calibri" w:hAnsi="Calibri"/>
          <w:b/>
          <w:bCs/>
          <w:color w:val="4472C4"/>
          <w:sz w:val="22"/>
          <w:szCs w:val="22"/>
        </w:rPr>
        <w:t xml:space="preserve">6.3 Transmission</w:t>
      </w:r>
    </w:p>
    <w:p>
      <w:pPr>
        <w:spacing w:after="120" w:line="264"/>
      </w:pPr>
      <w:r>
        <w:rPr>
          <w:rFonts w:ascii="Calibri" w:cs="Calibri" w:eastAsia="Calibri" w:hAnsi="Calibri"/>
          <w:color w:val="262626"/>
          <w:sz w:val="20"/>
          <w:szCs w:val="20"/>
        </w:rPr>
        <w:t xml:space="preserve">CUI transmitted electronically must use FIPS-validated encryption in transit (e.g., TLS 1.2+). CUI must not be sent via personal email, consumer file-sharing services, or unencrypted channels.</w:t>
      </w:r>
    </w:p>
    <w:p>
      <w:pPr>
        <w:pStyle w:val="Heading2"/>
        <w:spacing w:after="100" w:before="200"/>
      </w:pPr>
      <w:r>
        <w:rPr>
          <w:rFonts w:ascii="Calibri" w:cs="Calibri" w:eastAsia="Calibri" w:hAnsi="Calibri"/>
          <w:b/>
          <w:bCs/>
          <w:color w:val="4472C4"/>
          <w:sz w:val="22"/>
          <w:szCs w:val="22"/>
        </w:rPr>
        <w:t xml:space="preserve">6.4 Destruction &amp; Sanitization</w:t>
      </w:r>
    </w:p>
    <w:p>
      <w:pPr>
        <w:spacing w:after="120" w:line="264"/>
      </w:pPr>
      <w:r>
        <w:rPr>
          <w:rFonts w:ascii="Calibri" w:cs="Calibri" w:eastAsia="Calibri" w:hAnsi="Calibri"/>
          <w:color w:val="262626"/>
          <w:sz w:val="20"/>
          <w:szCs w:val="20"/>
        </w:rPr>
        <w:t xml:space="preserve">CUI and CUI-bearing media must be destroyed or sanitized using methods consistent with NIST SP 800-88 upon reaching the end of its retention period or authorized use.</w:t>
      </w:r>
    </w:p>
    <w:p>
      <w:pPr>
        <w:pStyle w:val="Heading2"/>
        <w:spacing w:after="100" w:before="200"/>
      </w:pPr>
      <w:r>
        <w:rPr>
          <w:rFonts w:ascii="Calibri" w:cs="Calibri" w:eastAsia="Calibri" w:hAnsi="Calibri"/>
          <w:b/>
          <w:bCs/>
          <w:color w:val="4472C4"/>
          <w:sz w:val="22"/>
          <w:szCs w:val="22"/>
        </w:rPr>
        <w:t xml:space="preserve">6.5 Access, Sharing &amp; Non-Disclosure</w:t>
      </w:r>
    </w:p>
    <w:p>
      <w:pPr>
        <w:spacing w:after="120" w:line="264"/>
      </w:pPr>
      <w:r>
        <w:rPr>
          <w:rFonts w:ascii="Calibri" w:cs="Calibri" w:eastAsia="Calibri" w:hAnsi="Calibri"/>
          <w:color w:val="262626"/>
          <w:sz w:val="20"/>
          <w:szCs w:val="20"/>
        </w:rPr>
        <w:t xml:space="preserve">CUI is shared only with individuals who have a demonstrated need-to-know and, where applicable, a signed non-disclosure agreement. CUI must not be shared with subcontractors, vendors, or other third parties unless a written agreement obligates them to protect the information consistent with this policy.</w:t>
      </w:r>
    </w:p>
    <w:p>
      <w:pPr>
        <w:pStyle w:val="Heading1"/>
        <w:pBdr>
          <w:bottom w:val="single" w:color="4472C4" w:sz="6" w:space="4"/>
        </w:pBdr>
        <w:spacing w:after="140" w:before="280"/>
      </w:pPr>
      <w:r>
        <w:rPr>
          <w:rFonts w:ascii="Calibri" w:cs="Calibri" w:eastAsia="Calibri" w:hAnsi="Calibri"/>
          <w:b/>
          <w:bCs/>
          <w:color w:val="1F3864"/>
          <w:sz w:val="26"/>
          <w:szCs w:val="26"/>
        </w:rPr>
        <w:t xml:space="preserve">7. Incident Reporting</w:t>
      </w:r>
    </w:p>
    <w:p>
      <w:pPr>
        <w:spacing w:after="120" w:line="264"/>
      </w:pPr>
      <w:r>
        <w:rPr>
          <w:rFonts w:ascii="Calibri" w:cs="Calibri" w:eastAsia="Calibri" w:hAnsi="Calibri"/>
          <w:color w:val="262626"/>
          <w:sz w:val="20"/>
          <w:szCs w:val="20"/>
        </w:rPr>
        <w:t xml:space="preserve">Any suspected or confirmed compromise, loss, or unauthorized disclosure of CUI must be reported to the IT Security Office within 24 hours of discovery, consistent with the Incident Response (IR) family and any applicable contractual reporting timelines (e.g., 72-hour DoD reporting). Personnel must not attempt to independently investigate or remediate a suspected incident before notifying the IT Security Office.</w:t>
      </w:r>
    </w:p>
    <w:p>
      <w:pPr>
        <w:pStyle w:val="Heading1"/>
        <w:pBdr>
          <w:bottom w:val="single" w:color="4472C4" w:sz="6" w:space="4"/>
        </w:pBdr>
        <w:spacing w:after="140" w:before="280"/>
      </w:pPr>
      <w:r>
        <w:rPr>
          <w:rFonts w:ascii="Calibri" w:cs="Calibri" w:eastAsia="Calibri" w:hAnsi="Calibri"/>
          <w:b/>
          <w:bCs/>
          <w:color w:val="1F3864"/>
          <w:sz w:val="26"/>
          <w:szCs w:val="26"/>
        </w:rPr>
        <w:t xml:space="preserve">8. Compliance &amp; Enforcement</w:t>
      </w:r>
    </w:p>
    <w:p>
      <w:pPr>
        <w:spacing w:after="120" w:line="264"/>
      </w:pPr>
      <w:r>
        <w:rPr>
          <w:rFonts w:ascii="Calibri" w:cs="Calibri" w:eastAsia="Calibri" w:hAnsi="Calibri"/>
          <w:color w:val="262626"/>
          <w:sz w:val="20"/>
          <w:szCs w:val="20"/>
        </w:rPr>
        <w:t xml:space="preserve">Compliance with this policy is verified through periodic self-assessments, internal audits, and third-party assessments as required (e.g., CMMC). The Company maintains supporting assessment scores and evidence (e.g., NIST SP 800-171 self-assessment results) as required by applicable contracts. Violations may result in disciplinary action, up to and including termination, and may be reported to relevant contracting authorities where required by law or contract.</w:t>
      </w:r>
    </w:p>
    <w:p>
      <w:pPr>
        <w:pStyle w:val="Heading1"/>
        <w:pBdr>
          <w:bottom w:val="single" w:color="4472C4" w:sz="6" w:space="4"/>
        </w:pBdr>
        <w:spacing w:after="140" w:before="280"/>
      </w:pPr>
      <w:r>
        <w:rPr>
          <w:rFonts w:ascii="Calibri" w:cs="Calibri" w:eastAsia="Calibri" w:hAnsi="Calibri"/>
          <w:b/>
          <w:bCs/>
          <w:color w:val="1F3864"/>
          <w:sz w:val="26"/>
          <w:szCs w:val="26"/>
        </w:rPr>
        <w:t xml:space="preserve">9. Exceptions</w:t>
      </w:r>
    </w:p>
    <w:p>
      <w:pPr>
        <w:spacing w:after="120" w:line="264"/>
      </w:pPr>
      <w:r>
        <w:rPr>
          <w:rFonts w:ascii="Calibri" w:cs="Calibri" w:eastAsia="Calibri" w:hAnsi="Calibri"/>
          <w:color w:val="262626"/>
          <w:sz w:val="20"/>
          <w:szCs w:val="20"/>
        </w:rPr>
        <w:t xml:space="preserve">Any exception to this policy must be documented, risk-assessed, and approved in writing by the CISO, and recorded in the POA&amp;M with a remediation timeline.</w:t>
      </w:r>
    </w:p>
    <w:p>
      <w:pPr>
        <w:pStyle w:val="Heading1"/>
        <w:pBdr>
          <w:bottom w:val="single" w:color="4472C4" w:sz="6" w:space="4"/>
        </w:pBdr>
        <w:spacing w:after="140" w:before="280"/>
      </w:pPr>
      <w:r>
        <w:rPr>
          <w:rFonts w:ascii="Calibri" w:cs="Calibri" w:eastAsia="Calibri" w:hAnsi="Calibri"/>
          <w:b/>
          <w:bCs/>
          <w:color w:val="1F3864"/>
          <w:sz w:val="26"/>
          <w:szCs w:val="26"/>
        </w:rPr>
        <w:t xml:space="preserve">10. Definitions &amp; References</w:t>
      </w:r>
    </w:p>
    <w:p>
      <w:pPr>
        <w:pStyle w:val="ListParagraph"/>
        <w:numPr>
          <w:ilvl w:val="0"/>
          <w:numId w:val="2"/>
        </w:numPr>
        <w:spacing w:after="60"/>
      </w:pPr>
      <w:r>
        <w:rPr>
          <w:rFonts w:ascii="Calibri" w:cs="Calibri" w:eastAsia="Calibri" w:hAnsi="Calibri"/>
          <w:color w:val="262626"/>
          <w:sz w:val="20"/>
          <w:szCs w:val="20"/>
        </w:rPr>
        <w:t xml:space="preserve">CUI – Controlled Unclassified Information, as defined by 32 CFR Part 2002 and the CUI Registry (archives.gov/cui).</w:t>
      </w:r>
    </w:p>
    <w:p>
      <w:pPr>
        <w:pStyle w:val="ListParagraph"/>
        <w:numPr>
          <w:ilvl w:val="0"/>
          <w:numId w:val="2"/>
        </w:numPr>
        <w:spacing w:after="60"/>
      </w:pPr>
      <w:r>
        <w:rPr>
          <w:rFonts w:ascii="Calibri" w:cs="Calibri" w:eastAsia="Calibri" w:hAnsi="Calibri"/>
          <w:color w:val="262626"/>
          <w:sz w:val="20"/>
          <w:szCs w:val="20"/>
        </w:rPr>
        <w:t xml:space="preserve">FCI – Federal Contract Information, information not intended for public release that is provided by or generated for the government under a contract.</w:t>
      </w:r>
    </w:p>
    <w:p>
      <w:pPr>
        <w:pStyle w:val="ListParagraph"/>
        <w:numPr>
          <w:ilvl w:val="0"/>
          <w:numId w:val="2"/>
        </w:numPr>
        <w:spacing w:after="60"/>
      </w:pPr>
      <w:r>
        <w:rPr>
          <w:rFonts w:ascii="Calibri" w:cs="Calibri" w:eastAsia="Calibri" w:hAnsi="Calibri"/>
          <w:color w:val="262626"/>
          <w:sz w:val="20"/>
          <w:szCs w:val="20"/>
        </w:rPr>
        <w:t xml:space="preserve">SSP – System Security Plan.</w:t>
      </w:r>
    </w:p>
    <w:p>
      <w:pPr>
        <w:pStyle w:val="ListParagraph"/>
        <w:numPr>
          <w:ilvl w:val="0"/>
          <w:numId w:val="2"/>
        </w:numPr>
        <w:spacing w:after="60"/>
      </w:pPr>
      <w:r>
        <w:rPr>
          <w:rFonts w:ascii="Calibri" w:cs="Calibri" w:eastAsia="Calibri" w:hAnsi="Calibri"/>
          <w:color w:val="262626"/>
          <w:sz w:val="20"/>
          <w:szCs w:val="20"/>
        </w:rPr>
        <w:t xml:space="preserve">POA&amp;M – Plan of Action &amp; Milestones.</w:t>
      </w:r>
    </w:p>
    <w:p>
      <w:pPr>
        <w:pStyle w:val="ListParagraph"/>
        <w:numPr>
          <w:ilvl w:val="0"/>
          <w:numId w:val="2"/>
        </w:numPr>
        <w:spacing w:after="60"/>
      </w:pPr>
      <w:r>
        <w:rPr>
          <w:rFonts w:ascii="Calibri" w:cs="Calibri" w:eastAsia="Calibri" w:hAnsi="Calibri"/>
          <w:color w:val="262626"/>
          <w:sz w:val="20"/>
          <w:szCs w:val="20"/>
        </w:rPr>
        <w:t xml:space="preserve">NARA – National Archives and Records Administration, the CUI Program Executive Agent.</w:t>
      </w:r>
    </w:p>
    <w:p>
      <w:pPr>
        <w:pStyle w:val="ListParagraph"/>
        <w:numPr>
          <w:ilvl w:val="0"/>
          <w:numId w:val="2"/>
        </w:numPr>
        <w:spacing w:after="60"/>
      </w:pPr>
      <w:r>
        <w:rPr>
          <w:rFonts w:ascii="Calibri" w:cs="Calibri" w:eastAsia="Calibri" w:hAnsi="Calibri"/>
          <w:color w:val="262626"/>
          <w:sz w:val="20"/>
          <w:szCs w:val="20"/>
        </w:rPr>
        <w:t xml:space="preserve">Reference: NIST SP 800-171 Rev. 3, Protecting Controlled Unclassified Information in Nonfederal Systems and Organizations.</w:t>
      </w:r>
    </w:p>
    <w:p>
      <w:pPr>
        <w:pStyle w:val="ListParagraph"/>
        <w:numPr>
          <w:ilvl w:val="0"/>
          <w:numId w:val="2"/>
        </w:numPr>
        <w:spacing w:after="60"/>
      </w:pPr>
      <w:r>
        <w:rPr>
          <w:rFonts w:ascii="Calibri" w:cs="Calibri" w:eastAsia="Calibri" w:hAnsi="Calibri"/>
          <w:color w:val="262626"/>
          <w:sz w:val="20"/>
          <w:szCs w:val="20"/>
        </w:rPr>
        <w:t xml:space="preserve">Reference: NIST SP 800-171A Rev. 3, Assessing Security Requirements for Controlled Unclassified Information.</w:t>
      </w:r>
    </w:p>
    <w:p>
      <w:pPr>
        <w:pStyle w:val="Heading1"/>
        <w:pBdr>
          <w:bottom w:val="single" w:color="4472C4" w:sz="6" w:space="4"/>
        </w:pBdr>
        <w:spacing w:after="140" w:before="280"/>
      </w:pPr>
      <w:r>
        <w:rPr>
          <w:rFonts w:ascii="Calibri" w:cs="Calibri" w:eastAsia="Calibri" w:hAnsi="Calibri"/>
          <w:b/>
          <w:bCs/>
          <w:color w:val="1F3864"/>
          <w:sz w:val="26"/>
          <w:szCs w:val="26"/>
        </w:rPr>
        <w:t xml:space="preserve">11. Related Documents</w:t>
      </w:r>
    </w:p>
    <w:p>
      <w:pPr>
        <w:spacing w:after="120" w:line="264"/>
      </w:pPr>
      <w:r>
        <w:rPr>
          <w:rFonts w:ascii="Calibri" w:cs="Calibri" w:eastAsia="Calibri" w:hAnsi="Calibri"/>
          <w:color w:val="262626"/>
          <w:sz w:val="20"/>
          <w:szCs w:val="20"/>
        </w:rPr>
        <w:t xml:space="preserve">This policy is implemented in conjunction with the following controlled companion documents, which are maintained and updated separately by the IT Security Office:</w:t>
      </w:r>
    </w:p>
    <w:p>
      <w:pPr>
        <w:pStyle w:val="ListParagraph"/>
        <w:numPr>
          <w:ilvl w:val="0"/>
          <w:numId w:val="2"/>
        </w:numPr>
        <w:spacing w:after="60"/>
      </w:pPr>
      <w:r>
        <w:rPr>
          <w:rFonts w:ascii="Calibri" w:cs="Calibri" w:eastAsia="Calibri" w:hAnsi="Calibri"/>
          <w:color w:val="262626"/>
          <w:sz w:val="20"/>
          <w:szCs w:val="20"/>
        </w:rPr>
        <w:t xml:space="preserve">System Security Plan (SSP) — control-by-control implementation detail for NIST SP 800-171 Rev. 3.</w:t>
      </w:r>
    </w:p>
    <w:p>
      <w:pPr>
        <w:pStyle w:val="ListParagraph"/>
        <w:numPr>
          <w:ilvl w:val="0"/>
          <w:numId w:val="2"/>
        </w:numPr>
        <w:spacing w:after="60"/>
      </w:pPr>
      <w:r>
        <w:rPr>
          <w:rFonts w:ascii="Calibri" w:cs="Calibri" w:eastAsia="Calibri" w:hAnsi="Calibri"/>
          <w:color w:val="262626"/>
          <w:sz w:val="20"/>
          <w:szCs w:val="20"/>
        </w:rPr>
        <w:t xml:space="preserve">Plan of Action &amp; Milestones (POA&amp;M) — tracked remediation of identified control gaps.</w:t>
      </w:r>
    </w:p>
    <w:p>
      <w:pPr>
        <w:pStyle w:val="ListParagraph"/>
        <w:numPr>
          <w:ilvl w:val="0"/>
          <w:numId w:val="2"/>
        </w:numPr>
        <w:spacing w:after="60"/>
      </w:pPr>
      <w:r>
        <w:rPr>
          <w:rFonts w:ascii="Calibri" w:cs="Calibri" w:eastAsia="Calibri" w:hAnsi="Calibri"/>
          <w:color w:val="262626"/>
          <w:sz w:val="20"/>
          <w:szCs w:val="20"/>
        </w:rPr>
        <w:t xml:space="preserve">Incident Response Plan — detailed procedures supporting Section 7 of this policy.</w:t>
      </w:r>
    </w:p>
    <w:p>
      <w:pPr>
        <w:pStyle w:val="ListParagraph"/>
        <w:numPr>
          <w:ilvl w:val="0"/>
          <w:numId w:val="2"/>
        </w:numPr>
        <w:spacing w:after="60"/>
      </w:pPr>
      <w:r>
        <w:rPr>
          <w:rFonts w:ascii="Calibri" w:cs="Calibri" w:eastAsia="Calibri" w:hAnsi="Calibri"/>
          <w:color w:val="262626"/>
          <w:sz w:val="20"/>
          <w:szCs w:val="20"/>
        </w:rPr>
        <w:t xml:space="preserve">Acceptable Use Policy — general rules of behavior for Company systems and data.</w:t>
      </w:r>
    </w:p>
    <w:p>
      <w:pPr>
        <w:pStyle w:val="ListParagraph"/>
        <w:numPr>
          <w:ilvl w:val="0"/>
          <w:numId w:val="2"/>
        </w:numPr>
        <w:spacing w:after="60"/>
      </w:pPr>
      <w:r>
        <w:rPr>
          <w:rFonts w:ascii="Calibri" w:cs="Calibri" w:eastAsia="Calibri" w:hAnsi="Calibri"/>
          <w:color w:val="262626"/>
          <w:sz w:val="20"/>
          <w:szCs w:val="20"/>
        </w:rPr>
        <w:t xml:space="preserve">Data Classification Policy — criteria for identifying and labeling CUI and other sensitive data.</w:t>
      </w:r>
    </w:p>
    <w:p>
      <w:pPr>
        <w:pStyle w:val="Heading1"/>
        <w:pBdr>
          <w:bottom w:val="single" w:color="4472C4" w:sz="6" w:space="4"/>
        </w:pBdr>
        <w:spacing w:after="140" w:before="280"/>
      </w:pPr>
      <w:r>
        <w:rPr>
          <w:rFonts w:ascii="Calibri" w:cs="Calibri" w:eastAsia="Calibri" w:hAnsi="Calibri"/>
          <w:b/>
          <w:bCs/>
          <w:color w:val="1F3864"/>
          <w:sz w:val="26"/>
          <w:szCs w:val="26"/>
        </w:rPr>
        <w:t xml:space="preserve">12. Policy Review</w:t>
      </w:r>
    </w:p>
    <w:p>
      <w:pPr>
        <w:spacing w:after="120" w:line="264"/>
      </w:pPr>
      <w:r>
        <w:rPr>
          <w:rFonts w:ascii="Calibri" w:cs="Calibri" w:eastAsia="Calibri" w:hAnsi="Calibri"/>
          <w:color w:val="262626"/>
          <w:sz w:val="20"/>
          <w:szCs w:val="20"/>
        </w:rPr>
        <w:t xml:space="preserve">This policy is reviewed at least annually by the IT Security Office and CISO, and updated as needed to reflect changes to NIST guidance, contractual obligations, or the Company's operating environment. Proposed revisions are approved through the same review process described in the Version / Revision History and Approval sections of this document.</w:t>
      </w:r>
    </w:p>
    <w:p>
      <w:r>
        <w:br w:type="page"/>
      </w:r>
    </w:p>
    <w:p>
      <w:pPr>
        <w:pStyle w:val="Heading1"/>
        <w:pBdr>
          <w:bottom w:val="single" w:color="4472C4" w:sz="6" w:space="4"/>
        </w:pBdr>
        <w:spacing w:after="140" w:before="280"/>
      </w:pPr>
      <w:r>
        <w:rPr>
          <w:rFonts w:ascii="Calibri" w:cs="Calibri" w:eastAsia="Calibri" w:hAnsi="Calibri"/>
          <w:b/>
          <w:bCs/>
          <w:color w:val="1F3864"/>
          <w:sz w:val="26"/>
          <w:szCs w:val="26"/>
        </w:rPr>
        <w:t xml:space="preserve">Appendix A: CMMC Level 2 Security Requirements by Domain</w:t>
      </w:r>
    </w:p>
    <w:p>
      <w:pPr>
        <w:spacing w:after="120" w:line="264"/>
      </w:pPr>
      <w:r>
        <w:rPr>
          <w:rFonts w:ascii="Calibri" w:cs="Calibri" w:eastAsia="Calibri" w:hAnsi="Calibri"/>
          <w:color w:val="262626"/>
          <w:sz w:val="20"/>
          <w:szCs w:val="20"/>
        </w:rPr>
        <w:t xml:space="preserve">The tables below list all 110 security requirements across the 14 CMMC Level 2 domains. Descriptions are paraphrased summaries for policy reference; the authoritative requirement text is in the DoD CMMC Assessment Guide – Level 2 and NIST SP 800-171.</w:t>
      </w:r>
    </w:p>
    <w:p>
      <w:r>
        <w:br w:type="page"/>
      </w:r>
    </w:p>
    <w:p>
      <w:pPr>
        <w:pStyle w:val="Heading2"/>
        <w:spacing w:after="40" w:before="0"/>
      </w:pPr>
      <w:r>
        <w:rPr>
          <w:rFonts w:ascii="Calibri" w:cs="Calibri" w:eastAsia="Calibri" w:hAnsi="Calibri"/>
          <w:b/>
          <w:bCs/>
          <w:color w:val="4472C4"/>
          <w:sz w:val="22"/>
          <w:szCs w:val="22"/>
        </w:rPr>
        <w:t xml:space="preserve">Appendix A.1  —  AC: Access Control</w:t>
      </w:r>
    </w:p>
    <w:p>
      <w:pPr>
        <w:spacing w:after="140"/>
      </w:pPr>
      <w:r>
        <w:rPr>
          <w:rFonts w:ascii="Calibri" w:cs="Calibri" w:eastAsia="Calibri" w:hAnsi="Calibri"/>
          <w:i/>
          <w:iCs/>
          <w:color w:val="595959"/>
          <w:sz w:val="17"/>
          <w:szCs w:val="17"/>
        </w:rPr>
        <w:t xml:space="preserve">22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system access to authorized users, processes, and devices.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access to the types of transactions and functions authorized users may perform.</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the flow of CUI in accordance with approved authorizations.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Separate the duties of individuals to reduce the risk of malevolent activity without collusion.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the principle of least privilege, including for specific security functions and privileged accounts.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Use non-privileged accounts when accessing non-security functions.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Prevent non-privileged users from executing privileged functions and log such attempts.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unsuccessful logon attempts.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Provide privacy and security notices consistent with applicable CUI rules.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3.1.10</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Use session lock with pattern-hiding displays after a period of inactivity.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Terminate user sessions automatically after a defined condition.</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and control remote access sessions.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cryptographic mechanisms to protect the confidentiality of remote access sessions.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Route remote access through managed access control points.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Authorize remote execution of privileged commands and remote access to security-relevant information.</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Authorize wireless access prior to allowing such connections.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wireless access using authentication and encryption.</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connection of mobile devices.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Encrypt CUI on mobile devices and mobile computing platforms.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3.1.20</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Verify and control or limit connections to and use of external systems.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use of portable storage devices on external systems.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CUI posted or processed on publicly accessible systems.</w:t>
            </w:r>
          </w:p>
        </w:tc>
      </w:tr>
    </w:tbl>
    <w:p>
      <w:r>
        <w:br w:type="page"/>
      </w:r>
    </w:p>
    <w:p>
      <w:pPr>
        <w:pStyle w:val="Heading2"/>
        <w:spacing w:after="40" w:before="0"/>
      </w:pPr>
      <w:r>
        <w:rPr>
          <w:rFonts w:ascii="Calibri" w:cs="Calibri" w:eastAsia="Calibri" w:hAnsi="Calibri"/>
          <w:b/>
          <w:bCs/>
          <w:color w:val="4472C4"/>
          <w:sz w:val="22"/>
          <w:szCs w:val="22"/>
        </w:rPr>
        <w:t xml:space="preserve">Appendix A.2  —  AT: Awareness &amp; Training</w:t>
      </w:r>
    </w:p>
    <w:p>
      <w:pPr>
        <w:spacing w:after="140"/>
      </w:pPr>
      <w:r>
        <w:rPr>
          <w:rFonts w:ascii="Calibri" w:cs="Calibri" w:eastAsia="Calibri" w:hAnsi="Calibri"/>
          <w:i/>
          <w:iCs/>
          <w:color w:val="595959"/>
          <w:sz w:val="17"/>
          <w:szCs w:val="17"/>
        </w:rPr>
        <w:t xml:space="preserve">3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3.2.1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managers, administrators, and users are aware of security risks and applicable policies.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3.2.2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personnel are trained to carry out their assigned security-related duties and responsibilities.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3.2.3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Provide security awareness training on recognizing and reporting indicators of insider threat.</w:t>
            </w:r>
          </w:p>
        </w:tc>
      </w:tr>
    </w:tbl>
    <w:p>
      <w:r>
        <w:br w:type="page"/>
      </w:r>
    </w:p>
    <w:p>
      <w:pPr>
        <w:pStyle w:val="Heading2"/>
        <w:spacing w:after="40" w:before="0"/>
      </w:pPr>
      <w:r>
        <w:rPr>
          <w:rFonts w:ascii="Calibri" w:cs="Calibri" w:eastAsia="Calibri" w:hAnsi="Calibri"/>
          <w:b/>
          <w:bCs/>
          <w:color w:val="4472C4"/>
          <w:sz w:val="22"/>
          <w:szCs w:val="22"/>
        </w:rPr>
        <w:t xml:space="preserve">Appendix A.3  —  AU: Audit &amp; Accountability</w:t>
      </w:r>
    </w:p>
    <w:p>
      <w:pPr>
        <w:spacing w:after="140"/>
      </w:pPr>
      <w:r>
        <w:rPr>
          <w:rFonts w:ascii="Calibri" w:cs="Calibri" w:eastAsia="Calibri" w:hAnsi="Calibri"/>
          <w:i/>
          <w:iCs/>
          <w:color w:val="595959"/>
          <w:sz w:val="17"/>
          <w:szCs w:val="17"/>
        </w:rPr>
        <w:t xml:space="preserve">9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Create and retain system audit logs to enable monitoring, analysis, investigation, and reporting.</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the actions of individual system users can be uniquely traced for accountability.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Review and update logged events periodically.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Alert appropriate personnel in the event of an audit logging process failure.</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Correlate audit review, analysis, and reporting to investigate unlawful or unauthorized activity.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Provide audit record reduction and report generation to support analysis and reporting.</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Provide a capability to compare and synchronize internal clocks with an authoritative time source.</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audit information and audit tools from unauthorized access, modification, and deletion.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3.3.9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management of audit logging functionality to a subset of privileged users.</w:t>
            </w:r>
          </w:p>
        </w:tc>
      </w:tr>
    </w:tbl>
    <w:p>
      <w:r>
        <w:br w:type="page"/>
      </w:r>
    </w:p>
    <w:p>
      <w:pPr>
        <w:pStyle w:val="Heading2"/>
        <w:spacing w:after="40" w:before="0"/>
      </w:pPr>
      <w:r>
        <w:rPr>
          <w:rFonts w:ascii="Calibri" w:cs="Calibri" w:eastAsia="Calibri" w:hAnsi="Calibri"/>
          <w:b/>
          <w:bCs/>
          <w:color w:val="4472C4"/>
          <w:sz w:val="22"/>
          <w:szCs w:val="22"/>
        </w:rPr>
        <w:t xml:space="preserve">Appendix A.4  —  CM: Configuration Management</w:t>
      </w:r>
    </w:p>
    <w:p>
      <w:pPr>
        <w:spacing w:after="140"/>
      </w:pPr>
      <w:r>
        <w:rPr>
          <w:rFonts w:ascii="Calibri" w:cs="Calibri" w:eastAsia="Calibri" w:hAnsi="Calibri"/>
          <w:i/>
          <w:iCs/>
          <w:color w:val="595959"/>
          <w:sz w:val="17"/>
          <w:szCs w:val="17"/>
        </w:rPr>
        <w:t xml:space="preserve">9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and maintain baseline configurations and inventories of organizational systems.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and enforce security configuration settings for information technology products.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Track, review, approve or disapprove, and log changes to organizational systems.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Analyze the security impact of changes prior to implementation.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Define, document, approve, and enforce physical and logical access restrictions for changes.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the principle of least functionality by configuring systems for essential capabilities only.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Restrict, disable, or prevent use of nonessential programs, functions, ports, protocols, and services.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Apply a deny-by-exception or allow-by-exception policy for software execution.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3.4.9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and monitor user-installed software.</w:t>
            </w:r>
          </w:p>
        </w:tc>
      </w:tr>
    </w:tbl>
    <w:p>
      <w:r>
        <w:br w:type="page"/>
      </w:r>
    </w:p>
    <w:p>
      <w:pPr>
        <w:pStyle w:val="Heading2"/>
        <w:spacing w:after="40" w:before="0"/>
      </w:pPr>
      <w:r>
        <w:rPr>
          <w:rFonts w:ascii="Calibri" w:cs="Calibri" w:eastAsia="Calibri" w:hAnsi="Calibri"/>
          <w:b/>
          <w:bCs/>
          <w:color w:val="4472C4"/>
          <w:sz w:val="22"/>
          <w:szCs w:val="22"/>
        </w:rPr>
        <w:t xml:space="preserve">Appendix A.5  —  IA: Identification &amp; Authentication</w:t>
      </w:r>
    </w:p>
    <w:p>
      <w:pPr>
        <w:spacing w:after="140"/>
      </w:pPr>
      <w:r>
        <w:rPr>
          <w:rFonts w:ascii="Calibri" w:cs="Calibri" w:eastAsia="Calibri" w:hAnsi="Calibri"/>
          <w:i/>
          <w:iCs/>
          <w:color w:val="595959"/>
          <w:sz w:val="17"/>
          <w:szCs w:val="17"/>
        </w:rPr>
        <w:t xml:space="preserve">11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Identify system users, processes acting on behalf of users, and devices.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Authenticate or verify the identities of users, processes, or devices before allowing access.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Use multi-factor authentication for local and network access to privileged and non-privileged accounts.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replay-resistant authentication mechanisms for network access to privileged and non-privileged accounts.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Prevent reuse of identifiers for a defined period.</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Disable identifiers after a defined period of inactivity.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Enforce a minimum password complexity and change of characters when new passwords are created.</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Prohibit password reuse for a specified number of generations.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Allow temporary password use for system logons with an immediate change to a permanent password.</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3.5.10</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Store and transmit only cryptographically-protected passwords.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3.5.11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Obscure feedback of authentication information during the authentication process.</w:t>
            </w:r>
          </w:p>
        </w:tc>
      </w:tr>
    </w:tbl>
    <w:p>
      <w:r>
        <w:br w:type="page"/>
      </w:r>
    </w:p>
    <w:p>
      <w:pPr>
        <w:pStyle w:val="Heading2"/>
        <w:spacing w:after="40" w:before="0"/>
      </w:pPr>
      <w:r>
        <w:rPr>
          <w:rFonts w:ascii="Calibri" w:cs="Calibri" w:eastAsia="Calibri" w:hAnsi="Calibri"/>
          <w:b/>
          <w:bCs/>
          <w:color w:val="4472C4"/>
          <w:sz w:val="22"/>
          <w:szCs w:val="22"/>
        </w:rPr>
        <w:t xml:space="preserve">Appendix A.6  —  IR: Incident Response</w:t>
      </w:r>
    </w:p>
    <w:p>
      <w:pPr>
        <w:spacing w:after="140"/>
      </w:pPr>
      <w:r>
        <w:rPr>
          <w:rFonts w:ascii="Calibri" w:cs="Calibri" w:eastAsia="Calibri" w:hAnsi="Calibri"/>
          <w:i/>
          <w:iCs/>
          <w:color w:val="595959"/>
          <w:sz w:val="17"/>
          <w:szCs w:val="17"/>
        </w:rPr>
        <w:t xml:space="preserve">3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3.6.1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 operational incident-handling capability covering preparation, detection, containment, and recovery.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3.6.2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Track, document, and report incidents to designated officials or authorities.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3.6.3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Test the organizational incident response capability.</w:t>
            </w:r>
          </w:p>
        </w:tc>
      </w:tr>
    </w:tbl>
    <w:p>
      <w:r>
        <w:br w:type="page"/>
      </w:r>
    </w:p>
    <w:p>
      <w:pPr>
        <w:pStyle w:val="Heading2"/>
        <w:spacing w:after="40" w:before="0"/>
      </w:pPr>
      <w:r>
        <w:rPr>
          <w:rFonts w:ascii="Calibri" w:cs="Calibri" w:eastAsia="Calibri" w:hAnsi="Calibri"/>
          <w:b/>
          <w:bCs/>
          <w:color w:val="4472C4"/>
          <w:sz w:val="22"/>
          <w:szCs w:val="22"/>
        </w:rPr>
        <w:t xml:space="preserve">Appendix A.7  —  MA: Maintenance</w:t>
      </w:r>
    </w:p>
    <w:p>
      <w:pPr>
        <w:spacing w:after="140"/>
      </w:pPr>
      <w:r>
        <w:rPr>
          <w:rFonts w:ascii="Calibri" w:cs="Calibri" w:eastAsia="Calibri" w:hAnsi="Calibri"/>
          <w:i/>
          <w:iCs/>
          <w:color w:val="595959"/>
          <w:sz w:val="17"/>
          <w:szCs w:val="17"/>
        </w:rPr>
        <w:t xml:space="preserve">6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Perform maintenance on organizational systems.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tools, techniques, mechanisms, and personnel used for system maintenance.</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equipment removed for off-site maintenance is sanitized of any CUI.</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Check media containing diagnostic and test programs for malicious code before use.</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Require multi-factor authentication for nonlocal maintenance sessions and terminate sessions when complete.</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3.7.6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Supervise the maintenance activities of personnel without required access authorization.</w:t>
            </w:r>
          </w:p>
        </w:tc>
      </w:tr>
    </w:tbl>
    <w:p>
      <w:r>
        <w:br w:type="page"/>
      </w:r>
    </w:p>
    <w:p>
      <w:pPr>
        <w:pStyle w:val="Heading2"/>
        <w:spacing w:after="40" w:before="0"/>
      </w:pPr>
      <w:r>
        <w:rPr>
          <w:rFonts w:ascii="Calibri" w:cs="Calibri" w:eastAsia="Calibri" w:hAnsi="Calibri"/>
          <w:b/>
          <w:bCs/>
          <w:color w:val="4472C4"/>
          <w:sz w:val="22"/>
          <w:szCs w:val="22"/>
        </w:rPr>
        <w:t xml:space="preserve">Appendix A.8  —  MP: Media Protection</w:t>
      </w:r>
    </w:p>
    <w:p>
      <w:pPr>
        <w:spacing w:after="140"/>
      </w:pPr>
      <w:r>
        <w:rPr>
          <w:rFonts w:ascii="Calibri" w:cs="Calibri" w:eastAsia="Calibri" w:hAnsi="Calibri"/>
          <w:i/>
          <w:iCs/>
          <w:color w:val="595959"/>
          <w:sz w:val="17"/>
          <w:szCs w:val="17"/>
        </w:rPr>
        <w:t xml:space="preserve">9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Physically control and securely store system media containing CUI.</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access to CUI on system media to authorized users.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Sanitize or destroy system media containing CUI before disposal or reuse.</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Mark media with necessary CUI markings and distribution limitations.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access to media containing CUI and maintain accountability during transport.</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Implement cryptographic protection for CUI on digital media during transport.</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the use of removable media on system components.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Prohibit use of portable storage devices without an identifiable owner.</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3.8.9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the confidentiality of backup CUI at storage locations.</w:t>
            </w:r>
          </w:p>
        </w:tc>
      </w:tr>
    </w:tbl>
    <w:p>
      <w:r>
        <w:br w:type="page"/>
      </w:r>
    </w:p>
    <w:p>
      <w:pPr>
        <w:pStyle w:val="Heading2"/>
        <w:spacing w:after="40" w:before="0"/>
      </w:pPr>
      <w:r>
        <w:rPr>
          <w:rFonts w:ascii="Calibri" w:cs="Calibri" w:eastAsia="Calibri" w:hAnsi="Calibri"/>
          <w:b/>
          <w:bCs/>
          <w:color w:val="4472C4"/>
          <w:sz w:val="22"/>
          <w:szCs w:val="22"/>
        </w:rPr>
        <w:t xml:space="preserve">Appendix A.9  —  PS: Personnel Security</w:t>
      </w:r>
    </w:p>
    <w:p>
      <w:pPr>
        <w:spacing w:after="140"/>
      </w:pPr>
      <w:r>
        <w:rPr>
          <w:rFonts w:ascii="Calibri" w:cs="Calibri" w:eastAsia="Calibri" w:hAnsi="Calibri"/>
          <w:i/>
          <w:iCs/>
          <w:color w:val="595959"/>
          <w:sz w:val="17"/>
          <w:szCs w:val="17"/>
        </w:rPr>
        <w:t xml:space="preserve">2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3.9.1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Screen individuals prior to authorizing access to organizational systems containing CUI.</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3.9.2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Ensure CUI and systems are protected during and after personnel actions such as terminations and transfers.</w:t>
            </w:r>
          </w:p>
        </w:tc>
      </w:tr>
    </w:tbl>
    <w:p>
      <w:r>
        <w:br w:type="page"/>
      </w:r>
    </w:p>
    <w:p>
      <w:pPr>
        <w:pStyle w:val="Heading2"/>
        <w:spacing w:after="40" w:before="0"/>
      </w:pPr>
      <w:r>
        <w:rPr>
          <w:rFonts w:ascii="Calibri" w:cs="Calibri" w:eastAsia="Calibri" w:hAnsi="Calibri"/>
          <w:b/>
          <w:bCs/>
          <w:color w:val="4472C4"/>
          <w:sz w:val="22"/>
          <w:szCs w:val="22"/>
        </w:rPr>
        <w:t xml:space="preserve">Appendix A.10  —  PE: Physical Protection</w:t>
      </w:r>
    </w:p>
    <w:p>
      <w:pPr>
        <w:spacing w:after="140"/>
      </w:pPr>
      <w:r>
        <w:rPr>
          <w:rFonts w:ascii="Calibri" w:cs="Calibri" w:eastAsia="Calibri" w:hAnsi="Calibri"/>
          <w:i/>
          <w:iCs/>
          <w:color w:val="595959"/>
          <w:sz w:val="17"/>
          <w:szCs w:val="17"/>
        </w:rPr>
        <w:t xml:space="preserve">6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Limit physical access to organizational systems, equipment, and operating environments to authorized individuals.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and monitor the physical facility and support infrastructure for organizational systems.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Escort visitors and monitor visitor activity.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Maintain audit logs of physical access.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and manage physical access devices.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3.10.6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Enforce safeguarding measures for CUI at alternate work sites.</w:t>
            </w:r>
          </w:p>
        </w:tc>
      </w:tr>
    </w:tbl>
    <w:p>
      <w:r>
        <w:br w:type="page"/>
      </w:r>
    </w:p>
    <w:p>
      <w:pPr>
        <w:pStyle w:val="Heading2"/>
        <w:spacing w:after="40" w:before="0"/>
      </w:pPr>
      <w:r>
        <w:rPr>
          <w:rFonts w:ascii="Calibri" w:cs="Calibri" w:eastAsia="Calibri" w:hAnsi="Calibri"/>
          <w:b/>
          <w:bCs/>
          <w:color w:val="4472C4"/>
          <w:sz w:val="22"/>
          <w:szCs w:val="22"/>
        </w:rPr>
        <w:t xml:space="preserve">Appendix A.11  —  RA: Risk Assessment</w:t>
      </w:r>
    </w:p>
    <w:p>
      <w:pPr>
        <w:spacing w:after="140"/>
      </w:pPr>
      <w:r>
        <w:rPr>
          <w:rFonts w:ascii="Calibri" w:cs="Calibri" w:eastAsia="Calibri" w:hAnsi="Calibri"/>
          <w:i/>
          <w:iCs/>
          <w:color w:val="595959"/>
          <w:sz w:val="17"/>
          <w:szCs w:val="17"/>
        </w:rPr>
        <w:t xml:space="preserve">3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Periodically assess the risk to organizational operations, assets, and individuals from system operation.</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Scan for vulnerabilities periodically and when new vulnerabilities are identified.</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3.11.3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Remediate vulnerabilities in accordance with risk assessments.</w:t>
            </w:r>
          </w:p>
        </w:tc>
      </w:tr>
    </w:tbl>
    <w:p>
      <w:r>
        <w:br w:type="page"/>
      </w:r>
    </w:p>
    <w:p>
      <w:pPr>
        <w:pStyle w:val="Heading2"/>
        <w:spacing w:after="40" w:before="0"/>
      </w:pPr>
      <w:r>
        <w:rPr>
          <w:rFonts w:ascii="Calibri" w:cs="Calibri" w:eastAsia="Calibri" w:hAnsi="Calibri"/>
          <w:b/>
          <w:bCs/>
          <w:color w:val="4472C4"/>
          <w:sz w:val="22"/>
          <w:szCs w:val="22"/>
        </w:rPr>
        <w:t xml:space="preserve">Appendix A.12  —  CA: Security Assessment</w:t>
      </w:r>
    </w:p>
    <w:p>
      <w:pPr>
        <w:spacing w:after="140"/>
      </w:pPr>
      <w:r>
        <w:rPr>
          <w:rFonts w:ascii="Calibri" w:cs="Calibri" w:eastAsia="Calibri" w:hAnsi="Calibri"/>
          <w:i/>
          <w:iCs/>
          <w:color w:val="595959"/>
          <w:sz w:val="17"/>
          <w:szCs w:val="17"/>
        </w:rPr>
        <w:t xml:space="preserve">4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Periodically assess the security controls to determine their effectiveness.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Develop and implement plans of action to correct deficiencies and reduce vulnerabilities.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security controls on an ongoing basis to ensure continued effectiveness.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3.12.4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Develop, document, and periodically update system security plans.</w:t>
            </w:r>
          </w:p>
        </w:tc>
      </w:tr>
    </w:tbl>
    <w:p>
      <w:r>
        <w:br w:type="page"/>
      </w:r>
    </w:p>
    <w:p>
      <w:pPr>
        <w:pStyle w:val="Heading2"/>
        <w:spacing w:after="40" w:before="0"/>
      </w:pPr>
      <w:r>
        <w:rPr>
          <w:rFonts w:ascii="Calibri" w:cs="Calibri" w:eastAsia="Calibri" w:hAnsi="Calibri"/>
          <w:b/>
          <w:bCs/>
          <w:color w:val="4472C4"/>
          <w:sz w:val="22"/>
          <w:szCs w:val="22"/>
        </w:rPr>
        <w:t xml:space="preserve">Appendix A.13  —  SC: System &amp; Communications Protection</w:t>
      </w:r>
    </w:p>
    <w:p>
      <w:pPr>
        <w:spacing w:after="140"/>
      </w:pPr>
      <w:r>
        <w:rPr>
          <w:rFonts w:ascii="Calibri" w:cs="Calibri" w:eastAsia="Calibri" w:hAnsi="Calibri"/>
          <w:i/>
          <w:iCs/>
          <w:color w:val="595959"/>
          <w:sz w:val="17"/>
          <w:szCs w:val="17"/>
        </w:rPr>
        <w:t xml:space="preserve">16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control, and protect communications at external and key internal system boundaries.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architectural designs and software engineering techniques that promote effective information security.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Separate user functionality from system management functionality.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Prevent unauthorized information transfer via shared system resources.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Implement subnetworks for publicly accessible components that are physically or logically separated.</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Deny network communications traffic by default and allow by exception.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Prevent remote devices from simultaneously connecting to the system and other networks.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3.13.8</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Implement cryptographic mechanisms to prevent unauthorized disclosure of CUI during transmission.</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3.13.9</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Terminate network connections at the end of a session or after a period of inactivity.</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3.13.10</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Establish and manage cryptographic keys for cryptography employed in organizational systems.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Employ FIPS-validated cryptography to protect the confidentiality of CUI.</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Prohibit remote activation of collaborative computing devices and provide indication of devices in use.</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and monitor the use of mobile code.</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Control and monitor the use of Voice over Internet Protocol (VoIP) technologies.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the authenticity of communications sessions.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3.13.16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Protect the confidentiality of CUI at rest.</w:t>
            </w:r>
          </w:p>
        </w:tc>
      </w:tr>
    </w:tbl>
    <w:p>
      <w:r>
        <w:br w:type="page"/>
      </w:r>
    </w:p>
    <w:p>
      <w:pPr>
        <w:pStyle w:val="Heading2"/>
        <w:spacing w:after="40" w:before="0"/>
      </w:pPr>
      <w:r>
        <w:rPr>
          <w:rFonts w:ascii="Calibri" w:cs="Calibri" w:eastAsia="Calibri" w:hAnsi="Calibri"/>
          <w:b/>
          <w:bCs/>
          <w:color w:val="4472C4"/>
          <w:sz w:val="22"/>
          <w:szCs w:val="22"/>
        </w:rPr>
        <w:t xml:space="preserve">Appendix A.14  —  SI: System &amp; Information Integrity</w:t>
      </w:r>
    </w:p>
    <w:p>
      <w:pPr>
        <w:spacing w:after="140"/>
      </w:pPr>
      <w:r>
        <w:rPr>
          <w:rFonts w:ascii="Calibri" w:cs="Calibri" w:eastAsia="Calibri" w:hAnsi="Calibri"/>
          <w:i/>
          <w:iCs/>
          <w:color w:val="595959"/>
          <w:sz w:val="17"/>
          <w:szCs w:val="17"/>
        </w:rPr>
        <w:t xml:space="preserve">7 security requirements — CMMC Level 2 / NIST SP 800-171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8450"/>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Security Requirement (Paraphrased Summary)</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3.14.1</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Identify, report, and correct system flaws in a timely manner.</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3.14.2</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Provide protection from malicious code at designated locations.</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3.14.3</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system security alerts and advisories and take action in response.</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3.14.4</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Update malicious code protection mechanisms when new releases are available.</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3.14.5</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Perform periodic and real-time scans of files from external sources.</w:t>
            </w:r>
          </w:p>
        </w:tc>
      </w:tr>
      <w:tr>
        <w:tc>
          <w:tcPr>
            <w:tcW w:type="dxa" w:w="90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3.14.6</w:t>
            </w:r>
          </w:p>
        </w:tc>
        <w:tc>
          <w:tcPr>
            <w:tcW w:type="dxa" w:w="8450"/>
            <w:shd w:fill="FFFFFF"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Monitor systems, including inbound and outbound communications, for attacks and indicators of attack.</w:t>
            </w:r>
          </w:p>
        </w:tc>
      </w:tr>
      <w:tr>
        <w:tc>
          <w:tcPr>
            <w:tcW w:type="dxa" w:w="90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3.14.7</w:t>
            </w:r>
          </w:p>
        </w:tc>
        <w:tc>
          <w:tcPr>
            <w:tcW w:type="dxa" w:w="8450"/>
            <w:shd w:fill="F2F2F2" w:val="clear"/>
            <w:tcMar>
              <w:top w:type="dxa" w:w="60"/>
              <w:left w:type="dxa" w:w="100"/>
              <w:bottom w:type="dxa" w:w="60"/>
              <w:right w:type="dxa" w:w="100"/>
            </w:tcMar>
            <w:vAlign w:val="center"/>
          </w:tcPr>
          <w:p>
            <w:r>
              <w:rPr>
                <w:rFonts w:ascii="Calibri" w:cs="Calibri" w:eastAsia="Calibri" w:hAnsi="Calibri"/>
                <w:b w:val="false"/>
                <w:bCs w:val="false"/>
                <w:color w:val="262626"/>
                <w:sz w:val="17"/>
                <w:szCs w:val="17"/>
              </w:rPr>
              <w:t xml:space="preserve">Identify unauthorized use of organizational systems.</w:t>
            </w:r>
          </w:p>
        </w:tc>
      </w:tr>
    </w:tbl>
    <w:sectPr>
      <w:headerReference w:type="default" r:id="rId11"/>
      <w:footerReference w:type="default" r:id="rId12"/>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center" w:pos="4513"/>
        <w:tab w:val="right" w:pos="9026"/>
      </w:tabs>
      <w:spacing w:before="0"/>
    </w:pPr>
    <w:r>
      <w:rPr>
        <w:rFonts w:ascii="Calibri" w:cs="Calibri" w:eastAsia="Calibri" w:hAnsi="Calibri"/>
        <w:b/>
        <w:bCs/>
        <w:color w:val="C00000"/>
        <w:sz w:val="14"/>
        <w:szCs w:val="14"/>
      </w:rPr>
      <w:t xml:space="preserve">CONTROLLED UNCLASSIFIED INFORMATION</w:t>
    </w:r>
    <w:r>
      <w:rPr>
        <w:rFonts w:ascii="Calibri" w:cs="Calibri" w:eastAsia="Calibri" w:hAnsi="Calibri"/>
        <w:color w:val="595959"/>
        <w:sz w:val="14"/>
        <w:szCs w:val="14"/>
      </w:rPr>
      <w:t xml:space="preserve">	Doc. No. POL-CUI-001  |  Rev. 1.1</w:t>
    </w:r>
    <w:r>
      <w:rPr>
        <w:sz w:val="14"/>
        <w:szCs w:val="14"/>
      </w:rPr>
      <w:t xml:space="preserve">	</w:t>
    </w: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center" w:pos="4513"/>
        <w:tab w:val="right" w:pos="9026"/>
      </w:tabs>
      <w:spacing w:before="0"/>
    </w:pPr>
    <w:r>
      <w:rPr>
        <w:rFonts w:ascii="Calibri" w:cs="Calibri" w:eastAsia="Calibri" w:hAnsi="Calibri"/>
        <w:b/>
        <w:bCs/>
        <w:color w:val="C00000"/>
        <w:sz w:val="14"/>
        <w:szCs w:val="14"/>
      </w:rPr>
      <w:t xml:space="preserve">CONTROLLED UNCLASSIFIED INFORMATION</w:t>
    </w:r>
    <w:r>
      <w:rPr>
        <w:rFonts w:ascii="Calibri" w:cs="Calibri" w:eastAsia="Calibri" w:hAnsi="Calibri"/>
        <w:color w:val="595959"/>
        <w:sz w:val="14"/>
        <w:szCs w:val="14"/>
      </w:rPr>
      <w:t xml:space="preserve">	Doc. No. POL-CUI-001  |  Rev. 1.1</w:t>
    </w:r>
    <w:r>
      <w:rPr>
        <w:sz w:val="14"/>
        <w:szCs w:val="14"/>
      </w:rPr>
      <w:t xml:space="preserve">	</w:t>
    </w: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center" w:pos="4513"/>
        <w:tab w:val="right" w:pos="9026"/>
      </w:tabs>
      <w:spacing w:before="0"/>
    </w:pPr>
    <w:r>
      <w:rPr>
        <w:rFonts w:ascii="Calibri" w:cs="Calibri" w:eastAsia="Calibri" w:hAnsi="Calibri"/>
        <w:b/>
        <w:bCs/>
        <w:color w:val="C00000"/>
        <w:sz w:val="14"/>
        <w:szCs w:val="14"/>
      </w:rPr>
      <w:t xml:space="preserve">CONTROLLED UNCLASSIFIED INFORMATION</w:t>
    </w:r>
    <w:r>
      <w:rPr>
        <w:rFonts w:ascii="Calibri" w:cs="Calibri" w:eastAsia="Calibri" w:hAnsi="Calibri"/>
        <w:color w:val="595959"/>
        <w:sz w:val="14"/>
        <w:szCs w:val="14"/>
      </w:rPr>
      <w:t xml:space="preserve">	Doc. No. POL-CUI-001  |  Rev. 1.1</w:t>
    </w:r>
    <w:r>
      <w:rPr>
        <w:sz w:val="14"/>
        <w:szCs w:val="14"/>
      </w:rPr>
      <w:t xml:space="preserve">	</w:t>
    </w: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6"/>
      </w:pBdr>
      <w:tabs>
        <w:tab w:val="right" w:pos="9026"/>
      </w:tabs>
      <w:spacing w:after="0"/>
    </w:pPr>
    <w:r>
      <w:rPr>
        <w:rFonts w:ascii="Calibri" w:cs="Calibri" w:eastAsia="Calibri" w:hAnsi="Calibri"/>
        <w:b/>
        <w:bCs/>
        <w:color w:val="1F3864"/>
        <w:spacing w:val="6"/>
        <w:sz w:val="17"/>
        <w:szCs w:val="17"/>
      </w:rPr>
      <w:t xml:space="preserve">[COMPANY NAME]</w:t>
    </w:r>
    <w:r>
      <w:rPr>
        <w:rFonts w:ascii="Calibri" w:cs="Calibri" w:eastAsia="Calibri" w:hAnsi="Calibri"/>
        <w:b/>
        <w:bCs/>
        <w:color w:val="595959"/>
        <w:spacing w:val="4"/>
        <w:sz w:val="15"/>
        <w:szCs w:val="15"/>
      </w:rPr>
      <w:t xml:space="preserve">	CUI PROTECTION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6"/>
      </w:pBdr>
      <w:tabs>
        <w:tab w:val="right" w:pos="9026"/>
      </w:tabs>
      <w:spacing w:after="0"/>
    </w:pPr>
    <w:r>
      <w:rPr>
        <w:rFonts w:ascii="Calibri" w:cs="Calibri" w:eastAsia="Calibri" w:hAnsi="Calibri"/>
        <w:b/>
        <w:bCs/>
        <w:color w:val="1F3864"/>
        <w:spacing w:val="6"/>
        <w:sz w:val="17"/>
        <w:szCs w:val="17"/>
      </w:rPr>
      <w:t xml:space="preserve">[COMPANY NAME]</w:t>
    </w:r>
    <w:r>
      <w:rPr>
        <w:rFonts w:ascii="Calibri" w:cs="Calibri" w:eastAsia="Calibri" w:hAnsi="Calibri"/>
        <w:b/>
        <w:bCs/>
        <w:color w:val="595959"/>
        <w:spacing w:val="4"/>
        <w:sz w:val="15"/>
        <w:szCs w:val="15"/>
      </w:rPr>
      <w:t xml:space="preserve">	CUI PROTECTION POLICY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6"/>
      </w:pBdr>
      <w:tabs>
        <w:tab w:val="right" w:pos="9026"/>
      </w:tabs>
      <w:spacing w:after="0"/>
    </w:pPr>
    <w:r>
      <w:rPr>
        <w:rFonts w:ascii="Calibri" w:cs="Calibri" w:eastAsia="Calibri" w:hAnsi="Calibri"/>
        <w:b/>
        <w:bCs/>
        <w:color w:val="1F3864"/>
        <w:spacing w:val="6"/>
        <w:sz w:val="17"/>
        <w:szCs w:val="17"/>
      </w:rPr>
      <w:t xml:space="preserve">[COMPANY NAME]</w:t>
    </w:r>
    <w:r>
      <w:rPr>
        <w:rFonts w:ascii="Calibri" w:cs="Calibri" w:eastAsia="Calibri" w:hAnsi="Calibri"/>
        <w:b/>
        <w:bCs/>
        <w:color w:val="595959"/>
        <w:spacing w:val="4"/>
        <w:sz w:val="15"/>
        <w:szCs w:val="15"/>
      </w:rPr>
      <w:t xml:space="preserve">	CUI PROTECTION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2026-07-16T21:53:27.709Z</dcterms:created>
  <dcterms:modified xsi:type="dcterms:W3CDTF">2026-07-16T21:53:27.725Z</dcterms:modified>
</cp:coreProperties>
</file>

<file path=docProps/custom.xml><?xml version="1.0" encoding="utf-8"?>
<Properties xmlns="http://schemas.openxmlformats.org/officeDocument/2006/custom-properties" xmlns:vt="http://schemas.openxmlformats.org/officeDocument/2006/docPropsVTypes"/>
</file>