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15B67" w:rsidRDefault="00E15B67" w:rsidP="00E15B67">
      <w:r>
        <w:t xml:space="preserve">1: Crecimiento del PIB </w:t>
      </w:r>
    </w:p>
    <w:p w:rsidR="00E15B67" w:rsidRDefault="00E15B67" w:rsidP="00E15B67"/>
    <w:p w:rsidR="00E15B67" w:rsidRDefault="00E15B67" w:rsidP="00E15B67">
      <w:r>
        <w:t xml:space="preserve">En 2021 tiempo marcado por la pandemia COVID 19 todos los países mostraron un rebote derivado a las secuelas del mismo, la tendencia hacia 2025 es de normalización y estabilidad. Un PIB creciente </w:t>
      </w:r>
      <w:proofErr w:type="gramStart"/>
      <w:r>
        <w:t>favorecía  la</w:t>
      </w:r>
      <w:proofErr w:type="gramEnd"/>
      <w:r>
        <w:t xml:space="preserve"> demanda de productos gourmet como </w:t>
      </w:r>
      <w:proofErr w:type="spellStart"/>
      <w:r>
        <w:t>il</w:t>
      </w:r>
      <w:proofErr w:type="spellEnd"/>
      <w:r>
        <w:t xml:space="preserve"> </w:t>
      </w:r>
      <w:proofErr w:type="spellStart"/>
      <w:r>
        <w:t>castello</w:t>
      </w:r>
      <w:proofErr w:type="spellEnd"/>
      <w:r>
        <w:t xml:space="preserve"> por ello buscamos calificar y observar según qué país podría ser más conveniente para el ingreso de la marca en base a este indicador:</w:t>
      </w:r>
    </w:p>
    <w:p w:rsidR="00E15B67" w:rsidRDefault="00E15B67" w:rsidP="00E15B67"/>
    <w:p w:rsidR="00E15B67" w:rsidRDefault="00E15B67" w:rsidP="00E15B67">
      <w:r>
        <w:t xml:space="preserve"> Países como México y El Salvador muestran una estabilidad mayor en el crecimiento proyectado para 2025. </w:t>
      </w:r>
      <w:proofErr w:type="gramStart"/>
      <w:r>
        <w:t>Pero</w:t>
      </w:r>
      <w:proofErr w:type="gramEnd"/>
      <w:r>
        <w:t xml:space="preserve"> por el contrario, la alta volatilidad de Argentina (con caídas pronunciadas en 2023) representa un riesgo por ser tan inestable, ya que el consumo de lujo es lo primero que se contrae en recesión lo que afectaría las ventas </w:t>
      </w:r>
    </w:p>
    <w:p w:rsidR="00E15B67" w:rsidRDefault="00E15B67" w:rsidP="00E15B67">
      <w:r>
        <w:t>Calificación Promedio: 2</w:t>
      </w:r>
    </w:p>
    <w:p w:rsidR="00E15B67" w:rsidRDefault="00E15B67" w:rsidP="00E15B67">
      <w:r>
        <w:t>(Regiones en desaceleración)</w:t>
      </w:r>
    </w:p>
    <w:p w:rsidR="00E15B67" w:rsidRDefault="00E15B67" w:rsidP="00E15B67">
      <w:proofErr w:type="gramStart"/>
      <w:r>
        <w:t>México  4</w:t>
      </w:r>
      <w:proofErr w:type="gramEnd"/>
    </w:p>
    <w:p w:rsidR="00D76D5E" w:rsidRDefault="00E15B67" w:rsidP="00E15B67">
      <w:r>
        <w:t>El Salvador 4</w:t>
      </w:r>
    </w:p>
    <w:p w:rsidR="00E15B67" w:rsidRDefault="00E15B67" w:rsidP="00E15B67"/>
    <w:p w:rsidR="00E15B67" w:rsidRDefault="00E15B67" w:rsidP="00E15B67">
      <w:r>
        <w:t xml:space="preserve">2: Inflación </w:t>
      </w:r>
    </w:p>
    <w:p w:rsidR="00E15B67" w:rsidRDefault="00E15B67" w:rsidP="00E15B67"/>
    <w:p w:rsidR="00E15B67" w:rsidRDefault="00E15B67" w:rsidP="00E15B67">
      <w:r>
        <w:t xml:space="preserve">La inflación elevada nos afecta </w:t>
      </w:r>
      <w:proofErr w:type="gramStart"/>
      <w:r>
        <w:t>en  los</w:t>
      </w:r>
      <w:proofErr w:type="gramEnd"/>
      <w:r>
        <w:t xml:space="preserve"> márgenes de beneficio y obliga a ajustes constantes de precios, lo que aleja al consumidor objetivo ya que si incrementa el precio a menos de que tengamos una propuesta de valor y un buen marketing de ventas, entonces no podremos justificar el precio al que vendemos. </w:t>
      </w:r>
    </w:p>
    <w:p w:rsidR="00E15B67" w:rsidRDefault="00E15B67" w:rsidP="00E15B67">
      <w:r>
        <w:t xml:space="preserve">Argentina es el caso negativo extremo (calificación 1), con una inflación que desincentiva cualquier inversión, El Salvador, gracias a la dolarización, y Perú, con una política monetaria sólida, presentan las curvas más bajas y estables (calificación 5) Una inflación baja permite una planeación financiera a largo plazo y estabilidad en el costo de insumos para asegurarnos de regular los precios y vender razonablemente a ojos del cliente objetivo </w:t>
      </w:r>
    </w:p>
    <w:p w:rsidR="00E15B67" w:rsidRDefault="00E15B67" w:rsidP="00E15B67">
      <w:r>
        <w:t xml:space="preserve">Calificación argentina: 1 </w:t>
      </w:r>
    </w:p>
    <w:p w:rsidR="00E15B67" w:rsidRDefault="00E15B67" w:rsidP="00E15B67">
      <w:r>
        <w:t>Líder: El Salvador / Perú 4</w:t>
      </w:r>
    </w:p>
    <w:p w:rsidR="00E15B67" w:rsidRDefault="00E15B67" w:rsidP="00E15B67">
      <w:r>
        <w:lastRenderedPageBreak/>
        <w:t xml:space="preserve">3. </w:t>
      </w:r>
      <w:r>
        <w:t>Tasa de interés</w:t>
      </w:r>
    </w:p>
    <w:p w:rsidR="00E15B67" w:rsidRDefault="00E15B67" w:rsidP="00E15B67"/>
    <w:p w:rsidR="00E15B67" w:rsidRDefault="00E15B67" w:rsidP="00E15B67">
      <w:r>
        <w:t>En el periodo reciente, las tasas de interés en la región han estado marcadas por políticas para controlar la inflación, lo que ha llevado a niveles elevados y una tendencia de ajuste hacia 2025. Este indicador es clave porque afecta el costo del dinero, influyendo en la inversión y el consumo.</w:t>
      </w:r>
    </w:p>
    <w:p w:rsidR="00E15B67" w:rsidRDefault="00E15B67" w:rsidP="00E15B67"/>
    <w:p w:rsidR="00E15B67" w:rsidRDefault="00E15B67" w:rsidP="00E15B67">
      <w:r>
        <w:t xml:space="preserve">Para la exportación de la pasta de </w:t>
      </w:r>
      <w:proofErr w:type="spellStart"/>
      <w:r>
        <w:t>Il</w:t>
      </w:r>
      <w:proofErr w:type="spellEnd"/>
      <w:r>
        <w:t xml:space="preserve"> Castello, tasas altas en países como México, Brasil y Colombia hacen más costoso el financiamiento para importadores y distribuidores, lo que puede reducir pedidos y limitar la entrada del producto. Además, el consumo se ve afectado, ya que los clientes priorizan productos esenciales. Por el contrario, El Salvador presenta tasas más bajas, lo que facilita el acceso al crédito y mejora la rotación del producto. Argentina, con tasas extremadamente altas, representa un alto riesgo, ya que limita la financiación y reduce la viabilidad comercial.</w:t>
      </w:r>
    </w:p>
    <w:p w:rsidR="00E15B67" w:rsidRDefault="00E15B67" w:rsidP="00E15B67"/>
    <w:p w:rsidR="00E15B67" w:rsidRDefault="00E15B67" w:rsidP="00E15B67">
      <w:r>
        <w:t>Calificación Promedio: 2</w:t>
      </w:r>
    </w:p>
    <w:p w:rsidR="00E15B67" w:rsidRDefault="00E15B67" w:rsidP="00E15B67">
      <w:r>
        <w:t>(Entornos con alto costo financiero)</w:t>
      </w:r>
    </w:p>
    <w:p w:rsidR="00E15B67" w:rsidRDefault="00E15B67" w:rsidP="00E15B67">
      <w:r>
        <w:t>México: 2</w:t>
      </w:r>
    </w:p>
    <w:p w:rsidR="00E15B67" w:rsidRDefault="00E15B67" w:rsidP="00E15B67">
      <w:r>
        <w:t>El Salvador: 4</w:t>
      </w:r>
    </w:p>
    <w:p w:rsidR="00E15B67" w:rsidRDefault="00E15B67" w:rsidP="00E15B67">
      <w:r>
        <w:t>Perú: 3</w:t>
      </w:r>
    </w:p>
    <w:p w:rsidR="00E15B67" w:rsidRDefault="00E15B67" w:rsidP="00E15B67">
      <w:r>
        <w:t>Brasil: 2</w:t>
      </w:r>
    </w:p>
    <w:p w:rsidR="00E15B67" w:rsidRDefault="00E15B67" w:rsidP="00E15B67">
      <w:r>
        <w:t>Argentina: 1</w:t>
      </w:r>
    </w:p>
    <w:p w:rsidR="00E15B67" w:rsidRDefault="00E15B67" w:rsidP="00E15B67">
      <w:r>
        <w:t>Colombia: 2</w:t>
      </w:r>
    </w:p>
    <w:p w:rsidR="00E15B67" w:rsidRDefault="00E15B67" w:rsidP="00E15B67"/>
    <w:p w:rsidR="00E15B67" w:rsidRDefault="00E15B67" w:rsidP="00E15B67"/>
    <w:p w:rsidR="00E15B67" w:rsidRDefault="00E15B67" w:rsidP="00E15B67"/>
    <w:p w:rsidR="00E15B67" w:rsidRDefault="00E15B67" w:rsidP="00E15B67"/>
    <w:p w:rsidR="00E15B67" w:rsidRDefault="00E15B67" w:rsidP="00E15B67"/>
    <w:p w:rsidR="00E15B67" w:rsidRDefault="00E15B67" w:rsidP="00E15B67">
      <w:r>
        <w:lastRenderedPageBreak/>
        <w:t xml:space="preserve">4. </w:t>
      </w:r>
      <w:r>
        <w:t>Desempleo</w:t>
      </w:r>
    </w:p>
    <w:p w:rsidR="00E15B67" w:rsidRDefault="00E15B67" w:rsidP="00E15B67"/>
    <w:p w:rsidR="00E15B67" w:rsidRDefault="00E15B67" w:rsidP="00E15B67">
      <w:r>
        <w:t>En el periodo reciente, el desempleo en la región ha mostrado una tendencia de recuperación tras el impacto de la pandemia, aunque con diferencias importantes entre países. Este indicador es clave porque refleja la capacidad de las personas para generar ingresos, lo que influye directamente en el consumo.</w:t>
      </w:r>
    </w:p>
    <w:p w:rsidR="00E15B67" w:rsidRDefault="00E15B67" w:rsidP="00E15B67"/>
    <w:p w:rsidR="00E15B67" w:rsidRDefault="00E15B67" w:rsidP="00E15B67">
      <w:r>
        <w:t xml:space="preserve">Para la exportación de la pasta de </w:t>
      </w:r>
      <w:proofErr w:type="spellStart"/>
      <w:r>
        <w:t>Il</w:t>
      </w:r>
      <w:proofErr w:type="spellEnd"/>
      <w:r>
        <w:t xml:space="preserve"> Castello, países con menor desempleo como México y El Salvador representan una mejor oportunidad, ya que hay más personas con ingresos estables que pueden acceder a productos gourmet. En cambio, países como Colombia, con niveles más altos de desempleo, presentan una limitación en la demanda, ya que los consumidores priorizan bienes esenciales. Perú y Brasil se ubican en un punto intermedio, donde el consumo es posible pero más sensible a cambios económicos. Argentina, aunque con desempleo moderado, se ve afectada por la pérdida de poder adquisitivo, lo que también reduce la viabilidad comercial.</w:t>
      </w:r>
    </w:p>
    <w:p w:rsidR="00E15B67" w:rsidRDefault="00E15B67" w:rsidP="00E15B67"/>
    <w:p w:rsidR="00E15B67" w:rsidRDefault="00E15B67" w:rsidP="00E15B67">
      <w:r>
        <w:t>Calificación Promedio: 3</w:t>
      </w:r>
    </w:p>
    <w:p w:rsidR="00E15B67" w:rsidRDefault="00E15B67" w:rsidP="00E15B67">
      <w:r>
        <w:t>(Condiciones de consumo moderadas)</w:t>
      </w:r>
    </w:p>
    <w:p w:rsidR="00E15B67" w:rsidRDefault="00E15B67" w:rsidP="00E15B67">
      <w:r>
        <w:t>México 5</w:t>
      </w:r>
    </w:p>
    <w:p w:rsidR="00E15B67" w:rsidRDefault="00E15B67" w:rsidP="00E15B67">
      <w:r>
        <w:t>El Salvador 4</w:t>
      </w:r>
    </w:p>
    <w:p w:rsidR="00E15B67" w:rsidRDefault="00E15B67" w:rsidP="00E15B67">
      <w:r>
        <w:t>Perú 3</w:t>
      </w:r>
    </w:p>
    <w:p w:rsidR="00E15B67" w:rsidRDefault="00E15B67" w:rsidP="00E15B67">
      <w:r>
        <w:t>Brasil 3</w:t>
      </w:r>
    </w:p>
    <w:p w:rsidR="00E15B67" w:rsidRDefault="00E15B67" w:rsidP="00E15B67">
      <w:r>
        <w:t>Argentina 3</w:t>
      </w:r>
    </w:p>
    <w:p w:rsidR="00E15B67" w:rsidRDefault="00E15B67" w:rsidP="00E15B67">
      <w:r>
        <w:t>Colombia 2</w:t>
      </w:r>
    </w:p>
    <w:p w:rsidR="00E15B67" w:rsidRDefault="00E15B67" w:rsidP="00E15B67"/>
    <w:p w:rsidR="00E15B67" w:rsidRDefault="00E15B67" w:rsidP="00E15B67"/>
    <w:p w:rsidR="00E15B67" w:rsidRDefault="00E15B67" w:rsidP="00E15B67"/>
    <w:p w:rsidR="00E15B67" w:rsidRDefault="00E15B67" w:rsidP="00E15B67"/>
    <w:p w:rsidR="00E15B67" w:rsidRDefault="00E15B67" w:rsidP="00E15B67"/>
    <w:p w:rsidR="00E15B67" w:rsidRDefault="00E15B67" w:rsidP="00E15B67">
      <w:r>
        <w:lastRenderedPageBreak/>
        <w:t xml:space="preserve">5. </w:t>
      </w:r>
      <w:r>
        <w:t>Tipo de cambio</w:t>
      </w:r>
    </w:p>
    <w:p w:rsidR="00E15B67" w:rsidRDefault="00E15B67" w:rsidP="00E15B67"/>
    <w:p w:rsidR="00E15B67" w:rsidRDefault="00E15B67" w:rsidP="00E15B67">
      <w:r>
        <w:t>En el periodo reciente, el tipo de cambio en la región ha mostrado comportamientos mixtos, con países que mantienen estabilidad y otros con alta volatilidad. Este indicador es clave porque afecta directamente los costos de importación y la rentabilidad de las exportaciones.</w:t>
      </w:r>
    </w:p>
    <w:p w:rsidR="00E15B67" w:rsidRDefault="00E15B67" w:rsidP="00E15B67"/>
    <w:p w:rsidR="00E15B67" w:rsidRDefault="00E15B67" w:rsidP="00E15B67">
      <w:r>
        <w:t xml:space="preserve">Para la exportación de la pasta de </w:t>
      </w:r>
      <w:proofErr w:type="spellStart"/>
      <w:r>
        <w:t>Il</w:t>
      </w:r>
      <w:proofErr w:type="spellEnd"/>
      <w:r>
        <w:t xml:space="preserve"> Castello, un tipo de cambio estable facilita la planeación de precios y reduce el riesgo de pérdidas. En este sentido, El Salvador, al utilizar el dólar, elimina prácticamente el riesgo cambiario, lo que lo convierte en un mercado atractivo. Perú y México también presentan relativa estabilidad, lo que permite mantener márgenes más predecibles. Por el contrario, Brasil y Colombia muestran variaciones que pueden afectar los costos y precios finales. Argentina representa el mayor riesgo, debido a la devaluación constante de su moneda, lo que dificulta la fijación de precios y reduce la viabilidad comercial.</w:t>
      </w:r>
    </w:p>
    <w:p w:rsidR="00E15B67" w:rsidRDefault="00E15B67" w:rsidP="00E15B67"/>
    <w:p w:rsidR="00E15B67" w:rsidRDefault="00E15B67" w:rsidP="00E15B67">
      <w:r>
        <w:t>Calificación Promedio: 3</w:t>
      </w:r>
    </w:p>
    <w:p w:rsidR="00E15B67" w:rsidRDefault="00E15B67" w:rsidP="00E15B67">
      <w:r>
        <w:t>(Estabilidad moderada con riesgos puntuales)</w:t>
      </w:r>
    </w:p>
    <w:p w:rsidR="00E15B67" w:rsidRDefault="00E15B67" w:rsidP="00E15B67">
      <w:r>
        <w:t>México 4</w:t>
      </w:r>
    </w:p>
    <w:p w:rsidR="00E15B67" w:rsidRDefault="00E15B67" w:rsidP="00E15B67">
      <w:r>
        <w:t>El Salvador 5</w:t>
      </w:r>
    </w:p>
    <w:p w:rsidR="00E15B67" w:rsidRDefault="00E15B67" w:rsidP="00E15B67">
      <w:r>
        <w:t>Perú 4</w:t>
      </w:r>
    </w:p>
    <w:p w:rsidR="00E15B67" w:rsidRDefault="00E15B67" w:rsidP="00E15B67">
      <w:r>
        <w:t>Brasil 3</w:t>
      </w:r>
    </w:p>
    <w:p w:rsidR="00E15B67" w:rsidRDefault="00E15B67" w:rsidP="00E15B67">
      <w:r>
        <w:t>Argentina 1</w:t>
      </w:r>
    </w:p>
    <w:p w:rsidR="00E15B67" w:rsidRDefault="00E15B67" w:rsidP="00E15B67">
      <w:r>
        <w:t>Colombia 3</w:t>
      </w:r>
    </w:p>
    <w:p w:rsidR="00E15B67" w:rsidRDefault="00E15B67" w:rsidP="00E15B67"/>
    <w:sectPr w:rsidR="00E15B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67"/>
    <w:rsid w:val="00665FAC"/>
    <w:rsid w:val="00CA4E66"/>
    <w:rsid w:val="00CD5A31"/>
    <w:rsid w:val="00D76D5E"/>
    <w:rsid w:val="00E15B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A7AB"/>
  <w15:chartTrackingRefBased/>
  <w15:docId w15:val="{CF661061-58EE-4E32-BDCB-F76B00B3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5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B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B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B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B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B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B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B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B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5B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B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B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B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B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B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B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B67"/>
    <w:rPr>
      <w:rFonts w:eastAsiaTheme="majorEastAsia" w:cstheme="majorBidi"/>
      <w:color w:val="272727" w:themeColor="text1" w:themeTint="D8"/>
    </w:rPr>
  </w:style>
  <w:style w:type="paragraph" w:styleId="Ttulo">
    <w:name w:val="Title"/>
    <w:basedOn w:val="Normal"/>
    <w:next w:val="Normal"/>
    <w:link w:val="TtuloCar"/>
    <w:uiPriority w:val="10"/>
    <w:qFormat/>
    <w:rsid w:val="00E1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B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B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B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B67"/>
    <w:pPr>
      <w:spacing w:before="160"/>
      <w:jc w:val="center"/>
    </w:pPr>
    <w:rPr>
      <w:i/>
      <w:iCs/>
      <w:color w:val="404040" w:themeColor="text1" w:themeTint="BF"/>
    </w:rPr>
  </w:style>
  <w:style w:type="character" w:customStyle="1" w:styleId="CitaCar">
    <w:name w:val="Cita Car"/>
    <w:basedOn w:val="Fuentedeprrafopredeter"/>
    <w:link w:val="Cita"/>
    <w:uiPriority w:val="29"/>
    <w:rsid w:val="00E15B67"/>
    <w:rPr>
      <w:i/>
      <w:iCs/>
      <w:color w:val="404040" w:themeColor="text1" w:themeTint="BF"/>
    </w:rPr>
  </w:style>
  <w:style w:type="paragraph" w:styleId="Prrafodelista">
    <w:name w:val="List Paragraph"/>
    <w:basedOn w:val="Normal"/>
    <w:uiPriority w:val="34"/>
    <w:qFormat/>
    <w:rsid w:val="00E15B67"/>
    <w:pPr>
      <w:ind w:left="720"/>
      <w:contextualSpacing/>
    </w:pPr>
  </w:style>
  <w:style w:type="character" w:styleId="nfasisintenso">
    <w:name w:val="Intense Emphasis"/>
    <w:basedOn w:val="Fuentedeprrafopredeter"/>
    <w:uiPriority w:val="21"/>
    <w:qFormat/>
    <w:rsid w:val="00E15B67"/>
    <w:rPr>
      <w:i/>
      <w:iCs/>
      <w:color w:val="0F4761" w:themeColor="accent1" w:themeShade="BF"/>
    </w:rPr>
  </w:style>
  <w:style w:type="paragraph" w:styleId="Citadestacada">
    <w:name w:val="Intense Quote"/>
    <w:basedOn w:val="Normal"/>
    <w:next w:val="Normal"/>
    <w:link w:val="CitadestacadaCar"/>
    <w:uiPriority w:val="30"/>
    <w:qFormat/>
    <w:rsid w:val="00E15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B67"/>
    <w:rPr>
      <w:i/>
      <w:iCs/>
      <w:color w:val="0F4761" w:themeColor="accent1" w:themeShade="BF"/>
    </w:rPr>
  </w:style>
  <w:style w:type="character" w:styleId="Referenciaintensa">
    <w:name w:val="Intense Reference"/>
    <w:basedOn w:val="Fuentedeprrafopredeter"/>
    <w:uiPriority w:val="32"/>
    <w:qFormat/>
    <w:rsid w:val="00E15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749</Words>
  <Characters>4121</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2026-04-29T00:36:00Z</dcterms:created>
  <dcterms:modified xsi:type="dcterms:W3CDTF">2026-04-29T00:36:00Z</dcterms:modified>
</cp:coreProperties>
</file>