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Minuta MGO: HTML → Power Automate → SharePoint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Guía de la herramienta construida y próximos pasos. Lista: Seguimiento_Compromisos_MGO (sitio CL-SistemaUNO).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</w:rPr>
        <w:t xml:space="preserve">1. Qué se construyó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 formulario HTML que, al presionar Guardar, envía los datos a un flujo de Power Automate. El flujo crea una fila nueva en la lista de SharePoint por cada registro.</w:t>
      </w:r>
    </w:p>
    <w:p>
      <w:pPr>
        <w:shd w:fill="F2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HTML (formulario)  →  botón Guardar  →  Power Automate (flujo)  →  Lista SharePoint (fila nueva)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Archivo: minuta/minuta_compromisos.html (en el repositorio sin la URL; la copia en uso tiene la URL pegada).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Esquema del flujo: minuta/esquema_flujo.json.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requiere licencia Premium: usa el disparador de webhook de Teams.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</w:rPr>
        <w:t xml:space="preserve">2. Configuración del flujo que funcionó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2.1 Disparador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Disparador: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“Cuando se recibe una solicitud de webhook de Teams”</w:t>
      </w:r>
      <w:r>
        <w:rPr>
          <w:rFonts w:ascii="Calibri" w:cs="Calibri" w:eastAsia="Calibri" w:hAnsi="Calibri"/>
          <w:sz w:val="22"/>
          <w:szCs w:val="22"/>
        </w:rPr>
        <w:t xml:space="preserve"> (la versión que permite elegir “Cualquiera”; no es Premium).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¿Quién puede desencadenar el flujo?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Cualquiera</w:t>
      </w:r>
      <w:r>
        <w:rPr>
          <w:rFonts w:ascii="Calibri" w:cs="Calibri" w:eastAsia="Calibri" w:hAnsi="Calibri"/>
          <w:sz w:val="22"/>
          <w:szCs w:val="22"/>
        </w:rPr>
        <w:t xml:space="preserve">. La URL resultante debe terminar en “&amp;sig=…”.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2.2 Análisis del archivo JSON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Contenido (con fx): </w:t>
      </w:r>
      <w:r>
        <w:rPr>
          <w:rFonts w:ascii="Consolas" w:cs="Consolas" w:eastAsia="Consolas" w:hAnsi="Consolas"/>
          <w:sz w:val="20"/>
          <w:szCs w:val="20"/>
        </w:rPr>
        <w:t xml:space="preserve">json(string(triggerBody()))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Esquema: el de esquema_flujo.json, con todos los campos como </w:t>
      </w:r>
      <w:r>
        <w:rPr>
          <w:rFonts w:ascii="Consolas" w:cs="Consolas" w:eastAsia="Consolas" w:hAnsi="Consolas"/>
          <w:sz w:val="20"/>
          <w:szCs w:val="20"/>
        </w:rPr>
        <w:t xml:space="preserve">["string", "null"]</w:t>
      </w:r>
      <w:r>
        <w:rPr>
          <w:rFonts w:ascii="Calibri" w:cs="Calibri" w:eastAsia="Calibri" w:hAnsi="Calibri"/>
          <w:sz w:val="22"/>
          <w:szCs w:val="22"/>
        </w:rPr>
        <w:t xml:space="preserve"> para aceptar campos vacíos.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2.3 Crear elemento (SharePoint)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Sitio CL-SistemaUNO, lista Seguimiento_Compromisos_MGO. Cada columna toma su campo con el rayo ⚡ (aparece como “Body …” bajo Análisis del archivo JSON). En columnas de opción se usa “Escribir un valor personalizado”.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F6F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Columna SharePoint</w:t>
            </w:r>
          </w:p>
        </w:tc>
        <w:tc>
          <w:tcPr>
            <w:tcW w:type="dxa" w:w="4513"/>
            <w:shd w:fill="1F6F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 dinámico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Planta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Body planta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Area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Body area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Subgerencia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Body subgerencia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Practica MGO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Body practica_mgo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Tipo de registro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Body tipo_registro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Responsable (Persona)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Body responsable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Body descripcion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Solicitante (Persona)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Body solicitante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Fecha solicitud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Body fecha_solicitud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Fecha compromiso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Body fecha_compromiso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Estado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Body estado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Prioridad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Body prioridad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Observacion / Avance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Body observacion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Fecha de cierre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Body fecha_cierre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Evidencia/Link (Hipervínculo)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Expresión (ver abajo)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Expresión para Evidencia/Link (evita el error “Introduzca un URI válido” cuando viene vacío):</w:t>
      </w:r>
    </w:p>
    <w:p>
      <w:pPr>
        <w:shd w:fill="F2F4F6" w:val="clear"/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if(empty(body('Análisis_del_archivo_JSON')?['evidencia']), null, body('Análisis_del_archivo_JSON')?['evidencia'])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2.4 Conectar el HTML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Copiar la URL del disparador con el ícono de copiar.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Abrir el HTML con el Bloc de notas y pegarla en </w:t>
      </w:r>
      <w:r>
        <w:rPr>
          <w:rFonts w:ascii="Consolas" w:cs="Consolas" w:eastAsia="Consolas" w:hAnsi="Consolas"/>
          <w:sz w:val="20"/>
          <w:szCs w:val="20"/>
        </w:rPr>
        <w:t xml:space="preserve">const FLOW_URL = "";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Guardar, abrir con doble clic, llenar un registro y presionar Guardar. El mensaje verde indica que el flujo recibió los datos; la fila aparece en segundos.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</w:rPr>
        <w:t xml:space="preserve">3. Problemas encontrados y solución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063"/>
        <w:gridCol w:w="3063"/>
      </w:tblGrid>
      <w:tr>
        <w:trPr>
          <w:tblHeader/>
        </w:trPr>
        <w:tc>
          <w:tcPr>
            <w:tcW w:type="dxa" w:w="2900"/>
            <w:shd w:fill="1F6F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3063"/>
            <w:shd w:fill="1F6F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3063"/>
            <w:shd w:fill="1F6F4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Solución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Aviso de licencia Premium</w:t>
            </w:r>
          </w:p>
        </w:tc>
        <w:tc>
          <w:tcPr>
            <w:tcW w:type="dxa" w:w="30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disparador “solicitud HTTP” es Premium</w:t>
            </w:r>
          </w:p>
        </w:tc>
        <w:tc>
          <w:tcPr>
            <w:tcW w:type="dxa" w:w="30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Usar el webhook de Teams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Prueba gratuita bloqueada</w:t>
            </w:r>
          </w:p>
        </w:tc>
        <w:tc>
          <w:tcPr>
            <w:tcW w:type="dxa" w:w="30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Política de la empresa</w:t>
            </w:r>
          </w:p>
        </w:tc>
        <w:tc>
          <w:tcPr>
            <w:tcW w:type="dxa" w:w="30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Webhook de Teams (estándar)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DirectApiAuthorizationRequired</w:t>
            </w:r>
          </w:p>
        </w:tc>
        <w:tc>
          <w:tcPr>
            <w:tcW w:type="dxa" w:w="30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Disparador en “usuarios de mi inquilino”</w:t>
            </w:r>
          </w:p>
        </w:tc>
        <w:tc>
          <w:tcPr>
            <w:tcW w:type="dxa" w:w="30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Versión del webhook con opción “Cualquiera”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“observacion” esperaba texto</w:t>
            </w:r>
          </w:p>
        </w:tc>
        <w:tc>
          <w:tcPr>
            <w:tcW w:type="dxa" w:w="30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Esquema generado sin permitir vacíos</w:t>
            </w:r>
          </w:p>
        </w:tc>
        <w:tc>
          <w:tcPr>
            <w:tcW w:type="dxa" w:w="30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Esquema con ["string","null"]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Usuario “Prueba” no existe</w:t>
            </w:r>
          </w:p>
        </w:tc>
        <w:tc>
          <w:tcPr>
            <w:tcW w:type="dxa" w:w="30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Responsable/Solicitante son columnas Persona</w:t>
            </w:r>
          </w:p>
        </w:tc>
        <w:tc>
          <w:tcPr>
            <w:tcW w:type="dxa" w:w="30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Usar nombres reales de SharePoint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“Introduzca un URI válido”</w:t>
            </w:r>
          </w:p>
        </w:tc>
        <w:tc>
          <w:tcPr>
            <w:tcW w:type="dxa" w:w="30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Columna Hipervínculo con valor vacío</w:t>
            </w:r>
          </w:p>
        </w:tc>
        <w:tc>
          <w:tcPr>
            <w:tcW w:type="dxa" w:w="30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Expresión if(empty(...))</w:t>
            </w:r>
          </w:p>
        </w:tc>
      </w:tr>
      <w:tr>
        <w:trPr>
          <w:tblHeader w:val="false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navegador no podía enviar como texto</w:t>
            </w:r>
          </w:p>
        </w:tc>
        <w:tc>
          <w:tcPr>
            <w:tcW w:type="dxa" w:w="30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flujo solo acepta JSON</w:t>
            </w:r>
          </w:p>
        </w:tc>
        <w:tc>
          <w:tcPr>
            <w:tcW w:type="dxa" w:w="306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HTML envía JSON (el flujo permite CORS)</w:t>
            </w:r>
          </w:p>
        </w:tc>
      </w:tr>
    </w:tbl>
    <w:p>
      <w:pPr>
        <w:pStyle w:val="Heading1"/>
        <w:spacing w:after="120" w:before="300"/>
      </w:pPr>
      <w:r>
        <w:rPr>
          <w:rFonts w:ascii="Calibri" w:cs="Calibri" w:eastAsia="Calibri" w:hAnsi="Calibri"/>
        </w:rPr>
        <w:t xml:space="preserve">4. Próximos pasos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4.1 Hacerlo confiable (primero)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Personas en lista cerrada: </w:t>
      </w:r>
      <w:r>
        <w:rPr>
          <w:rFonts w:ascii="Calibri" w:cs="Calibri" w:eastAsia="Calibri" w:hAnsi="Calibri"/>
          <w:sz w:val="22"/>
          <w:szCs w:val="22"/>
        </w:rPr>
        <w:t xml:space="preserve">Responsable y Solicitante como desplegables con nombres válidos.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URL nueva: </w:t>
      </w:r>
      <w:r>
        <w:rPr>
          <w:rFonts w:ascii="Calibri" w:cs="Calibri" w:eastAsia="Calibri" w:hAnsi="Calibri"/>
          <w:sz w:val="22"/>
          <w:szCs w:val="22"/>
        </w:rPr>
        <w:t xml:space="preserve">generar una con “Guardar como” del flujo antes de compartir el HTML y apagar el flujo anterior.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Aviso de fallas: </w:t>
      </w:r>
      <w:r>
        <w:rPr>
          <w:rFonts w:ascii="Calibri" w:cs="Calibri" w:eastAsia="Calibri" w:hAnsi="Calibri"/>
          <w:sz w:val="22"/>
          <w:szCs w:val="22"/>
        </w:rPr>
        <w:t xml:space="preserve">correo al dueño del flujo cuando una ejecución falla (“Configurar ejecución después de”).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4.2 Modificar filas existentes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HTML envía un campo “accion” (crear / actualizar) y el ID de la fila. El flujo usa un Switch: Crear elemento o Actualizar elemento. Permite cerrar compromisos, registrar avances y fechas de cierre.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4.3 Un solo HTML para varias listas (PGP, checkpoint, minutas)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flujo dirige cada envío a la lista correspondiente según un campo “tipo”.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Preguntas del PGP y columnas del checkpoint en una configuración al inicio del HTML, fácil de modificar.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Lo manual: crear la columna nueva en SharePoint y asignarla en el flujo.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4.4 Automatizaciones (estándar, sin Premium)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Aviso al responsable cuando se le asigna un compromiso (correo o Teams).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Recordatorio previo a la fecha compromiso (flujo programado diario).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Resumen semanal de compromisos abiertos y vencidos.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4.5 Reportes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Indicadores MGO desde la lista: % de compromisos cerrados a tiempo, vencidos por área o práctica, tiempo promedio de cierre (tablero HTML o Power BI).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</w:rPr>
        <w:t xml:space="preserve">Recomendación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Hacer 4.1 y luego 4.2 + 4.3 juntos. Para 4.3 se necesita el Excel de la lista de checkpoint y las preguntas del PGP.</w:t>
      </w:r>
    </w:p>
    <w:p>
      <w:pPr>
        <w:pStyle w:val="Heading1"/>
        <w:spacing w:after="120" w:before="300"/>
      </w:pPr>
      <w:r>
        <w:rPr>
          <w:rFonts w:ascii="Calibri" w:cs="Calibri" w:eastAsia="Calibri" w:hAnsi="Calibri"/>
        </w:rPr>
        <w:t xml:space="preserve">5. Seguridad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 URL del flujo funciona como una llave: quien la tenga puede crear filas. No compartirla fuera del equipo.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guardar la URL en repositorios ni documentos públicos.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outlineLvl w:val="0"/>
    </w:pPr>
    <w:rPr>
      <w:b/>
      <w:bCs/>
      <w:color w:val="1F6F43"/>
      <w:sz w:val="30"/>
      <w:szCs w:val="30"/>
    </w:rPr>
  </w:style>
  <w:style w:type="paragraph" w:styleId="Heading2">
    <w:name w:val="Heading 2"/>
    <w:basedOn w:val="Normal"/>
    <w:next w:val="Normal"/>
    <w:pPr>
      <w:outlineLvl w:val="1"/>
    </w:pPr>
    <w:rPr>
      <w:b/>
      <w:bCs/>
      <w:color w:val="2B3A47"/>
      <w:sz w:val="25"/>
      <w:szCs w:val="25"/>
    </w:rPr>
  </w:style>
  <w:style w:type="paragraph" w:styleId="Title">
    <w:name w:val="Title"/>
    <w:basedOn w:val="Normal"/>
    <w:pPr>
      <w:spacing w:after="200"/>
    </w:pPr>
    <w:rPr>
      <w:b/>
      <w:bCs/>
      <w:color w:val="1D2733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2026-10-10T19:40:27.724Z</dcterms:created>
  <dcterms:modified xsi:type="dcterms:W3CDTF">2026-10-10T19:40:27.737Z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