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PA</w:t>
      </w:r>
      <w:r>
        <w:t xml:space="preserve"> </w:t>
      </w:r>
      <w:r>
        <w:t xml:space="preserve">5</w:t>
      </w:r>
      <w:r>
        <w:t xml:space="preserve"> </w:t>
      </w:r>
      <w:r>
        <w:t xml:space="preserve">Task</w:t>
      </w:r>
      <w:r>
        <w:t xml:space="preserve"> </w:t>
      </w:r>
      <w:r>
        <w:t xml:space="preserve">Card</w:t>
      </w:r>
      <w:r>
        <w:t xml:space="preserve"> </w:t>
      </w:r>
      <w:r>
        <w:t xml:space="preserve">–</w:t>
      </w:r>
      <w:r>
        <w:t xml:space="preserve"> </w:t>
      </w:r>
      <w:r>
        <w:t xml:space="preserve">Military</w:t>
      </w:r>
      <w:r>
        <w:t xml:space="preserve"> </w:t>
      </w:r>
      <w:r>
        <w:t xml:space="preserve">Spending</w:t>
      </w:r>
    </w:p>
    <w:p>
      <w:pPr>
        <w:pStyle w:val="FirstParagraph"/>
      </w:pPr>
      <w:r>
        <w:t xml:space="preserve">Today you will use the</w:t>
      </w:r>
      <w:r>
        <w:t xml:space="preserve"> </w:t>
      </w:r>
      <w:r>
        <w:rPr>
          <w:rStyle w:val="VerbatimChar"/>
        </w:rPr>
        <w:t xml:space="preserve">readxl</w:t>
      </w:r>
      <w:r>
        <w:t xml:space="preserve">,</w:t>
      </w:r>
      <w:r>
        <w:t xml:space="preserve"> </w:t>
      </w:r>
      <w:r>
        <w:rPr>
          <w:rStyle w:val="VerbatimChar"/>
        </w:rPr>
        <w:t xml:space="preserve">dplyr</w:t>
      </w:r>
      <w:r>
        <w:t xml:space="preserve">, and</w:t>
      </w:r>
      <w:r>
        <w:t xml:space="preserve"> </w:t>
      </w:r>
      <w:r>
        <w:rPr>
          <w:rStyle w:val="VerbatimChar"/>
        </w:rPr>
        <w:t xml:space="preserve">tidyr</w:t>
      </w:r>
      <w:r>
        <w:t xml:space="preserve"> </w:t>
      </w:r>
      <w:r>
        <w:t xml:space="preserve">packages to clean some</w:t>
      </w:r>
      <w:r>
        <w:t xml:space="preserve"> </w:t>
      </w:r>
      <w:r>
        <w:t xml:space="preserve">data and then recreate a visualization of military expenditures for countries in</w:t>
      </w:r>
      <w:r>
        <w:t xml:space="preserve"> </w:t>
      </w:r>
      <w:r>
        <w:t xml:space="preserve">Eastern Europe.</w:t>
      </w:r>
    </w:p>
    <w:p>
      <w:pPr>
        <w:pStyle w:val="BodyText"/>
      </w:pPr>
      <w:r>
        <w:rPr>
          <w:b/>
          <w:bCs/>
          <w:i/>
          <w:iCs/>
        </w:rPr>
        <w:t xml:space="preserve">This task is complex. It requires many different types of abilities. Everyone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will be good at some of these abilities but nobody will be good at all of them.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In order to solve this puzzle, you will need to use the skills of each member of</w:t>
      </w:r>
      <w:r>
        <w:rPr>
          <w:b/>
          <w:bCs/>
          <w:i/>
          <w:iCs/>
        </w:rPr>
        <w:t xml:space="preserve"> </w:t>
      </w:r>
      <w:r>
        <w:rPr>
          <w:b/>
          <w:bCs/>
          <w:i/>
          <w:iCs/>
        </w:rPr>
        <w:t xml:space="preserve">your group.</w:t>
      </w:r>
    </w:p>
    <w:bookmarkStart w:id="20" w:name="group-roles"/>
    <w:p>
      <w:pPr>
        <w:pStyle w:val="Heading2"/>
      </w:pPr>
      <w:r>
        <w:t xml:space="preserve">Group Roles</w:t>
      </w:r>
    </w:p>
    <w:p>
      <w:pPr>
        <w:pStyle w:val="FirstParagraph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Developer</w:t>
      </w:r>
      <w:r>
        <w:t xml:space="preserve">, you will type into the Quarto document in</w:t>
      </w:r>
      <w:r>
        <w:t xml:space="preserve"> </w:t>
      </w:r>
      <w:r>
        <w:t xml:space="preserve">RStudio. However, you</w:t>
      </w:r>
      <w:r>
        <w:t xml:space="preserve"> </w:t>
      </w:r>
      <w:r>
        <w:rPr>
          <w:b/>
          <w:bCs/>
        </w:rPr>
        <w:t xml:space="preserve">do not</w:t>
      </w:r>
      <w:r>
        <w:t xml:space="preserve"> </w:t>
      </w:r>
      <w:r>
        <w:t xml:space="preserve">type your own ideas. Instead, you type what</w:t>
      </w:r>
      <w:r>
        <w:t xml:space="preserve"> </w:t>
      </w:r>
      <w:r>
        <w:t xml:space="preserve">the Coder tells you to type. You are permitted to ask the Coder clarifying</w:t>
      </w:r>
      <w:r>
        <w:t xml:space="preserve"> </w:t>
      </w:r>
      <w:r>
        <w:t xml:space="preserve">questions, and, if both of you have a question, you are permitted to ask the</w:t>
      </w:r>
      <w:r>
        <w:t xml:space="preserve"> </w:t>
      </w:r>
      <w:r>
        <w:t xml:space="preserve">professor. You are expected to run the code provided by the Coder and, if</w:t>
      </w:r>
      <w:r>
        <w:t xml:space="preserve"> </w:t>
      </w:r>
      <w:r>
        <w:t xml:space="preserve">necessary, to work with the Coder to debug the code. Once the code runs, you</w:t>
      </w:r>
      <w:r>
        <w:t xml:space="preserve"> </w:t>
      </w:r>
      <w:r>
        <w:t xml:space="preserve">are expected to collaborate with the Coder to write code comments that describe</w:t>
      </w:r>
      <w:r>
        <w:t xml:space="preserve"> </w:t>
      </w:r>
      <w:r>
        <w:t xml:space="preserve">the actions taken by your code.</w:t>
      </w:r>
    </w:p>
    <w:p>
      <w:pPr>
        <w:pStyle w:val="BodyText"/>
      </w:pPr>
      <w:r>
        <w:t xml:space="preserve">When you are the</w:t>
      </w:r>
      <w:r>
        <w:t xml:space="preserve"> </w:t>
      </w:r>
      <w:r>
        <w:rPr>
          <w:b/>
          <w:bCs/>
        </w:rPr>
        <w:t xml:space="preserve">Coder</w:t>
      </w:r>
      <w:r>
        <w:t xml:space="preserve">, you are responsible for reading the</w:t>
      </w:r>
      <w:r>
        <w:t xml:space="preserve"> </w:t>
      </w:r>
      <w:r>
        <w:t xml:space="preserve">instructions / prompts and directing the Developer what to type in the Quarto</w:t>
      </w:r>
      <w:r>
        <w:t xml:space="preserve"> </w:t>
      </w:r>
      <w:r>
        <w:t xml:space="preserve">document. You are responsible for managing the resources your group has</w:t>
      </w:r>
      <w:r>
        <w:t xml:space="preserve"> </w:t>
      </w:r>
      <w:r>
        <w:t xml:space="preserve">available to you (e.g., cheatsheet, textbook). If necessary, you should work</w:t>
      </w:r>
      <w:r>
        <w:t xml:space="preserve"> </w:t>
      </w:r>
      <w:r>
        <w:t xml:space="preserve">with the Developer to debug the code you specified. Once the code runs, you</w:t>
      </w:r>
      <w:r>
        <w:t xml:space="preserve"> </w:t>
      </w:r>
      <w:r>
        <w:t xml:space="preserve">are expected to collaborate with the Developer to write code comments that</w:t>
      </w:r>
      <w:r>
        <w:t xml:space="preserve"> </w:t>
      </w:r>
      <w:r>
        <w:t xml:space="preserve">describe the actions taken by your code.</w:t>
      </w:r>
    </w:p>
    <w:bookmarkEnd w:id="20"/>
    <w:bookmarkStart w:id="21" w:name="group-norms"/>
    <w:p>
      <w:pPr>
        <w:pStyle w:val="Heading2"/>
      </w:pPr>
      <w:r>
        <w:t xml:space="preserve">Group Norms</w:t>
      </w:r>
    </w:p>
    <w:p>
      <w:pPr>
        <w:pStyle w:val="FirstParagraph"/>
      </w:pPr>
      <w:r>
        <w:t xml:space="preserve">Remember, your group is expected to adhere to the following norms:</w:t>
      </w:r>
    </w:p>
    <w:p>
      <w:pPr>
        <w:pStyle w:val="Compact"/>
        <w:numPr>
          <w:ilvl w:val="0"/>
          <w:numId w:val="1001"/>
        </w:numPr>
      </w:pPr>
      <w:r>
        <w:t xml:space="preserve">Think and work together. Do not divide the work.</w:t>
      </w:r>
    </w:p>
    <w:p>
      <w:pPr>
        <w:pStyle w:val="Compact"/>
        <w:numPr>
          <w:ilvl w:val="0"/>
          <w:numId w:val="1001"/>
        </w:numPr>
      </w:pPr>
      <w:r>
        <w:t xml:space="preserve">You are smarter together.</w:t>
      </w:r>
    </w:p>
    <w:p>
      <w:pPr>
        <w:pStyle w:val="Compact"/>
        <w:numPr>
          <w:ilvl w:val="0"/>
          <w:numId w:val="1001"/>
        </w:numPr>
      </w:pPr>
      <w:r>
        <w:t xml:space="preserve">Be open minded.</w:t>
      </w:r>
    </w:p>
    <w:p>
      <w:pPr>
        <w:pStyle w:val="Compact"/>
        <w:numPr>
          <w:ilvl w:val="0"/>
          <w:numId w:val="1001"/>
        </w:numPr>
      </w:pPr>
      <w:r>
        <w:t xml:space="preserve">No cross-talk with other groups.</w:t>
      </w:r>
    </w:p>
    <w:p>
      <w:pPr>
        <w:pStyle w:val="Compact"/>
        <w:numPr>
          <w:ilvl w:val="0"/>
          <w:numId w:val="1001"/>
        </w:numPr>
      </w:pPr>
      <w:r>
        <w:t xml:space="preserve">Communicate with each other!</w:t>
      </w:r>
    </w:p>
    <w:p>
      <w:r>
        <w:br w:type="page"/>
      </w:r>
    </w:p>
    <w:bookmarkEnd w:id="21"/>
    <w:bookmarkStart w:id="25" w:name="lengthening-data"/>
    <w:p>
      <w:pPr>
        <w:pStyle w:val="Heading2"/>
      </w:pPr>
      <w:r>
        <w:t xml:space="preserve">Lengthening Data</w:t>
      </w:r>
    </w:p>
    <w:p>
      <w:pPr>
        <w:pStyle w:val="SourceCode"/>
      </w:pPr>
      <w:r>
        <w:rPr>
          <w:rStyle w:val="NormalTok"/>
        </w:rPr>
        <w:t xml:space="preserve">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pivot_longer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bp1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bp2,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names_to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"measurement"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values_to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"value"</w:t>
      </w:r>
      <w:r>
        <w:br/>
      </w:r>
      <w:r>
        <w:rPr>
          <w:rStyle w:val="NormalTok"/>
        </w:rPr>
        <w:t xml:space="preserve">  )</w:t>
      </w:r>
    </w:p>
    <w:p>
      <w:pPr>
        <w:pStyle w:val="FirstParagraph"/>
      </w:pPr>
      <w:r>
        <w:drawing>
          <wp:inline>
            <wp:extent cx="5334000" cy="2565353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images/pivot-longer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6535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5"/>
    <w:bookmarkStart w:id="27" w:name="code-formatting"/>
    <w:p>
      <w:pPr>
        <w:pStyle w:val="Heading2"/>
      </w:pPr>
      <w:r>
        <w:t xml:space="preserve">Code Formatting</w:t>
      </w:r>
    </w:p>
    <w:p>
      <w:pPr>
        <w:pStyle w:val="FirstParagraph"/>
      </w:pPr>
      <w:r>
        <w:t xml:space="preserve">Don’t forget, writing</w:t>
      </w:r>
      <w:r>
        <w:t xml:space="preserve"> </w:t>
      </w:r>
      <w:r>
        <w:t xml:space="preserve">“</w:t>
      </w:r>
      <w:r>
        <w:t xml:space="preserve">tidy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well documented</w:t>
      </w:r>
      <w:r>
        <w:t xml:space="preserve">”</w:t>
      </w:r>
      <w:r>
        <w:t xml:space="preserve"> </w:t>
      </w:r>
      <w:r>
        <w:t xml:space="preserve">code are two of the learning</w:t>
      </w:r>
      <w:r>
        <w:t xml:space="preserve"> </w:t>
      </w:r>
      <w:r>
        <w:t xml:space="preserve">targets for this course. As such, I would strongly encourage you to use every</w:t>
      </w:r>
      <w:r>
        <w:t xml:space="preserve"> </w:t>
      </w:r>
      <w:r>
        <w:t xml:space="preserve">opportunity to practice these skills.</w:t>
      </w:r>
    </w:p>
    <w:p>
      <w:pPr>
        <w:pStyle w:val="BodyText"/>
      </w:pPr>
      <w:r>
        <w:t xml:space="preserve">As you are writing code for this assignment, make sure your code follows the</w:t>
      </w:r>
      <w:r>
        <w:t xml:space="preserve"> </w:t>
      </w:r>
      <w:hyperlink r:id="rId26">
        <w:r>
          <w:rPr>
            <w:rStyle w:val="Hyperlink"/>
          </w:rPr>
          <w:t xml:space="preserve">tidyverse style guide for dplyr code</w:t>
        </w:r>
      </w:hyperlink>
      <w:r>
        <w:t xml:space="preserve">.</w:t>
      </w:r>
      <w:r>
        <w:t xml:space="preserve"> </w:t>
      </w:r>
      <w:r>
        <w:t xml:space="preserve">Specifically, your code should:</w:t>
      </w:r>
    </w:p>
    <w:p>
      <w:pPr>
        <w:pStyle w:val="Compact"/>
        <w:numPr>
          <w:ilvl w:val="0"/>
          <w:numId w:val="1002"/>
        </w:numPr>
      </w:pPr>
      <w:r>
        <w:t xml:space="preserve">use whitespace liberally</w:t>
      </w:r>
    </w:p>
    <w:p>
      <w:pPr>
        <w:pStyle w:val="Compact"/>
        <w:numPr>
          <w:ilvl w:val="1"/>
          <w:numId w:val="1003"/>
        </w:numPr>
      </w:pPr>
      <w:r>
        <w:t xml:space="preserve">before &amp; after every</w:t>
      </w:r>
      <w:r>
        <w:t xml:space="preserve"> </w:t>
      </w:r>
      <w:r>
        <w:rPr>
          <w:rStyle w:val="VerbatimChar"/>
        </w:rPr>
        <w:t xml:space="preserve">=</w:t>
      </w:r>
      <w:r>
        <w:t xml:space="preserve"> </w:t>
      </w:r>
      <w:r>
        <w:t xml:space="preserve">sign</w:t>
      </w:r>
    </w:p>
    <w:p>
      <w:pPr>
        <w:pStyle w:val="Compact"/>
        <w:numPr>
          <w:ilvl w:val="1"/>
          <w:numId w:val="1003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,</w:t>
      </w:r>
    </w:p>
    <w:p>
      <w:pPr>
        <w:pStyle w:val="Compact"/>
        <w:numPr>
          <w:ilvl w:val="1"/>
          <w:numId w:val="1003"/>
        </w:numPr>
      </w:pPr>
      <w:r>
        <w:t xml:space="preserve">before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0"/>
          <w:numId w:val="1002"/>
        </w:numPr>
      </w:pPr>
      <w:r>
        <w:t xml:space="preserve">use new lines liberally</w:t>
      </w:r>
    </w:p>
    <w:p>
      <w:pPr>
        <w:pStyle w:val="Compact"/>
        <w:numPr>
          <w:ilvl w:val="1"/>
          <w:numId w:val="1004"/>
        </w:numPr>
      </w:pPr>
      <w:r>
        <w:t xml:space="preserve">after every</w:t>
      </w:r>
      <w:r>
        <w:t xml:space="preserve"> </w:t>
      </w:r>
      <w:r>
        <w:rPr>
          <w:rStyle w:val="VerbatimChar"/>
        </w:rPr>
        <w:t xml:space="preserve">|&gt;</w:t>
      </w:r>
    </w:p>
    <w:p>
      <w:pPr>
        <w:pStyle w:val="Compact"/>
        <w:numPr>
          <w:ilvl w:val="1"/>
          <w:numId w:val="1004"/>
        </w:numPr>
      </w:pPr>
      <w:r>
        <w:t xml:space="preserve">after</w:t>
      </w:r>
      <w:r>
        <w:t xml:space="preserve"> </w:t>
      </w:r>
      <w:r>
        <w:rPr>
          <w:rStyle w:val="VerbatimChar"/>
        </w:rPr>
        <w:t xml:space="preserve">,</w:t>
      </w:r>
      <w:r>
        <w:t xml:space="preserve"> </w:t>
      </w:r>
      <w:r>
        <w:t xml:space="preserve">when needed (if code is more than 80 characters in length)</w:t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6" Target="https://style.tidyverse.org/pipe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style.tidyverse.org/pipe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 5 Task Card – Military Spending</dc:title>
  <dc:creator/>
  <cp:keywords/>
  <dcterms:created xsi:type="dcterms:W3CDTF">2025-04-25T17:46:17Z</dcterms:created>
  <dcterms:modified xsi:type="dcterms:W3CDTF">2025-04-25T17:46:17Z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source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