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BD0F" w14:textId="4F941629" w:rsidR="00F91744" w:rsidRPr="00F91744" w:rsidRDefault="00F91744" w:rsidP="00D77867">
      <w:pPr>
        <w:jc w:val="both"/>
        <w:rPr>
          <w:rFonts w:ascii="Times New Roman" w:hAnsi="Times New Roman" w:cs="Times New Roman"/>
          <w:b/>
          <w:bCs/>
        </w:rPr>
      </w:pPr>
      <w:r w:rsidRPr="00F91744">
        <w:rPr>
          <w:rFonts w:ascii="Times New Roman" w:hAnsi="Times New Roman" w:cs="Times New Roman"/>
          <w:b/>
          <w:bCs/>
        </w:rPr>
        <w:t>Test Log 2 Kang (Single Cell RNA-Seq)</w:t>
      </w:r>
    </w:p>
    <w:p w14:paraId="1656DA0D" w14:textId="785B04A2" w:rsidR="00F91744" w:rsidRDefault="00B047D6" w:rsidP="00D77867">
      <w:pPr>
        <w:jc w:val="both"/>
        <w:rPr>
          <w:rFonts w:ascii="Times New Roman" w:hAnsi="Times New Roman" w:cs="Times New Roman"/>
        </w:rPr>
      </w:pPr>
      <w:r w:rsidRPr="009812A6">
        <w:rPr>
          <w:rFonts w:ascii="Times New Roman" w:hAnsi="Times New Roman" w:cs="Times New Roman"/>
        </w:rPr>
        <w:t>The second test in the battery</w:t>
      </w:r>
      <w:r w:rsidR="00F91744">
        <w:rPr>
          <w:rFonts w:ascii="Times New Roman" w:hAnsi="Times New Roman" w:cs="Times New Roman"/>
        </w:rPr>
        <w:t xml:space="preserve"> of tests </w:t>
      </w:r>
      <w:r w:rsidRPr="009812A6">
        <w:rPr>
          <w:rFonts w:ascii="Times New Roman" w:hAnsi="Times New Roman" w:cs="Times New Roman"/>
        </w:rPr>
        <w:t xml:space="preserve"> was  focused on single cell RNA sequencing data (scRNA -seq)</w:t>
      </w:r>
      <w:r w:rsidR="00D77867" w:rsidRPr="009812A6">
        <w:rPr>
          <w:rFonts w:ascii="Times New Roman" w:hAnsi="Times New Roman" w:cs="Times New Roman"/>
        </w:rPr>
        <w:t xml:space="preserve">. </w:t>
      </w:r>
      <w:r w:rsidRPr="009812A6">
        <w:rPr>
          <w:rFonts w:ascii="Times New Roman" w:hAnsi="Times New Roman" w:cs="Times New Roman"/>
        </w:rPr>
        <w:t xml:space="preserve">The dataset used was the Kang scRNA-seq dataset. </w:t>
      </w:r>
      <w:r w:rsidR="000C28A3" w:rsidRPr="009812A6">
        <w:rPr>
          <w:rFonts w:ascii="Times New Roman" w:hAnsi="Times New Roman" w:cs="Times New Roman"/>
        </w:rPr>
        <w:t xml:space="preserve">Testing against the Kang scRNA-seq dataset exposed two important pipeline limitations and confirmed the biological validity of the corrected workflow. </w:t>
      </w:r>
    </w:p>
    <w:p w14:paraId="60775EE0" w14:textId="373644B2" w:rsidR="000C28A3" w:rsidRPr="009812A6" w:rsidRDefault="000C28A3" w:rsidP="00D77867">
      <w:pPr>
        <w:jc w:val="both"/>
        <w:rPr>
          <w:rFonts w:ascii="Times New Roman" w:hAnsi="Times New Roman" w:cs="Times New Roman"/>
        </w:rPr>
      </w:pPr>
      <w:r w:rsidRPr="009812A6">
        <w:rPr>
          <w:rFonts w:ascii="Times New Roman" w:hAnsi="Times New Roman" w:cs="Times New Roman"/>
        </w:rPr>
        <w:t xml:space="preserve">First, the local development machine showed a clear practical resource ceiling when processing the larger 12,000-cell subset under WSL. The full-size run repeatedly caused the WSL environment to terminate abruptly during the </w:t>
      </w:r>
      <w:r w:rsidR="00B047D6" w:rsidRPr="009812A6">
        <w:rPr>
          <w:rFonts w:ascii="Times New Roman" w:hAnsi="Times New Roman" w:cs="Times New Roman"/>
        </w:rPr>
        <w:t>stati</w:t>
      </w:r>
      <w:r w:rsidR="00F91744">
        <w:rPr>
          <w:rFonts w:ascii="Times New Roman" w:hAnsi="Times New Roman" w:cs="Times New Roman"/>
        </w:rPr>
        <w:t>sti</w:t>
      </w:r>
      <w:r w:rsidR="00B047D6" w:rsidRPr="009812A6">
        <w:rPr>
          <w:rFonts w:ascii="Times New Roman" w:hAnsi="Times New Roman" w:cs="Times New Roman"/>
        </w:rPr>
        <w:t>cal omics</w:t>
      </w:r>
      <w:r w:rsidRPr="009812A6">
        <w:rPr>
          <w:rFonts w:ascii="Times New Roman" w:hAnsi="Times New Roman" w:cs="Times New Roman"/>
        </w:rPr>
        <w:t xml:space="preserve"> stage</w:t>
      </w:r>
      <w:r w:rsidR="00B047D6" w:rsidRPr="009812A6">
        <w:rPr>
          <w:rFonts w:ascii="Times New Roman" w:hAnsi="Times New Roman" w:cs="Times New Roman"/>
        </w:rPr>
        <w:t xml:space="preserve"> of </w:t>
      </w:r>
      <w:r w:rsidR="00F91744">
        <w:rPr>
          <w:rFonts w:ascii="Times New Roman" w:hAnsi="Times New Roman" w:cs="Times New Roman"/>
        </w:rPr>
        <w:t xml:space="preserve">the </w:t>
      </w:r>
      <w:r w:rsidR="00B047D6" w:rsidRPr="009812A6">
        <w:rPr>
          <w:rFonts w:ascii="Times New Roman" w:hAnsi="Times New Roman" w:cs="Times New Roman"/>
        </w:rPr>
        <w:t>pipeline</w:t>
      </w:r>
      <w:r w:rsidRPr="009812A6">
        <w:rPr>
          <w:rFonts w:ascii="Times New Roman" w:hAnsi="Times New Roman" w:cs="Times New Roman"/>
        </w:rPr>
        <w:t>.</w:t>
      </w:r>
      <w:r w:rsidR="00F91744">
        <w:rPr>
          <w:rFonts w:ascii="Times New Roman" w:hAnsi="Times New Roman" w:cs="Times New Roman"/>
        </w:rPr>
        <w:t xml:space="preserve"> </w:t>
      </w:r>
      <w:r w:rsidR="00B047D6" w:rsidRPr="009812A6">
        <w:rPr>
          <w:rFonts w:ascii="Times New Roman" w:hAnsi="Times New Roman" w:cs="Times New Roman"/>
        </w:rPr>
        <w:t>For clarity, the JCAP single cell RNA seq pipeline   consists of the following</w:t>
      </w:r>
      <w:r w:rsidR="00F91744">
        <w:rPr>
          <w:rFonts w:ascii="Times New Roman" w:hAnsi="Times New Roman" w:cs="Times New Roman"/>
        </w:rPr>
        <w:t>:</w:t>
      </w:r>
      <w:r w:rsidR="00B047D6" w:rsidRPr="009812A6">
        <w:rPr>
          <w:rFonts w:ascii="Times New Roman" w:hAnsi="Times New Roman" w:cs="Times New Roman"/>
        </w:rPr>
        <w:t xml:space="preserve">  a stati</w:t>
      </w:r>
      <w:r w:rsidR="00F91744">
        <w:rPr>
          <w:rFonts w:ascii="Times New Roman" w:hAnsi="Times New Roman" w:cs="Times New Roman"/>
        </w:rPr>
        <w:t>sti</w:t>
      </w:r>
      <w:r w:rsidR="00B047D6" w:rsidRPr="009812A6">
        <w:rPr>
          <w:rFonts w:ascii="Times New Roman" w:hAnsi="Times New Roman" w:cs="Times New Roman"/>
        </w:rPr>
        <w:t>cal omics step, a network visualization  step  that uses enrichment data from the omics step, a</w:t>
      </w:r>
      <w:r w:rsidR="00F91744">
        <w:rPr>
          <w:rFonts w:ascii="Times New Roman" w:hAnsi="Times New Roman" w:cs="Times New Roman"/>
        </w:rPr>
        <w:t>n</w:t>
      </w:r>
      <w:r w:rsidR="00B047D6" w:rsidRPr="009812A6">
        <w:rPr>
          <w:rFonts w:ascii="Times New Roman" w:hAnsi="Times New Roman" w:cs="Times New Roman"/>
        </w:rPr>
        <w:t xml:space="preserve"> LLM triage analysis of the same enrichment data</w:t>
      </w:r>
      <w:r w:rsidR="00F91744">
        <w:rPr>
          <w:rFonts w:ascii="Times New Roman" w:hAnsi="Times New Roman" w:cs="Times New Roman"/>
        </w:rPr>
        <w:t xml:space="preserve">,  </w:t>
      </w:r>
      <w:r w:rsidR="00B047D6" w:rsidRPr="009812A6">
        <w:rPr>
          <w:rFonts w:ascii="Times New Roman" w:hAnsi="Times New Roman" w:cs="Times New Roman"/>
        </w:rPr>
        <w:t>a literature review and final report step</w:t>
      </w:r>
      <w:r w:rsidR="00D77867" w:rsidRPr="009812A6">
        <w:rPr>
          <w:rFonts w:ascii="Times New Roman" w:hAnsi="Times New Roman" w:cs="Times New Roman"/>
        </w:rPr>
        <w:t xml:space="preserve">. </w:t>
      </w:r>
      <w:r w:rsidRPr="009812A6">
        <w:rPr>
          <w:rFonts w:ascii="Times New Roman" w:hAnsi="Times New Roman" w:cs="Times New Roman"/>
        </w:rPr>
        <w:t>Th</w:t>
      </w:r>
      <w:r w:rsidR="00B047D6" w:rsidRPr="009812A6">
        <w:rPr>
          <w:rFonts w:ascii="Times New Roman" w:hAnsi="Times New Roman" w:cs="Times New Roman"/>
        </w:rPr>
        <w:t xml:space="preserve">e WSL crash </w:t>
      </w:r>
      <w:r w:rsidRPr="009812A6">
        <w:rPr>
          <w:rFonts w:ascii="Times New Roman" w:hAnsi="Times New Roman" w:cs="Times New Roman"/>
        </w:rPr>
        <w:t xml:space="preserve"> </w:t>
      </w:r>
      <w:r w:rsidR="00B047D6" w:rsidRPr="009812A6">
        <w:rPr>
          <w:rFonts w:ascii="Times New Roman" w:hAnsi="Times New Roman" w:cs="Times New Roman"/>
        </w:rPr>
        <w:t>was</w:t>
      </w:r>
      <w:r w:rsidRPr="009812A6">
        <w:rPr>
          <w:rFonts w:ascii="Times New Roman" w:hAnsi="Times New Roman" w:cs="Times New Roman"/>
        </w:rPr>
        <w:t xml:space="preserve"> a local infrastructure limitation rather than a biological-analysis issue; the long-term solution is cloud deployment with scalable compute and cloud-backed storage. For short-term validation, the dataset was reduced to a stratified 4,000-cell subset while preserving all 8 donors, both STIM and CTRL conditions, and adequate representation of the target CD14+ monocyte population. The reduced dataset contained 909 CD14+ monocytes, with both conditions retained for every donor, allowing the paired pseudobulk design to remain intact.</w:t>
      </w:r>
    </w:p>
    <w:p w14:paraId="62E68F21" w14:textId="302B1845" w:rsidR="000C28A3" w:rsidRPr="009812A6" w:rsidRDefault="000C28A3" w:rsidP="00D77867">
      <w:pPr>
        <w:jc w:val="both"/>
        <w:rPr>
          <w:rFonts w:ascii="Times New Roman" w:hAnsi="Times New Roman" w:cs="Times New Roman"/>
        </w:rPr>
      </w:pPr>
      <w:r w:rsidRPr="009812A6">
        <w:rPr>
          <w:rFonts w:ascii="Times New Roman" w:hAnsi="Times New Roman" w:cs="Times New Roman"/>
        </w:rPr>
        <w:t xml:space="preserve">Second, testing revealed a robustness issue in how the differential-expression scope was handled. The pipeline accepted a target cell type, but the API route default still </w:t>
      </w:r>
      <w:r w:rsidR="002C0D4A" w:rsidRPr="009812A6">
        <w:rPr>
          <w:rFonts w:ascii="Times New Roman" w:hAnsi="Times New Roman" w:cs="Times New Roman"/>
        </w:rPr>
        <w:t xml:space="preserve">had a line that </w:t>
      </w:r>
      <w:r w:rsidR="00D77867">
        <w:rPr>
          <w:rFonts w:ascii="Times New Roman" w:hAnsi="Times New Roman" w:cs="Times New Roman"/>
        </w:rPr>
        <w:t xml:space="preserve">stated, </w:t>
      </w:r>
      <w:r w:rsidR="002C0D4A" w:rsidRPr="009812A6">
        <w:rPr>
          <w:rFonts w:ascii="Times New Roman" w:hAnsi="Times New Roman" w:cs="Times New Roman"/>
        </w:rPr>
        <w:t>“</w:t>
      </w:r>
      <w:r w:rsidRPr="009812A6">
        <w:rPr>
          <w:rFonts w:ascii="Times New Roman" w:hAnsi="Times New Roman" w:cs="Times New Roman"/>
        </w:rPr>
        <w:t>de_scope=top_celltype</w:t>
      </w:r>
      <w:r w:rsidR="00D77867" w:rsidRPr="009812A6">
        <w:rPr>
          <w:rFonts w:ascii="Times New Roman" w:hAnsi="Times New Roman" w:cs="Times New Roman"/>
        </w:rPr>
        <w:t>,”</w:t>
      </w:r>
      <w:r w:rsidRPr="009812A6">
        <w:rPr>
          <w:rFonts w:ascii="Times New Roman" w:hAnsi="Times New Roman" w:cs="Times New Roman"/>
        </w:rPr>
        <w:t xml:space="preserve"> which caused the condition-level differential-expression analysis to use the most abundant cell population rather than the intended target population. This would be a major problem for reuse across datasets containing different cell types. The CLI/API path was therefore updated so the user can explicitly specify both de_scope=target_celltype and the desired target cell type at runtime. The corrected run successfully propagated </w:t>
      </w:r>
      <w:r w:rsidR="002C0D4A" w:rsidRPr="009812A6">
        <w:rPr>
          <w:rFonts w:ascii="Times New Roman" w:hAnsi="Times New Roman" w:cs="Times New Roman"/>
        </w:rPr>
        <w:t>“</w:t>
      </w:r>
      <w:r w:rsidRPr="009812A6">
        <w:rPr>
          <w:rFonts w:ascii="Times New Roman" w:hAnsi="Times New Roman" w:cs="Times New Roman"/>
        </w:rPr>
        <w:t>target_celltype = CD14+ Monocytes</w:t>
      </w:r>
      <w:r w:rsidR="002C0D4A" w:rsidRPr="009812A6">
        <w:rPr>
          <w:rFonts w:ascii="Times New Roman" w:hAnsi="Times New Roman" w:cs="Times New Roman"/>
        </w:rPr>
        <w:t>”</w:t>
      </w:r>
      <w:r w:rsidRPr="009812A6">
        <w:rPr>
          <w:rFonts w:ascii="Times New Roman" w:hAnsi="Times New Roman" w:cs="Times New Roman"/>
        </w:rPr>
        <w:t xml:space="preserve"> through the full workflow.</w:t>
      </w:r>
    </w:p>
    <w:p w14:paraId="01CCD98E" w14:textId="2BC635A0" w:rsidR="000C28A3" w:rsidRPr="009812A6" w:rsidRDefault="000C28A3" w:rsidP="00D77867">
      <w:pPr>
        <w:jc w:val="both"/>
        <w:rPr>
          <w:rFonts w:ascii="Times New Roman" w:hAnsi="Times New Roman" w:cs="Times New Roman"/>
        </w:rPr>
      </w:pPr>
      <w:r w:rsidRPr="009812A6">
        <w:rPr>
          <w:rFonts w:ascii="Times New Roman" w:hAnsi="Times New Roman" w:cs="Times New Roman"/>
        </w:rPr>
        <w:t>After these issues were addressed, the integrated pipeline completed all six stages successfully and retained the intended paired design: 8 matched donor pairs, 8 STIM pseudobulks, 8 CTRL pseudobulks, and a donor fixed-effect limma-voom model. The biological results were consistent with the known Kang IFN-β experiment. The pipeline recovered a strong type I interferon/antiviral transcriptional response in CD14+ monocytes, including induction of canonical interferon-stimulated genes such as IFI44, IFI44L, EIF2AK2, OAS3, STAT1, STAT2, and other ISG-related genes, together with coherent antiviral/interferon pathway enrichment. This is consistent with the central finding of the original Kang study: a strong, cell-type-specific transcriptional response to IFN-β across matched human donors The biological findings were compared against the original Kang et al. study, which characterized cell-type-specific transcriptional responses to IFN-β stimulation in PBMCs from eight lupus donors (Kang et al., 2018).</w:t>
      </w:r>
    </w:p>
    <w:p w14:paraId="2D37DE51" w14:textId="77777777" w:rsidR="000C28A3" w:rsidRPr="009812A6" w:rsidRDefault="000C28A3" w:rsidP="00D77867">
      <w:pPr>
        <w:jc w:val="both"/>
        <w:rPr>
          <w:rFonts w:ascii="Times New Roman" w:hAnsi="Times New Roman" w:cs="Times New Roman"/>
        </w:rPr>
      </w:pPr>
    </w:p>
    <w:p w14:paraId="0AE3B4B9" w14:textId="5A03B91B" w:rsidR="000C28A3" w:rsidRPr="009812A6" w:rsidRDefault="00D77867" w:rsidP="00D7786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Citation: </w:t>
      </w:r>
      <w:r w:rsidR="000C28A3" w:rsidRPr="009812A6">
        <w:rPr>
          <w:rFonts w:ascii="Times New Roman" w:hAnsi="Times New Roman" w:cs="Times New Roman"/>
        </w:rPr>
        <w:t>Kang HM, Subramaniam M, Targ S, et al. Multiplexed droplet single-cell RNA-sequencing using natural genetic variation. Nature Biotechnology. 2018;36:89–94. doi: 10.1038/nbt.4042.</w:t>
      </w:r>
    </w:p>
    <w:sectPr w:rsidR="000C28A3" w:rsidRPr="00981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A3"/>
    <w:rsid w:val="000C28A3"/>
    <w:rsid w:val="00242C88"/>
    <w:rsid w:val="002C0D4A"/>
    <w:rsid w:val="008F2FBC"/>
    <w:rsid w:val="009812A6"/>
    <w:rsid w:val="00B047D6"/>
    <w:rsid w:val="00D77867"/>
    <w:rsid w:val="00F9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EE7B2"/>
  <w15:chartTrackingRefBased/>
  <w15:docId w15:val="{082EFE3C-1CD7-428D-9581-1A6844C6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Caperella</dc:creator>
  <cp:keywords/>
  <dc:description/>
  <cp:lastModifiedBy>John Caperella</cp:lastModifiedBy>
  <cp:revision>2</cp:revision>
  <dcterms:created xsi:type="dcterms:W3CDTF">2026-09-18T14:06:00Z</dcterms:created>
  <dcterms:modified xsi:type="dcterms:W3CDTF">2026-09-18T14:06:00Z</dcterms:modified>
</cp:coreProperties>
</file>