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C325D" w14:textId="59FA3CFD" w:rsidR="00F71E04" w:rsidRPr="00F71E04" w:rsidRDefault="00F71E04" w:rsidP="00F71E04">
      <w:pPr>
        <w:rPr>
          <w:rFonts w:ascii="Times New Roman" w:hAnsi="Times New Roman" w:cs="Times New Roman"/>
          <w:b/>
          <w:bCs/>
        </w:rPr>
      </w:pPr>
      <w:r w:rsidRPr="00F71E04">
        <w:rPr>
          <w:rFonts w:ascii="Times New Roman" w:hAnsi="Times New Roman" w:cs="Times New Roman"/>
          <w:b/>
          <w:bCs/>
        </w:rPr>
        <w:t>Engineering</w:t>
      </w:r>
      <w:r w:rsidRPr="00F71E04">
        <w:rPr>
          <w:rFonts w:ascii="Times New Roman" w:hAnsi="Times New Roman" w:cs="Times New Roman"/>
          <w:b/>
          <w:bCs/>
        </w:rPr>
        <w:t>/Testing</w:t>
      </w:r>
      <w:r w:rsidRPr="00F71E04">
        <w:rPr>
          <w:rFonts w:ascii="Times New Roman" w:hAnsi="Times New Roman" w:cs="Times New Roman"/>
          <w:b/>
          <w:bCs/>
        </w:rPr>
        <w:t xml:space="preserve"> Log</w:t>
      </w:r>
      <w:r w:rsidRPr="00F71E04">
        <w:rPr>
          <w:rFonts w:ascii="Times New Roman" w:hAnsi="Times New Roman" w:cs="Times New Roman"/>
          <w:b/>
          <w:bCs/>
        </w:rPr>
        <w:t xml:space="preserve"> 3</w:t>
      </w:r>
      <w:r w:rsidRPr="00F71E04">
        <w:rPr>
          <w:rFonts w:ascii="Times New Roman" w:hAnsi="Times New Roman" w:cs="Times New Roman"/>
          <w:b/>
          <w:bCs/>
        </w:rPr>
        <w:t xml:space="preserve"> — Perturb-seq and </w:t>
      </w:r>
      <w:proofErr w:type="spellStart"/>
      <w:r w:rsidRPr="00F71E04">
        <w:rPr>
          <w:rFonts w:ascii="Times New Roman" w:hAnsi="Times New Roman" w:cs="Times New Roman"/>
          <w:b/>
          <w:bCs/>
        </w:rPr>
        <w:t>scRNA</w:t>
      </w:r>
      <w:proofErr w:type="spellEnd"/>
      <w:r w:rsidRPr="00F71E04">
        <w:rPr>
          <w:rFonts w:ascii="Times New Roman" w:hAnsi="Times New Roman" w:cs="Times New Roman"/>
          <w:b/>
          <w:bCs/>
        </w:rPr>
        <w:t>-seq Integrated Pipeline Validation</w:t>
      </w:r>
      <w:r w:rsidRPr="00F71E04">
        <w:rPr>
          <w:rFonts w:ascii="Times New Roman" w:hAnsi="Times New Roman" w:cs="Times New Roman"/>
          <w:b/>
          <w:bCs/>
        </w:rPr>
        <w:t xml:space="preserve"> and </w:t>
      </w:r>
      <w:proofErr w:type="gramStart"/>
      <w:r w:rsidRPr="00F71E04">
        <w:rPr>
          <w:rFonts w:ascii="Times New Roman" w:hAnsi="Times New Roman" w:cs="Times New Roman"/>
          <w:b/>
          <w:bCs/>
        </w:rPr>
        <w:t>updating  against</w:t>
      </w:r>
      <w:proofErr w:type="gramEnd"/>
      <w:r w:rsidRPr="00F71E04">
        <w:rPr>
          <w:rFonts w:ascii="Times New Roman" w:hAnsi="Times New Roman" w:cs="Times New Roman"/>
          <w:b/>
          <w:bCs/>
        </w:rPr>
        <w:t xml:space="preserve"> Giladi and Kang</w:t>
      </w:r>
    </w:p>
    <w:p w14:paraId="3904EE74" w14:textId="7DBD72C4" w:rsidR="00F71E04" w:rsidRPr="00F71E04" w:rsidRDefault="00F71E04" w:rsidP="00F71E04">
      <w:pPr>
        <w:rPr>
          <w:rFonts w:ascii="Times New Roman" w:hAnsi="Times New Roman" w:cs="Times New Roman"/>
        </w:rPr>
      </w:pPr>
      <w:r w:rsidRPr="00F71E04">
        <w:rPr>
          <w:rFonts w:ascii="Times New Roman" w:hAnsi="Times New Roman" w:cs="Times New Roman"/>
        </w:rPr>
        <w:t xml:space="preserve">The integrated Perturb-seq workflow was first validated against data derived from </w:t>
      </w:r>
      <w:r w:rsidRPr="00F71E04">
        <w:rPr>
          <w:rFonts w:ascii="Times New Roman" w:hAnsi="Times New Roman" w:cs="Times New Roman"/>
          <w:b/>
          <w:bCs/>
        </w:rPr>
        <w:t xml:space="preserve">Giladi et al., “Single-cell characterization of </w:t>
      </w:r>
      <w:proofErr w:type="spellStart"/>
      <w:r w:rsidRPr="00F71E04">
        <w:rPr>
          <w:rFonts w:ascii="Times New Roman" w:hAnsi="Times New Roman" w:cs="Times New Roman"/>
          <w:b/>
          <w:bCs/>
        </w:rPr>
        <w:t>haematopoietic</w:t>
      </w:r>
      <w:proofErr w:type="spellEnd"/>
      <w:r w:rsidRPr="00F71E04">
        <w:rPr>
          <w:rFonts w:ascii="Times New Roman" w:hAnsi="Times New Roman" w:cs="Times New Roman"/>
          <w:b/>
          <w:bCs/>
        </w:rPr>
        <w:t xml:space="preserve"> progenitors and their trajectories in homeostasis and perturbed </w:t>
      </w:r>
      <w:proofErr w:type="spellStart"/>
      <w:r w:rsidRPr="00F71E04">
        <w:rPr>
          <w:rFonts w:ascii="Times New Roman" w:hAnsi="Times New Roman" w:cs="Times New Roman"/>
          <w:b/>
          <w:bCs/>
        </w:rPr>
        <w:t>haematopoiesis</w:t>
      </w:r>
      <w:proofErr w:type="spellEnd"/>
      <w:r w:rsidRPr="00F71E04">
        <w:rPr>
          <w:rFonts w:ascii="Times New Roman" w:hAnsi="Times New Roman" w:cs="Times New Roman"/>
          <w:b/>
          <w:bCs/>
        </w:rPr>
        <w:t>”</w:t>
      </w:r>
      <w:r w:rsidRPr="00F71E04">
        <w:rPr>
          <w:rFonts w:ascii="Times New Roman" w:hAnsi="Times New Roman" w:cs="Times New Roman"/>
        </w:rPr>
        <w:t xml:space="preserve"> </w:t>
      </w:r>
      <w:r>
        <w:rPr>
          <w:rFonts w:ascii="Times New Roman" w:hAnsi="Times New Roman" w:cs="Times New Roman"/>
        </w:rPr>
        <w:t>(1)</w:t>
      </w:r>
      <w:r w:rsidRPr="00F71E04">
        <w:rPr>
          <w:rFonts w:ascii="Times New Roman" w:hAnsi="Times New Roman" w:cs="Times New Roman"/>
        </w:rPr>
        <w:t xml:space="preserve">That study used single-cell transcriptomics and CRISP-seq perturbation analysis to map murine hematopoietic progenitor states and differentiation trajectories. Among its major findings, Giladi and colleagues showed that </w:t>
      </w:r>
      <w:proofErr w:type="spellStart"/>
      <w:r w:rsidRPr="00F71E04">
        <w:rPr>
          <w:rFonts w:ascii="Times New Roman" w:hAnsi="Times New Roman" w:cs="Times New Roman"/>
          <w:b/>
          <w:bCs/>
        </w:rPr>
        <w:t>Cebpa</w:t>
      </w:r>
      <w:proofErr w:type="spellEnd"/>
      <w:r w:rsidRPr="00F71E04">
        <w:rPr>
          <w:rFonts w:ascii="Times New Roman" w:hAnsi="Times New Roman" w:cs="Times New Roman"/>
          <w:b/>
          <w:bCs/>
        </w:rPr>
        <w:t xml:space="preserve"> regulates entry into myeloid differentiation</w:t>
      </w:r>
      <w:r w:rsidRPr="00F71E04">
        <w:rPr>
          <w:rFonts w:ascii="Times New Roman" w:hAnsi="Times New Roman" w:cs="Times New Roman"/>
        </w:rPr>
        <w:t xml:space="preserve">, while </w:t>
      </w:r>
      <w:r w:rsidRPr="00F71E04">
        <w:rPr>
          <w:rFonts w:ascii="Times New Roman" w:hAnsi="Times New Roman" w:cs="Times New Roman"/>
          <w:b/>
          <w:bCs/>
        </w:rPr>
        <w:t>Irf8 and PU.1 deficiency interfere with later monocyte and granulocyte differentiation programs</w:t>
      </w:r>
      <w:r w:rsidRPr="00F71E04">
        <w:rPr>
          <w:rFonts w:ascii="Times New Roman" w:hAnsi="Times New Roman" w:cs="Times New Roman"/>
        </w:rPr>
        <w:t xml:space="preserve">. </w:t>
      </w:r>
      <w:r>
        <w:rPr>
          <w:rFonts w:ascii="Times New Roman" w:hAnsi="Times New Roman" w:cs="Times New Roman"/>
        </w:rPr>
        <w:t>(1)</w:t>
      </w:r>
    </w:p>
    <w:p w14:paraId="0D3CBBB9" w14:textId="77777777" w:rsidR="00F71E04" w:rsidRPr="00F71E04" w:rsidRDefault="00F71E04" w:rsidP="00F71E04">
      <w:pPr>
        <w:rPr>
          <w:rFonts w:ascii="Times New Roman" w:hAnsi="Times New Roman" w:cs="Times New Roman"/>
        </w:rPr>
      </w:pPr>
      <w:r w:rsidRPr="00F71E04">
        <w:rPr>
          <w:rFonts w:ascii="Times New Roman" w:hAnsi="Times New Roman" w:cs="Times New Roman"/>
        </w:rPr>
        <w:t>The initial Perturb-seq pipeline recovered the expected broad biology from this benchmark. To make the workflow more efficient and easier to interpret, perturbations were analyzed serially and their outputs were subsequently aggregated into a single experiment-level report. This preserved perturbation-specific signals while allowing the final synthesis to compare biological programs across perturbations rather than forcing all targets into one simultaneous interpretation.</w:t>
      </w:r>
    </w:p>
    <w:p w14:paraId="6DFA6B0A" w14:textId="77777777" w:rsidR="00F71E04" w:rsidRPr="00F71E04" w:rsidRDefault="00F71E04" w:rsidP="00F71E04">
      <w:pPr>
        <w:rPr>
          <w:rFonts w:ascii="Times New Roman" w:hAnsi="Times New Roman" w:cs="Times New Roman"/>
        </w:rPr>
      </w:pPr>
      <w:r w:rsidRPr="00F71E04">
        <w:rPr>
          <w:rFonts w:ascii="Times New Roman" w:hAnsi="Times New Roman" w:cs="Times New Roman"/>
        </w:rPr>
        <w:t>A major improvement during this round of testing was the literature-review stage. Earlier versions could retrieve papers that were biologically adjacent but not sufficiently specific to the actual perturbation or phenotype. The literature module was therefore strengthened with an internal biological “playbook” that evaluates relationships among assays, pathways, phenotypes, perturbation targets, and downstream mechanisms. Papers can now be classified more conservatively as direct evidence, related evidence, or unsuitable for evidence use. This substantially improved the usefulness of the literature layer: broad retrieval can still occur, but weak matches are explicitly excluded rather than being presented as corroboration.</w:t>
      </w:r>
    </w:p>
    <w:p w14:paraId="3AE95FBC" w14:textId="35AC029B" w:rsidR="00F71E04" w:rsidRPr="00F71E04" w:rsidRDefault="00F71E04" w:rsidP="00F71E04">
      <w:pPr>
        <w:rPr>
          <w:rFonts w:ascii="Times New Roman" w:hAnsi="Times New Roman" w:cs="Times New Roman"/>
        </w:rPr>
      </w:pPr>
      <w:r w:rsidRPr="00F71E04">
        <w:rPr>
          <w:rFonts w:ascii="Times New Roman" w:hAnsi="Times New Roman" w:cs="Times New Roman"/>
        </w:rPr>
        <w:t xml:space="preserve">Reviewing the Giladi paper also exposed an important omission in the original integrated workflow. The perturbation and pathway analyses were informative, but they lacked an explicit </w:t>
      </w:r>
      <w:r w:rsidRPr="00F71E04">
        <w:rPr>
          <w:rFonts w:ascii="Times New Roman" w:hAnsi="Times New Roman" w:cs="Times New Roman"/>
          <w:b/>
          <w:bCs/>
        </w:rPr>
        <w:t>cell-state and lineage layer</w:t>
      </w:r>
      <w:r w:rsidRPr="00F71E04">
        <w:rPr>
          <w:rFonts w:ascii="Times New Roman" w:hAnsi="Times New Roman" w:cs="Times New Roman"/>
        </w:rPr>
        <w:t xml:space="preserve">, even though lineage identity is central to the biological interpretation of both </w:t>
      </w:r>
      <w:proofErr w:type="spellStart"/>
      <w:r w:rsidRPr="00F71E04">
        <w:rPr>
          <w:rFonts w:ascii="Times New Roman" w:hAnsi="Times New Roman" w:cs="Times New Roman"/>
        </w:rPr>
        <w:t>scRNA</w:t>
      </w:r>
      <w:proofErr w:type="spellEnd"/>
      <w:r w:rsidRPr="00F71E04">
        <w:rPr>
          <w:rFonts w:ascii="Times New Roman" w:hAnsi="Times New Roman" w:cs="Times New Roman"/>
        </w:rPr>
        <w:t xml:space="preserve">-seq and Perturb-seq. Giladi et al. explicitly describe hematopoietic progenitors as a continuum of transcriptional states and use lineage trajectories to interpret how perturbations alter differentiation. </w:t>
      </w:r>
      <w:r>
        <w:rPr>
          <w:rFonts w:ascii="Times New Roman" w:hAnsi="Times New Roman" w:cs="Times New Roman"/>
        </w:rPr>
        <w:t>(1)</w:t>
      </w:r>
    </w:p>
    <w:p w14:paraId="260A87F0" w14:textId="77777777" w:rsidR="00F71E04" w:rsidRPr="00F71E04" w:rsidRDefault="00F71E04" w:rsidP="00F71E04">
      <w:pPr>
        <w:rPr>
          <w:rFonts w:ascii="Times New Roman" w:hAnsi="Times New Roman" w:cs="Times New Roman"/>
        </w:rPr>
      </w:pPr>
      <w:r w:rsidRPr="00F71E04">
        <w:rPr>
          <w:rFonts w:ascii="Times New Roman" w:hAnsi="Times New Roman" w:cs="Times New Roman"/>
        </w:rPr>
        <w:t xml:space="preserve">To address this, I built a dedicated </w:t>
      </w:r>
      <w:r w:rsidRPr="00F71E04">
        <w:rPr>
          <w:rFonts w:ascii="Times New Roman" w:hAnsi="Times New Roman" w:cs="Times New Roman"/>
          <w:b/>
          <w:bCs/>
        </w:rPr>
        <w:t>cell-state/lineage API</w:t>
      </w:r>
      <w:r w:rsidRPr="00F71E04">
        <w:rPr>
          <w:rFonts w:ascii="Times New Roman" w:hAnsi="Times New Roman" w:cs="Times New Roman"/>
        </w:rPr>
        <w:t xml:space="preserve">. This module accepts annotated single-cell metadata and produces both state-aware metadata and a structured handoff for downstream interpretation. It can use provided lineage or cell-state annotations, calculate overall state frequencies, and generate group-specific summaries containing both cell counts and within-group fractions. Importantly, the API distinguishes between ordinary experimental conditions and perturbation identities depending on assay type: conventional </w:t>
      </w:r>
      <w:proofErr w:type="spellStart"/>
      <w:r w:rsidRPr="00F71E04">
        <w:rPr>
          <w:rFonts w:ascii="Times New Roman" w:hAnsi="Times New Roman" w:cs="Times New Roman"/>
        </w:rPr>
        <w:t>scRNA</w:t>
      </w:r>
      <w:proofErr w:type="spellEnd"/>
      <w:r w:rsidRPr="00F71E04">
        <w:rPr>
          <w:rFonts w:ascii="Times New Roman" w:hAnsi="Times New Roman" w:cs="Times New Roman"/>
        </w:rPr>
        <w:t>-seq uses a condition column, whereas Perturb-seq can use perturbation-specific grouping. This lets the downstream report ask whether an observed transcriptional difference reflects a change within a lineage, a change in lineage abundance, or both.</w:t>
      </w:r>
    </w:p>
    <w:p w14:paraId="7D0DD774" w14:textId="0662B2EC" w:rsidR="00F71E04" w:rsidRPr="00F71E04" w:rsidRDefault="00F71E04" w:rsidP="00F71E04">
      <w:pPr>
        <w:rPr>
          <w:rFonts w:ascii="Times New Roman" w:hAnsi="Times New Roman" w:cs="Times New Roman"/>
        </w:rPr>
      </w:pPr>
      <w:r w:rsidRPr="00F71E04">
        <w:rPr>
          <w:rFonts w:ascii="Times New Roman" w:hAnsi="Times New Roman" w:cs="Times New Roman"/>
        </w:rPr>
        <w:lastRenderedPageBreak/>
        <w:t xml:space="preserve">The same architectural improvements were then added to the standard </w:t>
      </w:r>
      <w:proofErr w:type="spellStart"/>
      <w:r w:rsidRPr="00F71E04">
        <w:rPr>
          <w:rFonts w:ascii="Times New Roman" w:hAnsi="Times New Roman" w:cs="Times New Roman"/>
        </w:rPr>
        <w:t>scRNA</w:t>
      </w:r>
      <w:proofErr w:type="spellEnd"/>
      <w:r w:rsidRPr="00F71E04">
        <w:rPr>
          <w:rFonts w:ascii="Times New Roman" w:hAnsi="Times New Roman" w:cs="Times New Roman"/>
        </w:rPr>
        <w:t xml:space="preserve">-seq integrated pipeline and validated using the dataset from </w:t>
      </w:r>
      <w:r w:rsidRPr="00F71E04">
        <w:rPr>
          <w:rFonts w:ascii="Times New Roman" w:hAnsi="Times New Roman" w:cs="Times New Roman"/>
          <w:b/>
          <w:bCs/>
        </w:rPr>
        <w:t>Kang et al., “Multiplexed droplet single-cell RNA-sequencing using natural genetic variation”</w:t>
      </w:r>
      <w:r w:rsidRPr="00F71E04">
        <w:rPr>
          <w:rFonts w:ascii="Times New Roman" w:hAnsi="Times New Roman" w:cs="Times New Roman"/>
        </w:rPr>
        <w:t xml:space="preserve"> (</w:t>
      </w:r>
      <w:r w:rsidRPr="00F71E04">
        <w:rPr>
          <w:rFonts w:ascii="Times New Roman" w:hAnsi="Times New Roman" w:cs="Times New Roman"/>
          <w:i/>
          <w:iCs/>
        </w:rPr>
        <w:t>Nature Biotechnology</w:t>
      </w:r>
      <w:r w:rsidRPr="00F71E04">
        <w:rPr>
          <w:rFonts w:ascii="Times New Roman" w:hAnsi="Times New Roman" w:cs="Times New Roman"/>
        </w:rPr>
        <w:t xml:space="preserve">, 2018). Kang et al. introduced </w:t>
      </w:r>
      <w:proofErr w:type="spellStart"/>
      <w:r w:rsidRPr="00F71E04">
        <w:rPr>
          <w:rFonts w:ascii="Times New Roman" w:hAnsi="Times New Roman" w:cs="Times New Roman"/>
          <w:b/>
          <w:bCs/>
        </w:rPr>
        <w:t>demuxlet</w:t>
      </w:r>
      <w:proofErr w:type="spellEnd"/>
      <w:r w:rsidRPr="00F71E04">
        <w:rPr>
          <w:rFonts w:ascii="Times New Roman" w:hAnsi="Times New Roman" w:cs="Times New Roman"/>
        </w:rPr>
        <w:t xml:space="preserve">, which uses natural genetic variation to assign pooled droplets back to individuals and identify doublets. Their benchmark included peripheral blood mononuclear cells from </w:t>
      </w:r>
      <w:r w:rsidRPr="00F71E04">
        <w:rPr>
          <w:rFonts w:ascii="Times New Roman" w:hAnsi="Times New Roman" w:cs="Times New Roman"/>
          <w:b/>
          <w:bCs/>
        </w:rPr>
        <w:t>eight pooled individuals treated with interferon-β</w:t>
      </w:r>
      <w:r w:rsidRPr="00F71E04">
        <w:rPr>
          <w:rFonts w:ascii="Times New Roman" w:hAnsi="Times New Roman" w:cs="Times New Roman"/>
        </w:rPr>
        <w:t xml:space="preserve">, enabling cell-type-specific analysis of the transcriptional response to stimulation. </w:t>
      </w:r>
      <w:r>
        <w:rPr>
          <w:rFonts w:ascii="Times New Roman" w:hAnsi="Times New Roman" w:cs="Times New Roman"/>
        </w:rPr>
        <w:t>(2)</w:t>
      </w:r>
    </w:p>
    <w:p w14:paraId="170F721B" w14:textId="77777777" w:rsidR="00F71E04" w:rsidRPr="00F71E04" w:rsidRDefault="00F71E04" w:rsidP="00F71E04">
      <w:pPr>
        <w:rPr>
          <w:rFonts w:ascii="Times New Roman" w:hAnsi="Times New Roman" w:cs="Times New Roman"/>
        </w:rPr>
      </w:pPr>
      <w:r w:rsidRPr="00F71E04">
        <w:rPr>
          <w:rFonts w:ascii="Times New Roman" w:hAnsi="Times New Roman" w:cs="Times New Roman"/>
        </w:rPr>
        <w:t xml:space="preserve">During this validation, the parameter handoff between the integrated workflow and the </w:t>
      </w:r>
      <w:proofErr w:type="spellStart"/>
      <w:r w:rsidRPr="00F71E04">
        <w:rPr>
          <w:rFonts w:ascii="Times New Roman" w:hAnsi="Times New Roman" w:cs="Times New Roman"/>
        </w:rPr>
        <w:t>scRNA</w:t>
      </w:r>
      <w:proofErr w:type="spellEnd"/>
      <w:r w:rsidRPr="00F71E04">
        <w:rPr>
          <w:rFonts w:ascii="Times New Roman" w:hAnsi="Times New Roman" w:cs="Times New Roman"/>
        </w:rPr>
        <w:t xml:space="preserve"> API was also hardened. The condition column, contrast direction, DE scope, and target cell type are now passed explicitly rather than relying on API defaults. This was important because a default “most abundant cell type” analysis could silently analyze CD4 T cells even when the intended biological question concerned CD14+ monocytes. The corrected pipeline explicitly analyzed </w:t>
      </w:r>
      <w:r w:rsidRPr="00F71E04">
        <w:rPr>
          <w:rFonts w:ascii="Times New Roman" w:hAnsi="Times New Roman" w:cs="Times New Roman"/>
          <w:b/>
          <w:bCs/>
        </w:rPr>
        <w:t>stimulated versus control CD14+ monocytes</w:t>
      </w:r>
      <w:r w:rsidRPr="00F71E04">
        <w:rPr>
          <w:rFonts w:ascii="Times New Roman" w:hAnsi="Times New Roman" w:cs="Times New Roman"/>
        </w:rPr>
        <w:t>.</w:t>
      </w:r>
    </w:p>
    <w:p w14:paraId="46993E1D" w14:textId="77777777" w:rsidR="00F71E04" w:rsidRPr="00F71E04" w:rsidRDefault="00F71E04" w:rsidP="00F71E04">
      <w:pPr>
        <w:rPr>
          <w:rFonts w:ascii="Times New Roman" w:hAnsi="Times New Roman" w:cs="Times New Roman"/>
        </w:rPr>
      </w:pPr>
      <w:r w:rsidRPr="00F71E04">
        <w:rPr>
          <w:rFonts w:ascii="Times New Roman" w:hAnsi="Times New Roman" w:cs="Times New Roman"/>
        </w:rPr>
        <w:t xml:space="preserve">The resulting Kang benchmark recovered a highly coherent interferon-response signature. In the final cell-level analysis, the leading differentially expressed genes included </w:t>
      </w:r>
      <w:r w:rsidRPr="00F71E04">
        <w:rPr>
          <w:rFonts w:ascii="Times New Roman" w:hAnsi="Times New Roman" w:cs="Times New Roman"/>
          <w:b/>
          <w:bCs/>
        </w:rPr>
        <w:t>IFIT3, IFI6, MX1, IFITM2, IRF7, NT5C3A, MX2, SAMD9L, IFI44L, UBE2L6, HERC5, and EPSTI1</w:t>
      </w:r>
      <w:r w:rsidRPr="00F71E04">
        <w:rPr>
          <w:rFonts w:ascii="Times New Roman" w:hAnsi="Times New Roman" w:cs="Times New Roman"/>
        </w:rPr>
        <w:t xml:space="preserve">, all with positive fold changes in stimulated versus control CD14+ monocytes. The PI-facing synthesis therefore identified the dominant transcriptional axis as an </w:t>
      </w:r>
      <w:r w:rsidRPr="00F71E04">
        <w:rPr>
          <w:rFonts w:ascii="Times New Roman" w:hAnsi="Times New Roman" w:cs="Times New Roman"/>
          <w:b/>
          <w:bCs/>
        </w:rPr>
        <w:t>interferon/JAK–STAT antiviral program</w:t>
      </w:r>
      <w:r w:rsidRPr="00F71E04">
        <w:rPr>
          <w:rFonts w:ascii="Times New Roman" w:hAnsi="Times New Roman" w:cs="Times New Roman"/>
        </w:rPr>
        <w:t xml:space="preserve">, which is precisely the type of cell-type-specific IFN-β response expected from the Kang experimental design. The pipeline also identified weaker secondary themes involving </w:t>
      </w:r>
      <w:proofErr w:type="spellStart"/>
      <w:r w:rsidRPr="00F71E04">
        <w:rPr>
          <w:rFonts w:ascii="Times New Roman" w:hAnsi="Times New Roman" w:cs="Times New Roman"/>
        </w:rPr>
        <w:t>NFκB</w:t>
      </w:r>
      <w:proofErr w:type="spellEnd"/>
      <w:r w:rsidRPr="00F71E04">
        <w:rPr>
          <w:rFonts w:ascii="Times New Roman" w:hAnsi="Times New Roman" w:cs="Times New Roman"/>
        </w:rPr>
        <w:t xml:space="preserve">-associated signaling, oxidative phosphorylation, </w:t>
      </w:r>
      <w:proofErr w:type="spellStart"/>
      <w:r w:rsidRPr="00F71E04">
        <w:rPr>
          <w:rFonts w:ascii="Times New Roman" w:hAnsi="Times New Roman" w:cs="Times New Roman"/>
        </w:rPr>
        <w:t>proteostasis</w:t>
      </w:r>
      <w:proofErr w:type="spellEnd"/>
      <w:r w:rsidRPr="00F71E04">
        <w:rPr>
          <w:rFonts w:ascii="Times New Roman" w:hAnsi="Times New Roman" w:cs="Times New Roman"/>
        </w:rPr>
        <w:t>, p53/apoptosis, and translational control, but correctly treated these as secondary or potentially confounded rather than allowing them to overshadow the dominant IFN biology.</w:t>
      </w:r>
    </w:p>
    <w:p w14:paraId="7FF0C33C" w14:textId="77777777" w:rsidR="00F71E04" w:rsidRPr="00F71E04" w:rsidRDefault="00F71E04" w:rsidP="00F71E04">
      <w:pPr>
        <w:rPr>
          <w:rFonts w:ascii="Times New Roman" w:hAnsi="Times New Roman" w:cs="Times New Roman"/>
        </w:rPr>
      </w:pPr>
      <w:r w:rsidRPr="00F71E04">
        <w:rPr>
          <w:rFonts w:ascii="Times New Roman" w:hAnsi="Times New Roman" w:cs="Times New Roman"/>
        </w:rPr>
        <w:t xml:space="preserve">The new cell-state module added another layer of validation. In the Kang subset, CD14+ monocytes represented approximately </w:t>
      </w:r>
      <w:r w:rsidRPr="00F71E04">
        <w:rPr>
          <w:rFonts w:ascii="Times New Roman" w:hAnsi="Times New Roman" w:cs="Times New Roman"/>
          <w:b/>
          <w:bCs/>
        </w:rPr>
        <w:t>22.6% of control cells and 21.0% of stimulated cells</w:t>
      </w:r>
      <w:r w:rsidRPr="00F71E04">
        <w:rPr>
          <w:rFonts w:ascii="Times New Roman" w:hAnsi="Times New Roman" w:cs="Times New Roman"/>
        </w:rPr>
        <w:t xml:space="preserve">, a change of only about </w:t>
      </w:r>
      <w:r w:rsidRPr="00F71E04">
        <w:rPr>
          <w:rFonts w:ascii="Times New Roman" w:hAnsi="Times New Roman" w:cs="Times New Roman"/>
          <w:b/>
          <w:bCs/>
        </w:rPr>
        <w:t>−1.55 percentage points</w:t>
      </w:r>
      <w:r w:rsidRPr="00F71E04">
        <w:rPr>
          <w:rFonts w:ascii="Times New Roman" w:hAnsi="Times New Roman" w:cs="Times New Roman"/>
        </w:rPr>
        <w:t>. This modest composition shift contrasts with the very strong transcriptional response detected within CD14+ monocytes, supporting the interpretation that the main signal reflects a genuine within-cell-type response rather than simply a gross change in population abundance.</w:t>
      </w:r>
    </w:p>
    <w:p w14:paraId="527ED9CB" w14:textId="77777777" w:rsidR="00F71E04" w:rsidRPr="00F71E04" w:rsidRDefault="00F71E04" w:rsidP="00F71E04">
      <w:pPr>
        <w:rPr>
          <w:rFonts w:ascii="Times New Roman" w:hAnsi="Times New Roman" w:cs="Times New Roman"/>
        </w:rPr>
      </w:pPr>
      <w:r w:rsidRPr="00F71E04">
        <w:rPr>
          <w:rFonts w:ascii="Times New Roman" w:hAnsi="Times New Roman" w:cs="Times New Roman"/>
        </w:rPr>
        <w:t xml:space="preserve">As an additional validation, the CD14+ monocyte comparison was rerun using the </w:t>
      </w:r>
      <w:proofErr w:type="spellStart"/>
      <w:r w:rsidRPr="00F71E04">
        <w:rPr>
          <w:rFonts w:ascii="Times New Roman" w:hAnsi="Times New Roman" w:cs="Times New Roman"/>
        </w:rPr>
        <w:t>scRNA</w:t>
      </w:r>
      <w:proofErr w:type="spellEnd"/>
      <w:r w:rsidRPr="00F71E04">
        <w:rPr>
          <w:rFonts w:ascii="Times New Roman" w:hAnsi="Times New Roman" w:cs="Times New Roman"/>
        </w:rPr>
        <w:t xml:space="preserve"> API’s </w:t>
      </w:r>
      <w:r w:rsidRPr="00F71E04">
        <w:rPr>
          <w:rFonts w:ascii="Times New Roman" w:hAnsi="Times New Roman" w:cs="Times New Roman"/>
          <w:b/>
          <w:bCs/>
        </w:rPr>
        <w:t xml:space="preserve">target-cell-type </w:t>
      </w:r>
      <w:proofErr w:type="spellStart"/>
      <w:r w:rsidRPr="00F71E04">
        <w:rPr>
          <w:rFonts w:ascii="Times New Roman" w:hAnsi="Times New Roman" w:cs="Times New Roman"/>
          <w:b/>
          <w:bCs/>
        </w:rPr>
        <w:t>pseudobulk</w:t>
      </w:r>
      <w:proofErr w:type="spellEnd"/>
      <w:r w:rsidRPr="00F71E04">
        <w:rPr>
          <w:rFonts w:ascii="Times New Roman" w:hAnsi="Times New Roman" w:cs="Times New Roman"/>
          <w:b/>
          <w:bCs/>
        </w:rPr>
        <w:t xml:space="preserve"> mode</w:t>
      </w:r>
      <w:r w:rsidRPr="00F71E04">
        <w:rPr>
          <w:rFonts w:ascii="Times New Roman" w:hAnsi="Times New Roman" w:cs="Times New Roman"/>
        </w:rPr>
        <w:t xml:space="preserve">, which aggregated cells by individual donor and analyzed </w:t>
      </w:r>
      <w:r w:rsidRPr="00F71E04">
        <w:rPr>
          <w:rFonts w:ascii="Times New Roman" w:hAnsi="Times New Roman" w:cs="Times New Roman"/>
          <w:b/>
          <w:bCs/>
        </w:rPr>
        <w:t xml:space="preserve">eight stimulated versus eight control </w:t>
      </w:r>
      <w:proofErr w:type="spellStart"/>
      <w:r w:rsidRPr="00F71E04">
        <w:rPr>
          <w:rFonts w:ascii="Times New Roman" w:hAnsi="Times New Roman" w:cs="Times New Roman"/>
          <w:b/>
          <w:bCs/>
        </w:rPr>
        <w:t>pseudobulk</w:t>
      </w:r>
      <w:proofErr w:type="spellEnd"/>
      <w:r w:rsidRPr="00F71E04">
        <w:rPr>
          <w:rFonts w:ascii="Times New Roman" w:hAnsi="Times New Roman" w:cs="Times New Roman"/>
          <w:b/>
          <w:bCs/>
        </w:rPr>
        <w:t xml:space="preserve"> samples</w:t>
      </w:r>
      <w:r w:rsidRPr="00F71E04">
        <w:rPr>
          <w:rFonts w:ascii="Times New Roman" w:hAnsi="Times New Roman" w:cs="Times New Roman"/>
        </w:rPr>
        <w:t xml:space="preserve"> using a </w:t>
      </w:r>
      <w:proofErr w:type="spellStart"/>
      <w:r w:rsidRPr="00F71E04">
        <w:rPr>
          <w:rFonts w:ascii="Times New Roman" w:hAnsi="Times New Roman" w:cs="Times New Roman"/>
        </w:rPr>
        <w:t>limma-voom</w:t>
      </w:r>
      <w:proofErr w:type="spellEnd"/>
      <w:r w:rsidRPr="00F71E04">
        <w:rPr>
          <w:rFonts w:ascii="Times New Roman" w:hAnsi="Times New Roman" w:cs="Times New Roman"/>
        </w:rPr>
        <w:t xml:space="preserve"> workflow. The donor-aware analysis independently recovered the same core biology. Among its strongest hits were </w:t>
      </w:r>
      <w:r w:rsidRPr="00F71E04">
        <w:rPr>
          <w:rFonts w:ascii="Times New Roman" w:hAnsi="Times New Roman" w:cs="Times New Roman"/>
          <w:b/>
          <w:bCs/>
        </w:rPr>
        <w:t>IL1RN, IFIT3, IFIT1, ISG20, CXCL11, CCL8, TNFSF10, RSAD2, ISG15, IFITM2, IFIT2, IRF7, CXCL10, HERC5, BST2, and EPSTI1</w:t>
      </w:r>
      <w:r w:rsidRPr="00F71E04">
        <w:rPr>
          <w:rFonts w:ascii="Times New Roman" w:hAnsi="Times New Roman" w:cs="Times New Roman"/>
        </w:rPr>
        <w:t xml:space="preserve">. The agreement between the cell-level analysis and replicate-aware </w:t>
      </w:r>
      <w:proofErr w:type="spellStart"/>
      <w:r w:rsidRPr="00F71E04">
        <w:rPr>
          <w:rFonts w:ascii="Times New Roman" w:hAnsi="Times New Roman" w:cs="Times New Roman"/>
        </w:rPr>
        <w:t>pseudobulk</w:t>
      </w:r>
      <w:proofErr w:type="spellEnd"/>
      <w:r w:rsidRPr="00F71E04">
        <w:rPr>
          <w:rFonts w:ascii="Times New Roman" w:hAnsi="Times New Roman" w:cs="Times New Roman"/>
        </w:rPr>
        <w:t xml:space="preserve"> analysis provides a particularly strong reproducibility check: the dominant interferon/antiviral program remains evident even when individuals rather than cells are treated as the statistical replication unit.</w:t>
      </w:r>
    </w:p>
    <w:p w14:paraId="67762A78" w14:textId="77777777" w:rsidR="00F71E04" w:rsidRPr="00F71E04" w:rsidRDefault="00F71E04" w:rsidP="00F71E04">
      <w:pPr>
        <w:rPr>
          <w:rFonts w:ascii="Times New Roman" w:hAnsi="Times New Roman" w:cs="Times New Roman"/>
        </w:rPr>
      </w:pPr>
      <w:r w:rsidRPr="00F71E04">
        <w:rPr>
          <w:rFonts w:ascii="Times New Roman" w:hAnsi="Times New Roman" w:cs="Times New Roman"/>
        </w:rPr>
        <w:lastRenderedPageBreak/>
        <w:t>The final integrated workflow now produces a complete experiment-level report rather than a collection of disconnected outputs. Differential expression, enrichment, network prioritization, cell-state/lineage context, LLM interpretation, literature evidence, and supporting numerical tables are assembled into a PI-facing synthesis. Literature results are grouped by biological finding, papers are explicitly classified by evidence strength, rejected papers remain visible with reasons for exclusion, and the underlying numerical tables remain the authoritative source for individual statistics.</w:t>
      </w:r>
    </w:p>
    <w:p w14:paraId="3B4822BF" w14:textId="77777777" w:rsidR="00F71E04" w:rsidRPr="00F71E04" w:rsidRDefault="00F71E04" w:rsidP="00F71E04">
      <w:pPr>
        <w:rPr>
          <w:rFonts w:ascii="Times New Roman" w:hAnsi="Times New Roman" w:cs="Times New Roman"/>
        </w:rPr>
      </w:pPr>
      <w:r w:rsidRPr="00F71E04">
        <w:rPr>
          <w:rFonts w:ascii="Times New Roman" w:hAnsi="Times New Roman" w:cs="Times New Roman"/>
        </w:rPr>
        <w:t xml:space="preserve">Overall, the benchmark results now reproduce the central biological narratives of both source studies. The Giladi benchmark recovers perturbation-dependent hematopoietic differentiation biology in a framework that now explicitly incorporates lineage state, while the Kang benchmark recovers a strong CD14+ monocyte interferon-response program that is consistent across both cell-level and donor-aware </w:t>
      </w:r>
      <w:proofErr w:type="spellStart"/>
      <w:r w:rsidRPr="00F71E04">
        <w:rPr>
          <w:rFonts w:ascii="Times New Roman" w:hAnsi="Times New Roman" w:cs="Times New Roman"/>
        </w:rPr>
        <w:t>pseudobulk</w:t>
      </w:r>
      <w:proofErr w:type="spellEnd"/>
      <w:r w:rsidRPr="00F71E04">
        <w:rPr>
          <w:rFonts w:ascii="Times New Roman" w:hAnsi="Times New Roman" w:cs="Times New Roman"/>
        </w:rPr>
        <w:t xml:space="preserve"> analyses. These changes make the workflows substantially more automated, integrated, and reproducible to rerun than manually reconstructing the separate analytical steps described across the original studies, while also producing a richer end-to-end biological narrative that includes lineage context and evidence-screened literature support.</w:t>
      </w:r>
    </w:p>
    <w:p w14:paraId="78FCA250" w14:textId="77777777" w:rsidR="00F71E04" w:rsidRDefault="00F71E04">
      <w:pPr>
        <w:rPr>
          <w:rFonts w:ascii="Times New Roman" w:hAnsi="Times New Roman" w:cs="Times New Roman"/>
        </w:rPr>
      </w:pPr>
    </w:p>
    <w:p w14:paraId="34EB4BAA" w14:textId="77777777" w:rsidR="00F71E04" w:rsidRDefault="00F71E04">
      <w:pPr>
        <w:rPr>
          <w:rFonts w:ascii="Times New Roman" w:hAnsi="Times New Roman" w:cs="Times New Roman"/>
        </w:rPr>
      </w:pPr>
    </w:p>
    <w:p w14:paraId="61CC3A40" w14:textId="77777777" w:rsidR="00F71E04" w:rsidRDefault="00F71E04">
      <w:pPr>
        <w:rPr>
          <w:rFonts w:ascii="Times New Roman" w:hAnsi="Times New Roman" w:cs="Times New Roman"/>
        </w:rPr>
      </w:pPr>
    </w:p>
    <w:p w14:paraId="2030F81D" w14:textId="77777777" w:rsidR="00F71E04" w:rsidRDefault="00F71E04">
      <w:pPr>
        <w:rPr>
          <w:rFonts w:ascii="Times New Roman" w:hAnsi="Times New Roman" w:cs="Times New Roman"/>
        </w:rPr>
      </w:pPr>
    </w:p>
    <w:p w14:paraId="25DF517D" w14:textId="0E16FB47" w:rsidR="00F71E04" w:rsidRPr="00F71E04" w:rsidRDefault="00F71E04" w:rsidP="00F71E04">
      <w:pPr>
        <w:rPr>
          <w:rFonts w:ascii="Times New Roman" w:hAnsi="Times New Roman" w:cs="Times New Roman"/>
        </w:rPr>
      </w:pPr>
      <w:r>
        <w:rPr>
          <w:rFonts w:ascii="Times New Roman" w:hAnsi="Times New Roman" w:cs="Times New Roman"/>
        </w:rPr>
        <w:t>1.</w:t>
      </w:r>
      <w:r w:rsidRPr="00F71E04">
        <w:rPr>
          <w:rFonts w:ascii="Times New Roman" w:hAnsi="Times New Roman" w:cs="Times New Roman"/>
        </w:rPr>
        <w:t xml:space="preserve">Giladi, A., Paul, F., Herzog, Y., et al. (2018). </w:t>
      </w:r>
      <w:r w:rsidRPr="00F71E04">
        <w:rPr>
          <w:rFonts w:ascii="Times New Roman" w:hAnsi="Times New Roman" w:cs="Times New Roman"/>
          <w:i/>
          <w:iCs/>
        </w:rPr>
        <w:t xml:space="preserve">Single-cell characterization of </w:t>
      </w:r>
      <w:proofErr w:type="spellStart"/>
      <w:r w:rsidRPr="00F71E04">
        <w:rPr>
          <w:rFonts w:ascii="Times New Roman" w:hAnsi="Times New Roman" w:cs="Times New Roman"/>
          <w:i/>
          <w:iCs/>
        </w:rPr>
        <w:t>haematopoietic</w:t>
      </w:r>
      <w:proofErr w:type="spellEnd"/>
      <w:r w:rsidRPr="00F71E04">
        <w:rPr>
          <w:rFonts w:ascii="Times New Roman" w:hAnsi="Times New Roman" w:cs="Times New Roman"/>
          <w:i/>
          <w:iCs/>
        </w:rPr>
        <w:t xml:space="preserve"> progenitors and their trajectories in homeostasis and perturbed </w:t>
      </w:r>
      <w:proofErr w:type="spellStart"/>
      <w:r w:rsidRPr="00F71E04">
        <w:rPr>
          <w:rFonts w:ascii="Times New Roman" w:hAnsi="Times New Roman" w:cs="Times New Roman"/>
          <w:i/>
          <w:iCs/>
        </w:rPr>
        <w:t>haematopoiesis</w:t>
      </w:r>
      <w:proofErr w:type="spellEnd"/>
      <w:r w:rsidRPr="00F71E04">
        <w:rPr>
          <w:rFonts w:ascii="Times New Roman" w:hAnsi="Times New Roman" w:cs="Times New Roman"/>
          <w:i/>
          <w:iCs/>
        </w:rPr>
        <w:t>.</w:t>
      </w:r>
      <w:r w:rsidRPr="00F71E04">
        <w:rPr>
          <w:rFonts w:ascii="Times New Roman" w:hAnsi="Times New Roman" w:cs="Times New Roman"/>
        </w:rPr>
        <w:t xml:space="preserve"> </w:t>
      </w:r>
      <w:r w:rsidRPr="00F71E04">
        <w:rPr>
          <w:rFonts w:ascii="Times New Roman" w:hAnsi="Times New Roman" w:cs="Times New Roman"/>
          <w:b/>
          <w:bCs/>
        </w:rPr>
        <w:t>Nature Cell Biology, 20</w:t>
      </w:r>
      <w:r w:rsidRPr="00F71E04">
        <w:rPr>
          <w:rFonts w:ascii="Times New Roman" w:hAnsi="Times New Roman" w:cs="Times New Roman"/>
        </w:rPr>
        <w:t xml:space="preserve">, 836–846. </w:t>
      </w:r>
      <w:hyperlink r:id="rId4" w:history="1">
        <w:r w:rsidRPr="00F71E04">
          <w:rPr>
            <w:rStyle w:val="Hyperlink"/>
            <w:rFonts w:ascii="Times New Roman" w:hAnsi="Times New Roman" w:cs="Times New Roman"/>
          </w:rPr>
          <w:t>https://doi.org/10.1038/s41556-018-0121-4</w:t>
        </w:r>
      </w:hyperlink>
      <w:r w:rsidRPr="00F71E04">
        <w:rPr>
          <w:rFonts w:ascii="Times New Roman" w:hAnsi="Times New Roman" w:cs="Times New Roman"/>
        </w:rPr>
        <w:t xml:space="preserve"> </w:t>
      </w:r>
      <w:hyperlink r:id="rId5" w:history="1">
        <w:r w:rsidRPr="00F71E04">
          <w:rPr>
            <w:rStyle w:val="Hyperlink"/>
            <w:rFonts w:ascii="Times New Roman" w:hAnsi="Times New Roman" w:cs="Times New Roman"/>
          </w:rPr>
          <w:t>Nature</w:t>
        </w:r>
      </w:hyperlink>
    </w:p>
    <w:p w14:paraId="0345E661" w14:textId="3967ED9D" w:rsidR="00F71E04" w:rsidRPr="00F71E04" w:rsidRDefault="00F71E04" w:rsidP="00F71E04">
      <w:pPr>
        <w:rPr>
          <w:rFonts w:ascii="Times New Roman" w:hAnsi="Times New Roman" w:cs="Times New Roman"/>
        </w:rPr>
      </w:pPr>
      <w:r>
        <w:rPr>
          <w:rFonts w:ascii="Times New Roman" w:hAnsi="Times New Roman" w:cs="Times New Roman"/>
        </w:rPr>
        <w:t>2.</w:t>
      </w:r>
      <w:r w:rsidRPr="00F71E04">
        <w:rPr>
          <w:rFonts w:ascii="Times New Roman" w:hAnsi="Times New Roman" w:cs="Times New Roman"/>
        </w:rPr>
        <w:t xml:space="preserve">Kang, H. M., Subramaniam, M., Targ, S., et al. (2018). </w:t>
      </w:r>
      <w:r w:rsidRPr="00F71E04">
        <w:rPr>
          <w:rFonts w:ascii="Times New Roman" w:hAnsi="Times New Roman" w:cs="Times New Roman"/>
          <w:i/>
          <w:iCs/>
        </w:rPr>
        <w:t>Multiplexed droplet single-cell RNA-sequencing using natural genetic variation.</w:t>
      </w:r>
      <w:r w:rsidRPr="00F71E04">
        <w:rPr>
          <w:rFonts w:ascii="Times New Roman" w:hAnsi="Times New Roman" w:cs="Times New Roman"/>
        </w:rPr>
        <w:t xml:space="preserve"> </w:t>
      </w:r>
      <w:r w:rsidRPr="00F71E04">
        <w:rPr>
          <w:rFonts w:ascii="Times New Roman" w:hAnsi="Times New Roman" w:cs="Times New Roman"/>
          <w:b/>
          <w:bCs/>
        </w:rPr>
        <w:t>Nature Biotechnology, 36</w:t>
      </w:r>
      <w:r w:rsidRPr="00F71E04">
        <w:rPr>
          <w:rFonts w:ascii="Times New Roman" w:hAnsi="Times New Roman" w:cs="Times New Roman"/>
        </w:rPr>
        <w:t xml:space="preserve">, 89–94. </w:t>
      </w:r>
      <w:hyperlink r:id="rId6" w:history="1">
        <w:r w:rsidRPr="00F71E04">
          <w:rPr>
            <w:rStyle w:val="Hyperlink"/>
            <w:rFonts w:ascii="Times New Roman" w:hAnsi="Times New Roman" w:cs="Times New Roman"/>
          </w:rPr>
          <w:t>https://doi.org/10.1038/nbt.4042</w:t>
        </w:r>
      </w:hyperlink>
      <w:r w:rsidRPr="00F71E04">
        <w:rPr>
          <w:rFonts w:ascii="Times New Roman" w:hAnsi="Times New Roman" w:cs="Times New Roman"/>
        </w:rPr>
        <w:t xml:space="preserve"> </w:t>
      </w:r>
    </w:p>
    <w:p w14:paraId="6D7A59CB" w14:textId="77777777" w:rsidR="00F71E04" w:rsidRPr="00F71E04" w:rsidRDefault="00F71E04">
      <w:pPr>
        <w:rPr>
          <w:rFonts w:ascii="Times New Roman" w:hAnsi="Times New Roman" w:cs="Times New Roman"/>
        </w:rPr>
      </w:pPr>
    </w:p>
    <w:sectPr w:rsidR="00F71E04" w:rsidRPr="00F71E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E04"/>
    <w:rsid w:val="00403A55"/>
    <w:rsid w:val="00F71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5F842"/>
  <w15:chartTrackingRefBased/>
  <w15:docId w15:val="{49504039-9CB1-4BC9-A8E1-645868272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1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1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E04"/>
    <w:rPr>
      <w:rFonts w:eastAsiaTheme="majorEastAsia" w:cstheme="majorBidi"/>
      <w:color w:val="272727" w:themeColor="text1" w:themeTint="D8"/>
    </w:rPr>
  </w:style>
  <w:style w:type="paragraph" w:styleId="Title">
    <w:name w:val="Title"/>
    <w:basedOn w:val="Normal"/>
    <w:next w:val="Normal"/>
    <w:link w:val="TitleChar"/>
    <w:uiPriority w:val="10"/>
    <w:qFormat/>
    <w:rsid w:val="00F71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E04"/>
    <w:pPr>
      <w:spacing w:before="160"/>
      <w:jc w:val="center"/>
    </w:pPr>
    <w:rPr>
      <w:i/>
      <w:iCs/>
      <w:color w:val="404040" w:themeColor="text1" w:themeTint="BF"/>
    </w:rPr>
  </w:style>
  <w:style w:type="character" w:customStyle="1" w:styleId="QuoteChar">
    <w:name w:val="Quote Char"/>
    <w:basedOn w:val="DefaultParagraphFont"/>
    <w:link w:val="Quote"/>
    <w:uiPriority w:val="29"/>
    <w:rsid w:val="00F71E04"/>
    <w:rPr>
      <w:i/>
      <w:iCs/>
      <w:color w:val="404040" w:themeColor="text1" w:themeTint="BF"/>
    </w:rPr>
  </w:style>
  <w:style w:type="paragraph" w:styleId="ListParagraph">
    <w:name w:val="List Paragraph"/>
    <w:basedOn w:val="Normal"/>
    <w:uiPriority w:val="34"/>
    <w:qFormat/>
    <w:rsid w:val="00F71E04"/>
    <w:pPr>
      <w:ind w:left="720"/>
      <w:contextualSpacing/>
    </w:pPr>
  </w:style>
  <w:style w:type="character" w:styleId="IntenseEmphasis">
    <w:name w:val="Intense Emphasis"/>
    <w:basedOn w:val="DefaultParagraphFont"/>
    <w:uiPriority w:val="21"/>
    <w:qFormat/>
    <w:rsid w:val="00F71E04"/>
    <w:rPr>
      <w:i/>
      <w:iCs/>
      <w:color w:val="0F4761" w:themeColor="accent1" w:themeShade="BF"/>
    </w:rPr>
  </w:style>
  <w:style w:type="paragraph" w:styleId="IntenseQuote">
    <w:name w:val="Intense Quote"/>
    <w:basedOn w:val="Normal"/>
    <w:next w:val="Normal"/>
    <w:link w:val="IntenseQuoteChar"/>
    <w:uiPriority w:val="30"/>
    <w:qFormat/>
    <w:rsid w:val="00F71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E04"/>
    <w:rPr>
      <w:i/>
      <w:iCs/>
      <w:color w:val="0F4761" w:themeColor="accent1" w:themeShade="BF"/>
    </w:rPr>
  </w:style>
  <w:style w:type="character" w:styleId="IntenseReference">
    <w:name w:val="Intense Reference"/>
    <w:basedOn w:val="DefaultParagraphFont"/>
    <w:uiPriority w:val="32"/>
    <w:qFormat/>
    <w:rsid w:val="00F71E04"/>
    <w:rPr>
      <w:b/>
      <w:bCs/>
      <w:smallCaps/>
      <w:color w:val="0F4761" w:themeColor="accent1" w:themeShade="BF"/>
      <w:spacing w:val="5"/>
    </w:rPr>
  </w:style>
  <w:style w:type="paragraph" w:styleId="NormalWeb">
    <w:name w:val="Normal (Web)"/>
    <w:basedOn w:val="Normal"/>
    <w:uiPriority w:val="99"/>
    <w:semiHidden/>
    <w:unhideWhenUsed/>
    <w:rsid w:val="00F71E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71E04"/>
    <w:rPr>
      <w:b/>
      <w:bCs/>
    </w:rPr>
  </w:style>
  <w:style w:type="character" w:styleId="Hyperlink">
    <w:name w:val="Hyperlink"/>
    <w:basedOn w:val="DefaultParagraphFont"/>
    <w:uiPriority w:val="99"/>
    <w:unhideWhenUsed/>
    <w:rsid w:val="00F71E04"/>
    <w:rPr>
      <w:color w:val="0000FF"/>
      <w:u w:val="single"/>
    </w:rPr>
  </w:style>
  <w:style w:type="character" w:styleId="Emphasis">
    <w:name w:val="Emphasis"/>
    <w:basedOn w:val="DefaultParagraphFont"/>
    <w:uiPriority w:val="20"/>
    <w:qFormat/>
    <w:rsid w:val="00F71E04"/>
    <w:rPr>
      <w:i/>
      <w:iCs/>
    </w:rPr>
  </w:style>
  <w:style w:type="character" w:styleId="UnresolvedMention">
    <w:name w:val="Unresolved Mention"/>
    <w:basedOn w:val="DefaultParagraphFont"/>
    <w:uiPriority w:val="99"/>
    <w:semiHidden/>
    <w:unhideWhenUsed/>
    <w:rsid w:val="00F71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38/nbt.4042" TargetMode="External"/><Relationship Id="rId5" Type="http://schemas.openxmlformats.org/officeDocument/2006/relationships/hyperlink" Target="https://www.nature.com/articles/s41556-018-0121-4?utm_source=chatgpt.com" TargetMode="External"/><Relationship Id="rId4" Type="http://schemas.openxmlformats.org/officeDocument/2006/relationships/hyperlink" Target="https://doi.org/10.1038/s41556-018-012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1271</Words>
  <Characters>7250</Characters>
  <Application>Microsoft Office Word</Application>
  <DocSecurity>0</DocSecurity>
  <Lines>60</Lines>
  <Paragraphs>17</Paragraphs>
  <ScaleCrop>false</ScaleCrop>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Caperella</dc:creator>
  <cp:keywords/>
  <dc:description/>
  <cp:lastModifiedBy>John Caperella</cp:lastModifiedBy>
  <cp:revision>1</cp:revision>
  <dcterms:created xsi:type="dcterms:W3CDTF">2026-10-03T14:21:00Z</dcterms:created>
  <dcterms:modified xsi:type="dcterms:W3CDTF">2026-10-03T14:35:00Z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c0eb50d4-2aeb-4c8b-a5c8-f598a2c94dde</vt:lpwstr>
  </property>
</Properties>
</file>