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Decided to include data from several years </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The </w:t>
      </w:r>
      <w:hyperlink r:id="rId6">
        <w:r w:rsidDel="00000000" w:rsidR="00000000" w:rsidRPr="00000000">
          <w:rPr>
            <w:color w:val="1155cc"/>
            <w:u w:val="single"/>
            <w:rtl w:val="0"/>
          </w:rPr>
          <w:t xml:space="preserve">BLS Data Viewer</w:t>
        </w:r>
      </w:hyperlink>
      <w:r w:rsidDel="00000000" w:rsidR="00000000" w:rsidRPr="00000000">
        <w:rPr>
          <w:rtl w:val="0"/>
        </w:rPr>
        <w:t xml:space="preserve"> includes data for every month over the course of several years. </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Decided to settle on comparing the price of paper for every September from September 2015 through September 2020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Comparing data across Septembers felt like a safe bet because September is the last month before the holiday shopping season begins when prices anyway would surge due to increased demand.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Potential data limitation - the BLS Data Viewer data doesn’t tell me the different factors that go into the price of paper, so I would need to find additional context if I were to delve deeper into the reasons paper prices rise and fall.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Potential limitation #2 - I was worried that comparing a single month over (September) a several years (2015 through 2020) might be misleading or leave out important parts of data. However, the line graph in BLS Data Viewer was helpful and showed me the trend over time, which reflected the changes over each September from 2015 through 2020.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most staggering change is the percentage change from September 2019 through September 2020, so I decided to make that the focus of my article.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ta.bls.gov/dataViewer/view/timeseries/WPU094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