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David Manoel Oliveira dos Santos</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2022.2-BR21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22/05/2025</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2022.2-BR21</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 xml:space="preserve">ENTIDADE 1 DA CELULA </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 CELULA 2</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formigas no PTO</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 xml:space="preserve">-16 dBm, </w:t>
      </w:r>
      <w:r>
        <w:rPr>
          <w:rFonts w:ascii="Arial" w:hAnsi="Arial"/>
          <w:b w:val="0"/>
          <w:i w:val="0"/>
          <w:sz w:val="24"/>
        </w:rPr>
        <w:t xml:space="preserve">-18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 xml:space="preserve">ENTIDADE 1 DA CELULA </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1 DA CELULA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 xml:space="preserve">ENTIDADE 1 DA CELULA </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1 DA CELULA 2</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 xml:space="preserve">ENTIDADE 1 DA CELULA </w:t>
            </w:r>
          </w:p>
        </w:tc>
        <w:tc>
          <w:tcPr>
            <w:tcW w:type="dxa" w:w="1440"/>
          </w:tcPr>
          <w:p>
            <w:pPr>
              <w:jc w:val="center"/>
            </w:pPr>
            <w:r>
              <w:rPr>
                <w:rFonts w:ascii="Arial" w:hAnsi="Arial"/>
                <w:b w:val="0"/>
                <w:i w:val="0"/>
                <w:sz w:val="24"/>
              </w:rPr>
              <w:t>-16</w:t>
            </w:r>
          </w:p>
        </w:tc>
        <w:tc>
          <w:tcPr>
            <w:tcW w:type="dxa" w:w="1440"/>
          </w:tcPr>
          <w:p>
            <w:pPr>
              <w:jc w:val="center"/>
            </w:pPr>
            <w:r>
              <w:rPr>
                <w:rFonts w:ascii="Arial" w:hAnsi="Arial"/>
                <w:b w:val="0"/>
                <w:i w:val="0"/>
                <w:sz w:val="24"/>
              </w:rPr>
              <w:t>-17</w:t>
            </w:r>
          </w:p>
        </w:tc>
      </w:tr>
      <w:tr>
        <w:tc>
          <w:tcPr>
            <w:tcW w:type="dxa" w:w="4032"/>
          </w:tcPr>
          <w:p>
            <w:pPr>
              <w:jc w:val="center"/>
            </w:pPr>
            <w:r>
              <w:rPr>
                <w:rFonts w:ascii="Arial" w:hAnsi="Arial"/>
                <w:b w:val="0"/>
                <w:i w:val="0"/>
                <w:sz w:val="24"/>
              </w:rPr>
              <w:t>ENTIDADE 1 DA CELULA 2</w:t>
            </w:r>
          </w:p>
        </w:tc>
        <w:tc>
          <w:tcPr>
            <w:tcW w:type="dxa" w:w="1440"/>
          </w:tcPr>
          <w:p>
            <w:pPr>
              <w:jc w:val="center"/>
            </w:pPr>
            <w:r>
              <w:rPr>
                <w:rFonts w:ascii="Arial" w:hAnsi="Arial"/>
                <w:b w:val="0"/>
                <w:i w:val="0"/>
                <w:sz w:val="24"/>
              </w:rPr>
              <w:t>-19</w:t>
            </w:r>
          </w:p>
        </w:tc>
        <w:tc>
          <w:tcPr>
            <w:tcW w:type="dxa" w:w="1440"/>
          </w:tcPr>
          <w:p>
            <w:pPr>
              <w:jc w:val="center"/>
            </w:pPr>
            <w:r>
              <w:rPr>
                <w:rFonts w:ascii="Arial" w:hAnsi="Arial"/>
                <w:b w:val="0"/>
                <w:i w:val="0"/>
                <w:sz w:val="24"/>
              </w:rPr>
              <w:t>-16</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3854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 xml:space="preserve">Figura 1 - Monitoramento GPON: potência óptica recebida na ONU da ENTIDADE 1 DA CELULA </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1 DA CELULA 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02.JPG"/>
                    <pic:cNvPicPr/>
                  </pic:nvPicPr>
                  <pic:blipFill>
                    <a:blip r:embed="rId11"/>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 Id="rId1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