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val="0"/>
          <w:i w:val="0"/>
          <w:sz w:val="24"/>
        </w:rPr>
        <w:t>*Nome da caixa* - Entidade 01</w:t>
      </w:r>
      <w:r>
        <w:rPr>
          <w:rFonts w:ascii="Arial" w:hAnsi="Arial"/>
          <w:b w:val="0"/>
          <w:i w:val="0"/>
          <w:sz w:val="24"/>
        </w:rPr>
        <w:t xml:space="preserve">; </w:t>
      </w:r>
      <w:r>
        <w:rPr>
          <w:rFonts w:ascii="Arial" w:hAnsi="Arial"/>
          <w:b w:val="0"/>
          <w:i w:val="0"/>
          <w:sz w:val="24"/>
        </w:rPr>
        <w:t>*Nome da caixa* - Entidade 02</w:t>
      </w:r>
      <w:r>
        <w:rPr>
          <w:rFonts w:ascii="Arial" w:hAnsi="Arial"/>
          <w:b w:val="0"/>
          <w:i w:val="0"/>
          <w:sz w:val="24"/>
        </w:rPr>
        <w:t xml:space="preserve">; </w:t>
      </w:r>
      <w:r>
        <w:rPr>
          <w:rFonts w:ascii="Arial" w:hAnsi="Arial"/>
          <w:b w:val="0"/>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