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*Nome do Técnico*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****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Bolsista: *Nome do bolsista*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*Matrícula do bolsista*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Rede Giga Metrópole</w:t>
        <w:br/>
        <w:t>Relatório de Conformidade Referente ao Bilhete 20XX.X-BRXX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Ponto de Presença da Rede Nacional de Ensino e Pesquisa no Rio Grande do Norte - POP-RN</w:t>
        <w:br/>
        <w:t>Rede GigaMetropole</w:t>
        <w:br/>
        <w:t>Setor de Infraestrutura</w:t>
      </w:r>
    </w:p>
    <w:p>
      <w:pPr>
        <w:spacing w:line="360" w:lineRule="auto" w:before="0" w:after="0"/>
      </w:pPr>
      <w:r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Natal - RN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XX de mês de 20XX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Manutenção Corretiva RGM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 xml:space="preserve">Objetivo: certificar o serviço de manutenção corretiva realizado pela empresa Interjato Soluções (bilhete </w:t>
      </w:r>
      <w:r>
        <w:rPr>
          <w:rFonts w:ascii="Arial" w:hAnsi="Arial"/>
          <w:b/>
          <w:i w:val="0"/>
          <w:sz w:val="24"/>
        </w:rPr>
        <w:t>20XX.X-BRXX</w:t>
      </w:r>
      <w:r>
        <w:rPr>
          <w:rFonts w:ascii="Arial" w:hAnsi="Arial"/>
          <w:b w:val="0"/>
          <w:i w:val="0"/>
          <w:sz w:val="24"/>
        </w:rPr>
        <w:t xml:space="preserve">) para restabelecer à conectividade GPON na(s) célula(s) </w:t>
      </w:r>
      <w:r>
        <w:rPr>
          <w:rFonts w:ascii="Arial" w:hAnsi="Arial"/>
          <w:b/>
          <w:i w:val="0"/>
          <w:sz w:val="24"/>
        </w:rPr>
        <w:t>*Nome da caixa*</w:t>
      </w:r>
      <w:r>
        <w:rPr>
          <w:rFonts w:ascii="Arial" w:hAnsi="Arial"/>
          <w:b w:val="0"/>
          <w:i w:val="0"/>
          <w:sz w:val="24"/>
        </w:rPr>
        <w:t xml:space="preserve">. Os dados apresentados nesse documento foram obtidos a partir do monitoramento da rede GPON realizado pelo software </w:t>
      </w:r>
      <w:r>
        <w:rPr>
          <w:rFonts w:ascii="Arial" w:hAnsi="Arial"/>
          <w:b/>
          <w:i/>
          <w:sz w:val="24"/>
        </w:rPr>
        <w:t>Grafana.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Entidade(s) afetada(s) pelo rompimento do cabo de fibras óptica: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Escola 01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Escola 02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Escola 03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Local da Ocorrência: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