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r>
        <w:br w:type="page"/>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