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empresa Interjato Soluções (bilhete </w:t>
      </w:r>
      <w:r>
        <w:rPr>
          <w:rFonts w:ascii="Arial" w:hAnsi="Arial"/>
          <w:b/>
          <w:i w:val="0"/>
          <w:sz w:val="24"/>
        </w:rPr>
        <w:t>20XX.X-BRXX</w:t>
      </w:r>
      <w:r>
        <w:rPr>
          <w:rFonts w:ascii="Arial" w:hAnsi="Arial"/>
          <w:b w:val="0"/>
          <w:i w:val="0"/>
          <w:sz w:val="24"/>
        </w:rPr>
        <w:t xml:space="preserve">) para restabelecer à conectividade GPON na(s) célula(s) </w:t>
      </w:r>
      <w:r>
        <w:rPr>
          <w:rFonts w:ascii="Arial" w:hAnsi="Arial"/>
          <w:b/>
          <w:i w:val="0"/>
          <w:sz w:val="24"/>
        </w:rPr>
        <w:t>*Nome da caixa*</w:t>
      </w:r>
      <w:r>
        <w:rPr>
          <w:rFonts w:ascii="Arial" w:hAnsi="Arial"/>
          <w:b w:val="0"/>
          <w:i w:val="0"/>
          <w:sz w:val="24"/>
        </w:rPr>
        <w:t xml:space="preserve">. 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Grafana.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