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Arial" w:cs="Arial" w:eastAsia="Arial" w:hAnsi="Arial"/>
          <w:color w:val="1A1A1A"/>
          <w:sz w:val="24"/>
          <w:szCs w:val="24"/>
        </w:rPr>
        <w:t xml:space="preserve"/>
      </w:r>
    </w:p>
    <w:p>
      <w:pPr>
        <w:spacing w:after="80"/>
        <w:jc w:val="center"/>
      </w:pPr>
      <w:r>
        <w:rPr>
          <w:rFonts w:ascii="Arial" w:cs="Arial" w:eastAsia="Arial" w:hAnsi="Arial"/>
          <w:b/>
          <w:bCs/>
          <w:color w:val="C8A600"/>
          <w:spacing w:val="200"/>
          <w:sz w:val="20"/>
          <w:szCs w:val="20"/>
        </w:rPr>
        <w:t xml:space="preserve">BOOK PROPOSAL</w:t>
      </w:r>
    </w:p>
    <w:p>
      <w:pPr>
        <w:spacing w:after="60"/>
        <w:jc w:val="center"/>
      </w:pPr>
      <w:r>
        <w:rPr>
          <w:rFonts w:ascii="Arial" w:cs="Arial" w:eastAsia="Arial" w:hAnsi="Arial"/>
          <w:b/>
          <w:bCs/>
          <w:color w:val="1F3864"/>
          <w:sz w:val="52"/>
          <w:szCs w:val="52"/>
        </w:rPr>
        <w:t xml:space="preserve">Declarative Programming</w:t>
      </w:r>
    </w:p>
    <w:p>
      <w:pPr>
        <w:spacing w:after="80"/>
        <w:jc w:val="center"/>
      </w:pPr>
      <w:r>
        <w:rPr>
          <w:rFonts w:ascii="Arial" w:cs="Arial" w:eastAsia="Arial" w:hAnsi="Arial"/>
          <w:b/>
          <w:bCs/>
          <w:color w:val="1A1A1A"/>
          <w:sz w:val="64"/>
          <w:szCs w:val="64"/>
        </w:rPr>
        <w:t xml:space="preserve">FOR DUMMIES</w:t>
      </w:r>
    </w:p>
    <w:p>
      <w:pPr>
        <w:spacing w:after="480"/>
        <w:jc w:val="center"/>
      </w:pPr>
      <w:r>
        <w:rPr>
          <w:rFonts w:ascii="Arial" w:cs="Arial" w:eastAsia="Arial" w:hAnsi="Arial"/>
          <w:i/>
          <w:iCs/>
          <w:color w:val="595959"/>
          <w:sz w:val="26"/>
          <w:szCs w:val="26"/>
        </w:rPr>
        <w:t xml:space="preserve">Learn Haskell &amp; Prolog without losing your mind</w:t>
      </w:r>
    </w:p>
    <w:p>
      <w:pPr>
        <w:spacing w:after="40"/>
        <w:jc w:val="center"/>
      </w:pPr>
      <w:r>
        <w:rPr>
          <w:rFonts w:ascii="Arial" w:cs="Arial" w:eastAsia="Arial" w:hAnsi="Arial"/>
          <w:color w:val="888888"/>
          <w:sz w:val="22"/>
          <w:szCs w:val="22"/>
        </w:rPr>
        <w:t xml:space="preserve">Submitted to Wiley / For Dummies</w:t>
      </w:r>
    </w:p>
    <w:p>
      <w:pPr>
        <w:spacing w:after="240"/>
        <w:jc w:val="center"/>
      </w:pPr>
      <w:r>
        <w:rPr>
          <w:rFonts w:ascii="Arial" w:cs="Arial" w:eastAsia="Arial" w:hAnsi="Arial"/>
          <w:color w:val="888888"/>
          <w:sz w:val="22"/>
          <w:szCs w:val="22"/>
        </w:rPr>
        <w:t xml:space="preserve">March 2026</w:t>
      </w:r>
    </w:p>
    <w:p>
      <w:pPr>
        <w:pBdr>
          <w:bottom w:val="single" w:color="DDDDDD" w:sz="4" w:space="1"/>
        </w:pBdr>
        <w:spacing w:before="80" w:after="200"/>
      </w:pPr>
      <w:r>
        <w:rPr>
          <w:rFonts w:ascii="Arial" w:cs="Arial" w:eastAsia="Arial" w:hAnsi="Arial"/>
          <w:color w:val="1A1A1A"/>
          <w:sz w:val="24"/>
          <w:szCs w:val="24"/>
        </w:rPr>
        <w:t xml:space="preserve"/>
      </w:r>
    </w:p>
    <w:p>
      <w:pPr>
        <w:spacing w:after="40"/>
        <w:jc w:val="center"/>
      </w:pPr>
      <w:r>
        <w:rPr>
          <w:rFonts w:ascii="Arial" w:cs="Arial" w:eastAsia="Arial" w:hAnsi="Arial"/>
          <w:b/>
          <w:bCs/>
          <w:color w:val="1A1A1A"/>
          <w:sz w:val="22"/>
          <w:szCs w:val="22"/>
        </w:rPr>
        <w:t xml:space="preserve">Primary Author:  </w:t>
      </w:r>
      <w:r>
        <w:rPr>
          <w:rFonts w:ascii="Arial" w:cs="Arial" w:eastAsia="Arial" w:hAnsi="Arial"/>
          <w:color w:val="1A1A1A"/>
          <w:sz w:val="22"/>
          <w:szCs w:val="22"/>
        </w:rPr>
        <w:t xml:space="preserve">José Carpio Cañada</w:t>
      </w:r>
    </w:p>
    <w:p>
      <w:pPr>
        <w:spacing w:after="40"/>
        <w:jc w:val="center"/>
      </w:pPr>
      <w:r>
        <w:rPr>
          <w:rFonts w:ascii="Arial" w:cs="Arial" w:eastAsia="Arial" w:hAnsi="Arial"/>
          <w:b/>
          <w:bCs/>
          <w:color w:val="1A1A1A"/>
          <w:sz w:val="22"/>
          <w:szCs w:val="22"/>
        </w:rPr>
        <w:t xml:space="preserve">Co-Authors:  </w:t>
      </w:r>
      <w:r>
        <w:rPr>
          <w:rFonts w:ascii="Arial" w:cs="Arial" w:eastAsia="Arial" w:hAnsi="Arial"/>
          <w:color w:val="1A1A1A"/>
          <w:sz w:val="22"/>
          <w:szCs w:val="22"/>
        </w:rPr>
        <w:t xml:space="preserve">Gonzalo Antonio Aranda Corral  ·  José Marco de la Rosa</w:t>
      </w:r>
    </w:p>
    <w:p>
      <w:pPr>
        <w:spacing w:after="40"/>
        <w:jc w:val="center"/>
      </w:pPr>
      <w:r>
        <w:rPr>
          <w:rFonts w:ascii="Arial" w:cs="Arial" w:eastAsia="Arial" w:hAnsi="Arial"/>
          <w:b/>
          <w:bCs/>
          <w:color w:val="1A1A1A"/>
          <w:sz w:val="22"/>
          <w:szCs w:val="22"/>
        </w:rPr>
        <w:t xml:space="preserve">Affiliation:  </w:t>
      </w:r>
      <w:r>
        <w:rPr>
          <w:rFonts w:ascii="Arial" w:cs="Arial" w:eastAsia="Arial" w:hAnsi="Arial"/>
          <w:color w:val="1A1A1A"/>
          <w:sz w:val="22"/>
          <w:szCs w:val="22"/>
        </w:rPr>
        <w:t xml:space="preserve">Universidad de Huelva, Spain</w:t>
      </w:r>
    </w:p>
    <w:p>
      <w:pPr>
        <w:spacing w:after="480"/>
        <w:jc w:val="center"/>
      </w:pPr>
      <w:r>
        <w:rPr>
          <w:rFonts w:ascii="Arial" w:cs="Arial" w:eastAsia="Arial" w:hAnsi="Arial"/>
          <w:color w:val="595959"/>
          <w:sz w:val="22"/>
          <w:szCs w:val="22"/>
        </w:rPr>
        <w:t xml:space="preserve">Department of Electronic Technology and Electronic Engineering</w:t>
      </w:r>
    </w:p>
    <w:p>
      <w:pPr>
        <w:spacing w:after="240"/>
      </w:pPr>
      <w:r>
        <w:rPr>
          <w:rFonts w:ascii="Arial" w:cs="Arial" w:eastAsia="Arial" w:hAnsi="Arial"/>
          <w:color w:val="1A1A1A"/>
          <w:sz w:val="24"/>
          <w:szCs w:val="24"/>
        </w:rPr>
        <w:t xml:space="preserve"/>
      </w:r>
    </w:p>
    <w:p>
      <w:pPr>
        <w:spacing w:before="0" w:after="40"/>
      </w:pPr>
      <w:r>
        <w:rPr>
          <w:rFonts w:ascii="Arial" w:cs="Arial" w:eastAsia="Arial" w:hAnsi="Arial"/>
          <w:b/>
          <w:bCs/>
          <w:color w:val="C8A600"/>
          <w:spacing w:val="120"/>
          <w:sz w:val="18"/>
          <w:szCs w:val="18"/>
        </w:rPr>
        <w:t xml:space="preserve">THE BASICS</w:t>
      </w:r>
    </w:p>
    <w:p>
      <w:pPr>
        <w:pStyle w:val="Heading1"/>
        <w:pBdr>
          <w:bottom w:val="single" w:color="C8A600" w:sz="8" w:space="6"/>
        </w:pBdr>
        <w:spacing w:before="0" w:after="200"/>
      </w:pPr>
      <w:r>
        <w:rPr>
          <w:rFonts w:ascii="Arial" w:cs="Arial" w:eastAsia="Arial" w:hAnsi="Arial"/>
          <w:b/>
          <w:bCs/>
          <w:color w:val="1F3864"/>
          <w:sz w:val="36"/>
          <w:szCs w:val="36"/>
        </w:rPr>
        <w:t xml:space="preserve">Subject &amp; Title</w:t>
      </w:r>
    </w:p>
    <w:p>
      <w:pPr>
        <w:pStyle w:val="Heading3"/>
        <w:spacing w:before="220" w:after="100"/>
      </w:pPr>
      <w:r>
        <w:rPr>
          <w:rFonts w:ascii="Arial" w:cs="Arial" w:eastAsia="Arial" w:hAnsi="Arial"/>
          <w:b/>
          <w:bCs/>
          <w:color w:val="1A1A1A"/>
          <w:sz w:val="24"/>
          <w:szCs w:val="24"/>
        </w:rPr>
        <w:t xml:space="preserve">Subject Discipline</w:t>
      </w:r>
    </w:p>
    <w:p>
      <w:pPr>
        <w:spacing w:after="140"/>
      </w:pPr>
      <w:r>
        <w:rPr>
          <w:rFonts w:ascii="Arial" w:cs="Arial" w:eastAsia="Arial" w:hAnsi="Arial"/>
          <w:color w:val="1A1A1A"/>
          <w:sz w:val="26"/>
          <w:szCs w:val="26"/>
        </w:rPr>
        <w:t xml:space="preserve">Computer Science — Programming Languages &amp; Education</w:t>
      </w:r>
    </w:p>
    <w:p>
      <w:pPr>
        <w:spacing w:after="80"/>
      </w:pPr>
      <w:r>
        <w:rPr>
          <w:rFonts w:ascii="Arial" w:cs="Arial" w:eastAsia="Arial" w:hAnsi="Arial"/>
          <w:color w:val="1A1A1A"/>
          <w:sz w:val="24"/>
          <w:szCs w:val="24"/>
        </w:rPr>
        <w:t xml:space="preserve"/>
      </w:r>
    </w:p>
    <w:p>
      <w:pPr>
        <w:pStyle w:val="Heading3"/>
        <w:spacing w:before="220" w:after="100"/>
      </w:pPr>
      <w:r>
        <w:rPr>
          <w:rFonts w:ascii="Arial" w:cs="Arial" w:eastAsia="Arial" w:hAnsi="Arial"/>
          <w:b/>
          <w:bCs/>
          <w:color w:val="1A1A1A"/>
          <w:sz w:val="24"/>
          <w:szCs w:val="24"/>
        </w:rPr>
        <w:t xml:space="preserve">Provisional Title</w:t>
      </w:r>
    </w:p>
    <w:p>
      <w:pPr>
        <w:spacing w:after="80"/>
      </w:pPr>
      <w:r>
        <w:rPr>
          <w:rFonts w:ascii="Arial" w:cs="Arial" w:eastAsia="Arial" w:hAnsi="Arial"/>
          <w:b/>
          <w:bCs/>
          <w:color w:val="1F3864"/>
          <w:sz w:val="30"/>
          <w:szCs w:val="30"/>
        </w:rPr>
        <w:t xml:space="preserve">Declarative Programming For Dummies</w:t>
      </w:r>
    </w:p>
    <w:p>
      <w:pPr>
        <w:pStyle w:val="Heading3"/>
        <w:spacing w:before="220" w:after="100"/>
      </w:pPr>
      <w:r>
        <w:rPr>
          <w:rFonts w:ascii="Arial" w:cs="Arial" w:eastAsia="Arial" w:hAnsi="Arial"/>
          <w:b/>
          <w:bCs/>
          <w:color w:val="1A1A1A"/>
          <w:sz w:val="24"/>
          <w:szCs w:val="24"/>
        </w:rPr>
        <w:t xml:space="preserve">Subtitle</w:t>
      </w:r>
    </w:p>
    <w:p>
      <w:pPr>
        <w:spacing w:after="140"/>
      </w:pPr>
      <w:r>
        <w:rPr>
          <w:rFonts w:ascii="Arial" w:cs="Arial" w:eastAsia="Arial" w:hAnsi="Arial"/>
          <w:color w:val="1A1A1A"/>
          <w:sz w:val="26"/>
          <w:szCs w:val="26"/>
        </w:rPr>
        <w:t xml:space="preserve">Learn Haskell &amp; Prolog without losing your mind</w:t>
      </w:r>
    </w:p>
    <w:p>
      <w:pPr>
        <w:spacing w:after="80"/>
      </w:pPr>
      <w:r>
        <w:rPr>
          <w:rFonts w:ascii="Arial" w:cs="Arial" w:eastAsia="Arial" w:hAnsi="Arial"/>
          <w:color w:val="1A1A1A"/>
          <w:sz w:val="24"/>
          <w:szCs w:val="24"/>
        </w:rPr>
        <w:t xml:space="preserve"/>
      </w:r>
    </w:p>
    <w:p>
      <w:pPr>
        <w:pStyle w:val="Heading3"/>
        <w:spacing w:before="220" w:after="100"/>
      </w:pPr>
      <w:r>
        <w:rPr>
          <w:rFonts w:ascii="Arial" w:cs="Arial" w:eastAsia="Arial" w:hAnsi="Arial"/>
          <w:b/>
          <w:bCs/>
          <w:color w:val="1A1A1A"/>
          <w:sz w:val="24"/>
          <w:szCs w:val="24"/>
        </w:rPr>
        <w:t xml:space="preserve">Series</w:t>
      </w:r>
    </w:p>
    <w:p>
      <w:pPr>
        <w:spacing w:after="140"/>
      </w:pPr>
      <w:r>
        <w:rPr>
          <w:rFonts w:ascii="Arial" w:cs="Arial" w:eastAsia="Arial" w:hAnsi="Arial"/>
          <w:color w:val="1A1A1A"/>
          <w:sz w:val="26"/>
          <w:szCs w:val="26"/>
        </w:rPr>
        <w:t xml:space="preserve">For Dummies (Wiley)</w:t>
      </w:r>
    </w:p>
    <w:p>
      <w:pPr>
        <w:pBdr>
          <w:bottom w:val="single" w:color="DDDDDD" w:sz="4" w:space="1"/>
        </w:pBdr>
        <w:spacing w:before="80" w:after="200"/>
      </w:pPr>
      <w:r>
        <w:rPr>
          <w:rFonts w:ascii="Arial" w:cs="Arial" w:eastAsia="Arial" w:hAnsi="Arial"/>
          <w:color w:val="1A1A1A"/>
          <w:sz w:val="24"/>
          <w:szCs w:val="24"/>
        </w:rPr>
        <w:t xml:space="preserve"/>
      </w:r>
    </w:p>
    <w:p>
      <w:pPr>
        <w:spacing w:after="240"/>
      </w:pPr>
      <w:r>
        <w:rPr>
          <w:rFonts w:ascii="Arial" w:cs="Arial" w:eastAsia="Arial" w:hAnsi="Arial"/>
          <w:color w:val="1A1A1A"/>
          <w:sz w:val="24"/>
          <w:szCs w:val="24"/>
        </w:rPr>
        <w:t xml:space="preserve"/>
      </w:r>
    </w:p>
    <w:p>
      <w:pPr>
        <w:spacing w:before="0" w:after="40"/>
      </w:pPr>
      <w:r>
        <w:rPr>
          <w:rFonts w:ascii="Arial" w:cs="Arial" w:eastAsia="Arial" w:hAnsi="Arial"/>
          <w:b/>
          <w:bCs/>
          <w:color w:val="C8A600"/>
          <w:spacing w:val="120"/>
          <w:sz w:val="18"/>
          <w:szCs w:val="18"/>
        </w:rPr>
        <w:t xml:space="preserve">THE WHO</w:t>
      </w:r>
    </w:p>
    <w:p>
      <w:pPr>
        <w:pStyle w:val="Heading1"/>
        <w:pBdr>
          <w:bottom w:val="single" w:color="C8A600" w:sz="8" w:space="6"/>
        </w:pBdr>
        <w:spacing w:before="0" w:after="200"/>
      </w:pPr>
      <w:r>
        <w:rPr>
          <w:rFonts w:ascii="Arial" w:cs="Arial" w:eastAsia="Arial" w:hAnsi="Arial"/>
          <w:b/>
          <w:bCs/>
          <w:color w:val="1F3864"/>
          <w:sz w:val="36"/>
          <w:szCs w:val="36"/>
        </w:rPr>
        <w:t xml:space="preserve">About the Authors</w:t>
      </w:r>
    </w:p>
    <w:p>
      <w:pPr>
        <w:pStyle w:val="Heading2"/>
        <w:spacing w:before="300" w:after="140"/>
      </w:pPr>
      <w:r>
        <w:rPr>
          <w:rFonts w:ascii="Arial" w:cs="Arial" w:eastAsia="Arial" w:hAnsi="Arial"/>
          <w:b/>
          <w:bCs/>
          <w:color w:val="2E5F9E"/>
          <w:sz w:val="28"/>
          <w:szCs w:val="28"/>
        </w:rPr>
        <w:t xml:space="preserve">Primary Author</w:t>
      </w:r>
    </w:p>
    <w:p>
      <w:pPr>
        <w:pStyle w:val="Heading3"/>
        <w:spacing w:before="220" w:after="100"/>
      </w:pPr>
      <w:r>
        <w:rPr>
          <w:rFonts w:ascii="Arial" w:cs="Arial" w:eastAsia="Arial" w:hAnsi="Arial"/>
          <w:b/>
          <w:bCs/>
          <w:color w:val="1A1A1A"/>
          <w:sz w:val="24"/>
          <w:szCs w:val="24"/>
        </w:rPr>
        <w:t xml:space="preserve">José Carpio Cañada</w:t>
      </w:r>
    </w:p>
    <w:p>
      <w:pPr>
        <w:spacing w:after="120"/>
      </w:pPr>
      <w:r>
        <w:rPr>
          <w:rFonts w:ascii="Arial" w:cs="Arial" w:eastAsia="Arial" w:hAnsi="Arial"/>
          <w:b/>
          <w:bCs/>
          <w:color w:val="1A1A1A"/>
          <w:sz w:val="24"/>
          <w:szCs w:val="24"/>
        </w:rPr>
        <w:t xml:space="preserve">Position: </w:t>
      </w:r>
      <w:r>
        <w:rPr>
          <w:rFonts w:ascii="Arial" w:cs="Arial" w:eastAsia="Arial" w:hAnsi="Arial"/>
          <w:color w:val="1A1A1A"/>
          <w:sz w:val="24"/>
          <w:szCs w:val="24"/>
        </w:rPr>
        <w:t xml:space="preserve">Associate Professor</w:t>
      </w:r>
    </w:p>
    <w:p>
      <w:pPr>
        <w:spacing w:after="120"/>
      </w:pPr>
      <w:r>
        <w:rPr>
          <w:rFonts w:ascii="Arial" w:cs="Arial" w:eastAsia="Arial" w:hAnsi="Arial"/>
          <w:b/>
          <w:bCs/>
          <w:color w:val="1A1A1A"/>
          <w:sz w:val="24"/>
          <w:szCs w:val="24"/>
        </w:rPr>
        <w:t xml:space="preserve">Affiliation: </w:t>
      </w:r>
      <w:r>
        <w:rPr>
          <w:rFonts w:ascii="Arial" w:cs="Arial" w:eastAsia="Arial" w:hAnsi="Arial"/>
          <w:color w:val="1A1A1A"/>
          <w:sz w:val="24"/>
          <w:szCs w:val="24"/>
        </w:rPr>
        <w:t xml:space="preserve">Departamento de Tecnología Electrónica e Ingeniería Electrónica, Universidad de Huelva, Spain</w:t>
      </w:r>
    </w:p>
    <w:p>
      <w:pPr>
        <w:spacing w:after="120"/>
      </w:pPr>
      <w:r>
        <w:rPr>
          <w:rFonts w:ascii="Arial" w:cs="Arial" w:eastAsia="Arial" w:hAnsi="Arial"/>
          <w:b/>
          <w:bCs/>
          <w:color w:val="1A1A1A"/>
          <w:sz w:val="24"/>
          <w:szCs w:val="24"/>
        </w:rPr>
        <w:t xml:space="preserve">Email: </w:t>
      </w:r>
      <w:r>
        <w:rPr>
          <w:rFonts w:ascii="Arial" w:cs="Arial" w:eastAsia="Arial" w:hAnsi="Arial"/>
          <w:color w:val="1A1A1A"/>
          <w:sz w:val="24"/>
          <w:szCs w:val="24"/>
        </w:rPr>
        <w:t xml:space="preserve">[jcarpio@uhu.es — to be confirmed for submission]</w:t>
      </w:r>
    </w:p>
    <w:p>
      <w:pPr>
        <w:spacing w:after="120"/>
      </w:pPr>
      <w:r>
        <w:rPr>
          <w:rFonts w:ascii="Arial" w:cs="Arial" w:eastAsia="Arial" w:hAnsi="Arial"/>
          <w:b/>
          <w:bCs/>
          <w:color w:val="1A1A1A"/>
          <w:sz w:val="24"/>
          <w:szCs w:val="24"/>
        </w:rPr>
        <w:t xml:space="preserve">Phone: </w:t>
      </w:r>
      <w:r>
        <w:rPr>
          <w:rFonts w:ascii="Arial" w:cs="Arial" w:eastAsia="Arial" w:hAnsi="Arial"/>
          <w:color w:val="1A1A1A"/>
          <w:sz w:val="24"/>
          <w:szCs w:val="24"/>
        </w:rPr>
        <w:t xml:space="preserve">[+34 — to be confirmed for submission]</w:t>
      </w:r>
    </w:p>
    <w:p>
      <w:pPr>
        <w:spacing w:after="120"/>
      </w:pPr>
      <w:r>
        <w:rPr>
          <w:rFonts w:ascii="Arial" w:cs="Arial" w:eastAsia="Arial" w:hAnsi="Arial"/>
          <w:b/>
          <w:bCs/>
          <w:color w:val="1A1A1A"/>
          <w:sz w:val="24"/>
          <w:szCs w:val="24"/>
        </w:rPr>
        <w:t xml:space="preserve">Mailing address: </w:t>
      </w:r>
      <w:r>
        <w:rPr>
          <w:rFonts w:ascii="Arial" w:cs="Arial" w:eastAsia="Arial" w:hAnsi="Arial"/>
          <w:color w:val="1A1A1A"/>
          <w:sz w:val="24"/>
          <w:szCs w:val="24"/>
        </w:rPr>
        <w:t xml:space="preserve">E.T.S. Ingeniería, Campus El Carmen, 21007 Huelva, Spain</w:t>
      </w:r>
    </w:p>
    <w:p>
      <w:pPr>
        <w:spacing w:after="80"/>
      </w:pPr>
      <w:r>
        <w:rPr>
          <w:rFonts w:ascii="Arial" w:cs="Arial" w:eastAsia="Arial" w:hAnsi="Arial"/>
          <w:color w:val="1A1A1A"/>
          <w:sz w:val="24"/>
          <w:szCs w:val="24"/>
        </w:rPr>
        <w:t xml:space="preserve"/>
      </w:r>
    </w:p>
    <w:p>
      <w:pPr>
        <w:pStyle w:val="Heading4"/>
        <w:spacing w:before="160" w:after="80"/>
      </w:pPr>
      <w:r>
        <w:rPr>
          <w:rFonts w:ascii="Arial" w:cs="Arial" w:eastAsia="Arial" w:hAnsi="Arial"/>
          <w:b/>
          <w:bCs/>
          <w:i/>
          <w:iCs/>
          <w:color w:val="595959"/>
          <w:sz w:val="24"/>
          <w:szCs w:val="24"/>
        </w:rPr>
        <w:t xml:space="preserve">Biography</w:t>
      </w:r>
    </w:p>
    <w:p>
      <w:pPr>
        <w:spacing w:after="140"/>
      </w:pPr>
      <w:r>
        <w:rPr>
          <w:rFonts w:ascii="Arial" w:cs="Arial" w:eastAsia="Arial" w:hAnsi="Arial"/>
          <w:color w:val="1A1A1A"/>
          <w:sz w:val="26"/>
          <w:szCs w:val="26"/>
        </w:rPr>
        <w:t xml:space="preserve">José Carpio Cañada is an Associate Professor of Computer Science at the Universidad de Huelva, where he has taught Declarative Programming to undergraduate engineering students for over a decade. He is co-author of the original teaching manual Programación Declarativa (Teaching Books [95], Universidad de Huelva, 2021) — the textbook on which this proposal is based. His research interests span logic programming, functional programming pedagogy, and artificial intelligence. He has extensive experience translating complex theoretical material into accessible, practically-oriented courses.</w:t>
      </w:r>
    </w:p>
    <w:p>
      <w:pPr>
        <w:spacing w:after="80"/>
      </w:pPr>
      <w:r>
        <w:rPr>
          <w:rFonts w:ascii="Arial" w:cs="Arial" w:eastAsia="Arial" w:hAnsi="Arial"/>
          <w:color w:val="1A1A1A"/>
          <w:sz w:val="24"/>
          <w:szCs w:val="24"/>
        </w:rPr>
        <w:t xml:space="preserve"/>
      </w:r>
    </w:p>
    <w:p>
      <w:pPr>
        <w:pStyle w:val="Heading4"/>
        <w:spacing w:before="160" w:after="80"/>
      </w:pPr>
      <w:r>
        <w:rPr>
          <w:rFonts w:ascii="Arial" w:cs="Arial" w:eastAsia="Arial" w:hAnsi="Arial"/>
          <w:b/>
          <w:bCs/>
          <w:i/>
          <w:iCs/>
          <w:color w:val="595959"/>
          <w:sz w:val="24"/>
          <w:szCs w:val="24"/>
        </w:rPr>
        <w:t xml:space="preserve">Social Media &amp; Academic Profiles</w:t>
      </w:r>
    </w:p>
    <w:p>
      <w:pPr>
        <w:pStyle w:val="ListParagraph"/>
        <w:numPr>
          <w:ilvl w:val="0"/>
          <w:numId w:val="2"/>
        </w:numPr>
        <w:spacing w:after="80"/>
      </w:pPr>
      <w:r>
        <w:rPr>
          <w:rFonts w:ascii="Arial" w:cs="Arial" w:eastAsia="Arial" w:hAnsi="Arial"/>
          <w:color w:val="1A1A1A"/>
          <w:sz w:val="24"/>
          <w:szCs w:val="24"/>
        </w:rPr>
        <w:t xml:space="preserve">GitHub: https://github.com/jcarpio</w:t>
      </w:r>
    </w:p>
    <w:p>
      <w:pPr>
        <w:pStyle w:val="ListParagraph"/>
        <w:numPr>
          <w:ilvl w:val="0"/>
          <w:numId w:val="2"/>
        </w:numPr>
        <w:spacing w:after="80"/>
      </w:pPr>
      <w:r>
        <w:rPr>
          <w:rFonts w:ascii="Arial" w:cs="Arial" w:eastAsia="Arial" w:hAnsi="Arial"/>
          <w:color w:val="1A1A1A"/>
          <w:sz w:val="24"/>
          <w:szCs w:val="24"/>
        </w:rPr>
        <w:t xml:space="preserve">Universidad de Huelva faculty profile: [URL to be confirmed]</w:t>
      </w:r>
    </w:p>
    <w:p>
      <w:pPr>
        <w:pStyle w:val="ListParagraph"/>
        <w:numPr>
          <w:ilvl w:val="0"/>
          <w:numId w:val="2"/>
        </w:numPr>
        <w:spacing w:after="80"/>
      </w:pPr>
      <w:r>
        <w:rPr>
          <w:rFonts w:ascii="Arial" w:cs="Arial" w:eastAsia="Arial" w:hAnsi="Arial"/>
          <w:color w:val="1A1A1A"/>
          <w:sz w:val="24"/>
          <w:szCs w:val="24"/>
        </w:rPr>
        <w:t xml:space="preserve">ORCID: [to be confirmed for submission]</w:t>
      </w:r>
    </w:p>
    <w:p>
      <w:pPr>
        <w:spacing w:after="80"/>
      </w:pPr>
      <w:r>
        <w:rPr>
          <w:rFonts w:ascii="Arial" w:cs="Arial" w:eastAsia="Arial" w:hAnsi="Arial"/>
          <w:color w:val="1A1A1A"/>
          <w:sz w:val="24"/>
          <w:szCs w:val="24"/>
        </w:rPr>
        <w:t xml:space="preserve"/>
      </w:r>
    </w:p>
    <w:p>
      <w:pPr>
        <w:pStyle w:val="Heading2"/>
        <w:spacing w:before="300" w:after="140"/>
      </w:pPr>
      <w:r>
        <w:rPr>
          <w:rFonts w:ascii="Arial" w:cs="Arial" w:eastAsia="Arial" w:hAnsi="Arial"/>
          <w:b/>
          <w:bCs/>
          <w:color w:val="2E5F9E"/>
          <w:sz w:val="28"/>
          <w:szCs w:val="28"/>
        </w:rPr>
        <w:t xml:space="preserve">Co-Author 1</w:t>
      </w:r>
    </w:p>
    <w:p>
      <w:pPr>
        <w:pStyle w:val="Heading3"/>
        <w:spacing w:before="220" w:after="100"/>
      </w:pPr>
      <w:r>
        <w:rPr>
          <w:rFonts w:ascii="Arial" w:cs="Arial" w:eastAsia="Arial" w:hAnsi="Arial"/>
          <w:b/>
          <w:bCs/>
          <w:color w:val="1A1A1A"/>
          <w:sz w:val="24"/>
          <w:szCs w:val="24"/>
        </w:rPr>
        <w:t xml:space="preserve">Gonzalo Antonio Aranda Corral</w:t>
      </w:r>
    </w:p>
    <w:p>
      <w:pPr>
        <w:spacing w:after="120"/>
      </w:pPr>
      <w:r>
        <w:rPr>
          <w:rFonts w:ascii="Arial" w:cs="Arial" w:eastAsia="Arial" w:hAnsi="Arial"/>
          <w:b/>
          <w:bCs/>
          <w:color w:val="1A1A1A"/>
          <w:sz w:val="24"/>
          <w:szCs w:val="24"/>
        </w:rPr>
        <w:t xml:space="preserve">Position: </w:t>
      </w:r>
      <w:r>
        <w:rPr>
          <w:rFonts w:ascii="Arial" w:cs="Arial" w:eastAsia="Arial" w:hAnsi="Arial"/>
          <w:color w:val="1A1A1A"/>
          <w:sz w:val="24"/>
          <w:szCs w:val="24"/>
        </w:rPr>
        <w:t xml:space="preserve">Associate Professor</w:t>
      </w:r>
    </w:p>
    <w:p>
      <w:pPr>
        <w:spacing w:after="120"/>
      </w:pPr>
      <w:r>
        <w:rPr>
          <w:rFonts w:ascii="Arial" w:cs="Arial" w:eastAsia="Arial" w:hAnsi="Arial"/>
          <w:b/>
          <w:bCs/>
          <w:color w:val="1A1A1A"/>
          <w:sz w:val="24"/>
          <w:szCs w:val="24"/>
        </w:rPr>
        <w:t xml:space="preserve">Affiliation: </w:t>
      </w:r>
      <w:r>
        <w:rPr>
          <w:rFonts w:ascii="Arial" w:cs="Arial" w:eastAsia="Arial" w:hAnsi="Arial"/>
          <w:color w:val="1A1A1A"/>
          <w:sz w:val="24"/>
          <w:szCs w:val="24"/>
        </w:rPr>
        <w:t xml:space="preserve">Departamento de Tecnología Electrónica e Ingeniería Electrónica, Universidad de Huelva, Spain</w:t>
      </w:r>
    </w:p>
    <w:p>
      <w:pPr>
        <w:spacing w:after="120"/>
      </w:pPr>
      <w:r>
        <w:rPr>
          <w:rFonts w:ascii="Arial" w:cs="Arial" w:eastAsia="Arial" w:hAnsi="Arial"/>
          <w:b/>
          <w:bCs/>
          <w:color w:val="1A1A1A"/>
          <w:sz w:val="24"/>
          <w:szCs w:val="24"/>
        </w:rPr>
        <w:t xml:space="preserve">Email: </w:t>
      </w:r>
      <w:r>
        <w:rPr>
          <w:rFonts w:ascii="Arial" w:cs="Arial" w:eastAsia="Arial" w:hAnsi="Arial"/>
          <w:color w:val="1A1A1A"/>
          <w:sz w:val="24"/>
          <w:szCs w:val="24"/>
        </w:rPr>
        <w:t xml:space="preserve">[to be confirmed for submission]</w:t>
      </w:r>
    </w:p>
    <w:p>
      <w:pPr>
        <w:spacing w:after="80"/>
      </w:pPr>
      <w:r>
        <w:rPr>
          <w:rFonts w:ascii="Arial" w:cs="Arial" w:eastAsia="Arial" w:hAnsi="Arial"/>
          <w:color w:val="1A1A1A"/>
          <w:sz w:val="24"/>
          <w:szCs w:val="24"/>
        </w:rPr>
        <w:t xml:space="preserve"/>
      </w:r>
    </w:p>
    <w:p>
      <w:pPr>
        <w:pStyle w:val="Heading4"/>
        <w:spacing w:before="160" w:after="80"/>
      </w:pPr>
      <w:r>
        <w:rPr>
          <w:rFonts w:ascii="Arial" w:cs="Arial" w:eastAsia="Arial" w:hAnsi="Arial"/>
          <w:b/>
          <w:bCs/>
          <w:i/>
          <w:iCs/>
          <w:color w:val="595959"/>
          <w:sz w:val="24"/>
          <w:szCs w:val="24"/>
        </w:rPr>
        <w:t xml:space="preserve">Biography</w:t>
      </w:r>
    </w:p>
    <w:p>
      <w:pPr>
        <w:spacing w:after="140"/>
      </w:pPr>
      <w:r>
        <w:rPr>
          <w:rFonts w:ascii="Arial" w:cs="Arial" w:eastAsia="Arial" w:hAnsi="Arial"/>
          <w:color w:val="1A1A1A"/>
          <w:sz w:val="26"/>
          <w:szCs w:val="26"/>
        </w:rPr>
        <w:t xml:space="preserve">Gonzalo Antonio Aranda Corral is an Associate Professor of Computer Science at the Universidad de Huelva. He is a co-author of the original Programación Declarativa teaching manual and has contributed to the design of both the theoretical sessions and practical lab exercises that form the backbone of this proposed book. His research focuses on knowledge representation, logic programming, and formal methods.</w:t>
      </w:r>
    </w:p>
    <w:p>
      <w:pPr>
        <w:spacing w:after="80"/>
      </w:pPr>
      <w:r>
        <w:rPr>
          <w:rFonts w:ascii="Arial" w:cs="Arial" w:eastAsia="Arial" w:hAnsi="Arial"/>
          <w:color w:val="1A1A1A"/>
          <w:sz w:val="24"/>
          <w:szCs w:val="24"/>
        </w:rPr>
        <w:t xml:space="preserve"/>
      </w:r>
    </w:p>
    <w:p>
      <w:pPr>
        <w:pStyle w:val="Heading2"/>
        <w:spacing w:before="300" w:after="140"/>
      </w:pPr>
      <w:r>
        <w:rPr>
          <w:rFonts w:ascii="Arial" w:cs="Arial" w:eastAsia="Arial" w:hAnsi="Arial"/>
          <w:b/>
          <w:bCs/>
          <w:color w:val="2E5F9E"/>
          <w:sz w:val="28"/>
          <w:szCs w:val="28"/>
        </w:rPr>
        <w:t xml:space="preserve">Co-Author 2</w:t>
      </w:r>
    </w:p>
    <w:p>
      <w:pPr>
        <w:pStyle w:val="Heading3"/>
        <w:spacing w:before="220" w:after="100"/>
      </w:pPr>
      <w:r>
        <w:rPr>
          <w:rFonts w:ascii="Arial" w:cs="Arial" w:eastAsia="Arial" w:hAnsi="Arial"/>
          <w:b/>
          <w:bCs/>
          <w:color w:val="1A1A1A"/>
          <w:sz w:val="24"/>
          <w:szCs w:val="24"/>
        </w:rPr>
        <w:t xml:space="preserve">José Marco de la Rosa</w:t>
      </w:r>
    </w:p>
    <w:p>
      <w:pPr>
        <w:spacing w:after="120"/>
      </w:pPr>
      <w:r>
        <w:rPr>
          <w:rFonts w:ascii="Arial" w:cs="Arial" w:eastAsia="Arial" w:hAnsi="Arial"/>
          <w:b/>
          <w:bCs/>
          <w:color w:val="1A1A1A"/>
          <w:sz w:val="24"/>
          <w:szCs w:val="24"/>
        </w:rPr>
        <w:t xml:space="preserve">Position: </w:t>
      </w:r>
      <w:r>
        <w:rPr>
          <w:rFonts w:ascii="Arial" w:cs="Arial" w:eastAsia="Arial" w:hAnsi="Arial"/>
          <w:color w:val="1A1A1A"/>
          <w:sz w:val="24"/>
          <w:szCs w:val="24"/>
        </w:rPr>
        <w:t xml:space="preserve">Associate Professor</w:t>
      </w:r>
    </w:p>
    <w:p>
      <w:pPr>
        <w:spacing w:after="120"/>
      </w:pPr>
      <w:r>
        <w:rPr>
          <w:rFonts w:ascii="Arial" w:cs="Arial" w:eastAsia="Arial" w:hAnsi="Arial"/>
          <w:b/>
          <w:bCs/>
          <w:color w:val="1A1A1A"/>
          <w:sz w:val="24"/>
          <w:szCs w:val="24"/>
        </w:rPr>
        <w:t xml:space="preserve">Affiliation: </w:t>
      </w:r>
      <w:r>
        <w:rPr>
          <w:rFonts w:ascii="Arial" w:cs="Arial" w:eastAsia="Arial" w:hAnsi="Arial"/>
          <w:color w:val="1A1A1A"/>
          <w:sz w:val="24"/>
          <w:szCs w:val="24"/>
        </w:rPr>
        <w:t xml:space="preserve">Departamento de Tecnología Electrónica e Ingeniería Electrónica, Universidad de Huelva, Spain</w:t>
      </w:r>
    </w:p>
    <w:p>
      <w:pPr>
        <w:spacing w:after="120"/>
      </w:pPr>
      <w:r>
        <w:rPr>
          <w:rFonts w:ascii="Arial" w:cs="Arial" w:eastAsia="Arial" w:hAnsi="Arial"/>
          <w:b/>
          <w:bCs/>
          <w:color w:val="1A1A1A"/>
          <w:sz w:val="24"/>
          <w:szCs w:val="24"/>
        </w:rPr>
        <w:t xml:space="preserve">Email: </w:t>
      </w:r>
      <w:r>
        <w:rPr>
          <w:rFonts w:ascii="Arial" w:cs="Arial" w:eastAsia="Arial" w:hAnsi="Arial"/>
          <w:color w:val="1A1A1A"/>
          <w:sz w:val="24"/>
          <w:szCs w:val="24"/>
        </w:rPr>
        <w:t xml:space="preserve">[to be confirmed for submission]</w:t>
      </w:r>
    </w:p>
    <w:p>
      <w:pPr>
        <w:spacing w:after="80"/>
      </w:pPr>
      <w:r>
        <w:rPr>
          <w:rFonts w:ascii="Arial" w:cs="Arial" w:eastAsia="Arial" w:hAnsi="Arial"/>
          <w:color w:val="1A1A1A"/>
          <w:sz w:val="24"/>
          <w:szCs w:val="24"/>
        </w:rPr>
        <w:t xml:space="preserve"/>
      </w:r>
    </w:p>
    <w:p>
      <w:pPr>
        <w:pStyle w:val="Heading4"/>
        <w:spacing w:before="160" w:after="80"/>
      </w:pPr>
      <w:r>
        <w:rPr>
          <w:rFonts w:ascii="Arial" w:cs="Arial" w:eastAsia="Arial" w:hAnsi="Arial"/>
          <w:b/>
          <w:bCs/>
          <w:i/>
          <w:iCs/>
          <w:color w:val="595959"/>
          <w:sz w:val="24"/>
          <w:szCs w:val="24"/>
        </w:rPr>
        <w:t xml:space="preserve">Biography</w:t>
      </w:r>
    </w:p>
    <w:p>
      <w:pPr>
        <w:spacing w:after="140"/>
      </w:pPr>
      <w:r>
        <w:rPr>
          <w:rFonts w:ascii="Arial" w:cs="Arial" w:eastAsia="Arial" w:hAnsi="Arial"/>
          <w:color w:val="1A1A1A"/>
          <w:sz w:val="26"/>
          <w:szCs w:val="26"/>
        </w:rPr>
        <w:t xml:space="preserve">José Marco de la Rosa is an Associate Professor of Computer Science at the Universidad de Huelva. As a co-author of the original teaching manual, he has been instrumental in developing the induction-based pedagogical approach that distinguishes this material from standard declarative programming textbooks. His teaching experience spans both Haskell and Prolog, and he has particular expertise in helping students from imperative programming backgrounds make the conceptual transition to declarative thinking.</w:t>
      </w:r>
    </w:p>
    <w:p>
      <w:pPr>
        <w:spacing w:after="80"/>
      </w:pPr>
      <w:r>
        <w:rPr>
          <w:rFonts w:ascii="Arial" w:cs="Arial" w:eastAsia="Arial" w:hAnsi="Arial"/>
          <w:color w:val="1A1A1A"/>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600" w:sz="6"/>
              <w:left w:val="single" w:color="C8A600" w:sz="6"/>
              <w:bottom w:val="single" w:color="C8A600" w:sz="6"/>
              <w:right w:val="single" w:color="C8A600" w:sz="6"/>
            </w:tcBorders>
            <w:shd w:fill="FFF9C4" w:val="clear"/>
            <w:tcMar>
              <w:top w:type="dxa" w:w="120"/>
              <w:left w:type="dxa" w:w="200"/>
              <w:bottom w:type="dxa" w:w="120"/>
              <w:right w:type="dxa" w:w="200"/>
            </w:tcMar>
          </w:tcPr>
          <w:p>
            <w:pPr>
              <w:spacing w:after="80"/>
            </w:pPr>
            <w:r>
              <w:rPr>
                <w:rFonts w:ascii="Arial" w:cs="Arial" w:eastAsia="Arial" w:hAnsi="Arial"/>
                <w:b/>
                <w:bCs/>
                <w:color w:val="C8A600"/>
                <w:sz w:val="21"/>
                <w:szCs w:val="21"/>
              </w:rPr>
              <w:t xml:space="preserve">Note to Editor</w:t>
            </w:r>
          </w:p>
          <w:p>
            <w:pPr>
              <w:spacing w:after="60"/>
            </w:pPr>
            <w:r>
              <w:rPr>
                <w:rFonts w:ascii="Arial" w:cs="Arial" w:eastAsia="Arial" w:hAnsi="Arial"/>
                <w:color w:val="1A1A1A"/>
                <w:sz w:val="22"/>
                <w:szCs w:val="22"/>
              </w:rPr>
              <w:t xml:space="preserve">The proposal was developed with the assistance of Claude AI (Anthropic). All intellectual content,</w:t>
            </w:r>
          </w:p>
          <w:p>
            <w:pPr>
              <w:spacing w:after="60"/>
            </w:pPr>
            <w:r>
              <w:rPr>
                <w:rFonts w:ascii="Arial" w:cs="Arial" w:eastAsia="Arial" w:hAnsi="Arial"/>
                <w:color w:val="1A1A1A"/>
                <w:sz w:val="22"/>
                <w:szCs w:val="22"/>
              </w:rPr>
              <w:t xml:space="preserve">pedagogical approach, code examples, and editorial vision are the authors' own. The AI tool was</w:t>
            </w:r>
          </w:p>
          <w:p>
            <w:pPr>
              <w:spacing w:after="60"/>
            </w:pPr>
            <w:r>
              <w:rPr>
                <w:rFonts w:ascii="Arial" w:cs="Arial" w:eastAsia="Arial" w:hAnsi="Arial"/>
                <w:color w:val="1A1A1A"/>
                <w:sz w:val="22"/>
                <w:szCs w:val="22"/>
              </w:rPr>
              <w:t xml:space="preserve">used to assist with structuring, drafting, and formatting the document — not to originate the content.</w:t>
            </w:r>
          </w:p>
        </w:tc>
      </w:tr>
    </w:tbl>
    <w:p>
      <w:pPr>
        <w:pBdr>
          <w:bottom w:val="single" w:color="DDDDDD" w:sz="4" w:space="1"/>
        </w:pBdr>
        <w:spacing w:before="80" w:after="200"/>
      </w:pPr>
      <w:r>
        <w:rPr>
          <w:rFonts w:ascii="Arial" w:cs="Arial" w:eastAsia="Arial" w:hAnsi="Arial"/>
          <w:color w:val="1A1A1A"/>
          <w:sz w:val="24"/>
          <w:szCs w:val="24"/>
        </w:rPr>
        <w:t xml:space="preserve"/>
      </w:r>
    </w:p>
    <w:p>
      <w:pPr>
        <w:spacing w:after="240"/>
      </w:pPr>
      <w:r>
        <w:rPr>
          <w:rFonts w:ascii="Arial" w:cs="Arial" w:eastAsia="Arial" w:hAnsi="Arial"/>
          <w:color w:val="1A1A1A"/>
          <w:sz w:val="24"/>
          <w:szCs w:val="24"/>
        </w:rPr>
        <w:t xml:space="preserve"/>
      </w:r>
    </w:p>
    <w:p>
      <w:pPr>
        <w:spacing w:before="0" w:after="40"/>
      </w:pPr>
      <w:r>
        <w:rPr>
          <w:rFonts w:ascii="Arial" w:cs="Arial" w:eastAsia="Arial" w:hAnsi="Arial"/>
          <w:b/>
          <w:bCs/>
          <w:color w:val="C8A600"/>
          <w:spacing w:val="120"/>
          <w:sz w:val="18"/>
          <w:szCs w:val="18"/>
        </w:rPr>
        <w:t xml:space="preserve">THE WHAT</w:t>
      </w:r>
    </w:p>
    <w:p>
      <w:pPr>
        <w:pStyle w:val="Heading1"/>
        <w:pBdr>
          <w:bottom w:val="single" w:color="C8A600" w:sz="8" w:space="6"/>
        </w:pBdr>
        <w:spacing w:before="0" w:after="200"/>
      </w:pPr>
      <w:r>
        <w:rPr>
          <w:rFonts w:ascii="Arial" w:cs="Arial" w:eastAsia="Arial" w:hAnsi="Arial"/>
          <w:b/>
          <w:bCs/>
          <w:color w:val="1F3864"/>
          <w:sz w:val="36"/>
          <w:szCs w:val="36"/>
        </w:rPr>
        <w:t xml:space="preserve">Publication Description</w:t>
      </w:r>
    </w:p>
    <w:p>
      <w:pPr>
        <w:pStyle w:val="Heading2"/>
        <w:spacing w:before="300" w:after="140"/>
      </w:pPr>
      <w:r>
        <w:rPr>
          <w:rFonts w:ascii="Arial" w:cs="Arial" w:eastAsia="Arial" w:hAnsi="Arial"/>
          <w:b/>
          <w:bCs/>
          <w:color w:val="2E5F9E"/>
          <w:sz w:val="28"/>
          <w:szCs w:val="28"/>
        </w:rPr>
        <w:t xml:space="preserve">3.1  Overview</w:t>
      </w:r>
    </w:p>
    <w:p>
      <w:pPr>
        <w:pStyle w:val="Heading3"/>
        <w:spacing w:before="220" w:after="100"/>
      </w:pPr>
      <w:r>
        <w:rPr>
          <w:rFonts w:ascii="Arial" w:cs="Arial" w:eastAsia="Arial" w:hAnsi="Arial"/>
          <w:b/>
          <w:bCs/>
          <w:color w:val="1A1A1A"/>
          <w:sz w:val="24"/>
          <w:szCs w:val="24"/>
        </w:rPr>
        <w:t xml:space="preserve">Vision and Objective</w:t>
      </w:r>
    </w:p>
    <w:p>
      <w:pPr>
        <w:spacing w:after="140"/>
      </w:pPr>
      <w:r>
        <w:rPr>
          <w:rFonts w:ascii="Arial" w:cs="Arial" w:eastAsia="Arial" w:hAnsi="Arial"/>
          <w:color w:val="1A1A1A"/>
          <w:sz w:val="26"/>
          <w:szCs w:val="26"/>
        </w:rPr>
        <w:t xml:space="preserve">Declarative Programming For Dummies aims to be the first genuinely accessible introduction to both functional and logic programming for readers with no prior background in either paradigm. The book teaches Haskell and Prolog — the two most important declarative languages in university curricula worldwide — using the conversational tone, real-world analogies, and progressive learning structure that have made the For Dummies series the most trusted name in demystifying technical subjects.</w:t>
      </w:r>
    </w:p>
    <w:p>
      <w:pPr>
        <w:spacing w:after="140"/>
      </w:pPr>
      <w:r>
        <w:rPr>
          <w:rFonts w:ascii="Arial" w:cs="Arial" w:eastAsia="Arial" w:hAnsi="Arial"/>
          <w:color w:val="1A1A1A"/>
          <w:sz w:val="26"/>
          <w:szCs w:val="26"/>
        </w:rPr>
        <w:t xml:space="preserve">The book's central pedagogical insight is simple: the biggest barrier to learning declarative programming is not difficulty — it is unfamiliarity. Students who have only ever written imperative code (C, Java, Python) face a conceptual shift when encountering Haskell or Prolog. They keep trying to think in loops, assignments, and step-by-step procedures. This book provides the mental reframing they need, using vivid analogies, carefully chosen examples, and a unique induction-based methodology developed and refined through over a decade of classroom teaching at the Universidad de Huelva.</w:t>
      </w:r>
    </w:p>
    <w:p>
      <w:pPr>
        <w:pStyle w:val="Heading3"/>
        <w:spacing w:before="220" w:after="100"/>
      </w:pPr>
      <w:r>
        <w:rPr>
          <w:rFonts w:ascii="Arial" w:cs="Arial" w:eastAsia="Arial" w:hAnsi="Arial"/>
          <w:b/>
          <w:bCs/>
          <w:color w:val="1A1A1A"/>
          <w:sz w:val="24"/>
          <w:szCs w:val="24"/>
        </w:rPr>
        <w:t xml:space="preserve">Why Would Someone Buy This Book?</w:t>
      </w:r>
    </w:p>
    <w:p>
      <w:pPr>
        <w:spacing w:after="140"/>
      </w:pPr>
      <w:r>
        <w:rPr>
          <w:rFonts w:ascii="Arial" w:cs="Arial" w:eastAsia="Arial" w:hAnsi="Arial"/>
          <w:color w:val="1A1A1A"/>
          <w:sz w:val="26"/>
          <w:szCs w:val="26"/>
        </w:rPr>
        <w:t xml:space="preserve">There is a large and underserved audience of CS students, self-taught programmers, and working developers who know they should understand functional and logic programming — because it makes them better at everything else — but who find existing textbooks either too academic or too shallow. This book speaks to them directly:</w:t>
      </w:r>
    </w:p>
    <w:p>
      <w:pPr>
        <w:pStyle w:val="ListParagraph"/>
        <w:numPr>
          <w:ilvl w:val="0"/>
          <w:numId w:val="2"/>
        </w:numPr>
        <w:spacing w:after="80"/>
      </w:pPr>
      <w:r>
        <w:rPr>
          <w:rFonts w:ascii="Arial" w:cs="Arial" w:eastAsia="Arial" w:hAnsi="Arial"/>
          <w:color w:val="1A1A1A"/>
          <w:sz w:val="24"/>
          <w:szCs w:val="24"/>
        </w:rPr>
        <w:t xml:space="preserve">The CS student who stares at their Haskell assignment at 11pm and has no idea where to start.</w:t>
      </w:r>
    </w:p>
    <w:p>
      <w:pPr>
        <w:pStyle w:val="ListParagraph"/>
        <w:numPr>
          <w:ilvl w:val="0"/>
          <w:numId w:val="2"/>
        </w:numPr>
        <w:spacing w:after="80"/>
      </w:pPr>
      <w:r>
        <w:rPr>
          <w:rFonts w:ascii="Arial" w:cs="Arial" w:eastAsia="Arial" w:hAnsi="Arial"/>
          <w:color w:val="1A1A1A"/>
          <w:sz w:val="24"/>
          <w:szCs w:val="24"/>
        </w:rPr>
        <w:t xml:space="preserve">The Java developer who keeps hearing about functional programming and wants to finally understand what the fuss is about.</w:t>
      </w:r>
    </w:p>
    <w:p>
      <w:pPr>
        <w:pStyle w:val="ListParagraph"/>
        <w:numPr>
          <w:ilvl w:val="0"/>
          <w:numId w:val="2"/>
        </w:numPr>
        <w:spacing w:after="80"/>
      </w:pPr>
      <w:r>
        <w:rPr>
          <w:rFonts w:ascii="Arial" w:cs="Arial" w:eastAsia="Arial" w:hAnsi="Arial"/>
          <w:color w:val="1A1A1A"/>
          <w:sz w:val="24"/>
          <w:szCs w:val="24"/>
        </w:rPr>
        <w:t xml:space="preserve">The instructor who needs a supplementary text that students will actually read.</w:t>
      </w:r>
    </w:p>
    <w:p>
      <w:pPr>
        <w:pStyle w:val="ListParagraph"/>
        <w:numPr>
          <w:ilvl w:val="0"/>
          <w:numId w:val="2"/>
        </w:numPr>
        <w:spacing w:after="80"/>
      </w:pPr>
      <w:r>
        <w:rPr>
          <w:rFonts w:ascii="Arial" w:cs="Arial" w:eastAsia="Arial" w:hAnsi="Arial"/>
          <w:color w:val="1A1A1A"/>
          <w:sz w:val="24"/>
          <w:szCs w:val="24"/>
        </w:rPr>
        <w:t xml:space="preserve">The self-learner who bounced off Learn You a Haskell because it assumed too much mathematical maturity.</w:t>
      </w:r>
    </w:p>
    <w:p>
      <w:pPr>
        <w:spacing w:after="80"/>
      </w:pPr>
      <w:r>
        <w:rPr>
          <w:rFonts w:ascii="Arial" w:cs="Arial" w:eastAsia="Arial" w:hAnsi="Arial"/>
          <w:color w:val="1A1A1A"/>
          <w:sz w:val="24"/>
          <w:szCs w:val="24"/>
        </w:rPr>
        <w:t xml:space="preserve"/>
      </w:r>
    </w:p>
    <w:p>
      <w:pPr>
        <w:spacing w:after="140"/>
      </w:pPr>
      <w:r>
        <w:rPr>
          <w:rFonts w:ascii="Arial" w:cs="Arial" w:eastAsia="Arial" w:hAnsi="Arial"/>
          <w:color w:val="1A1A1A"/>
          <w:sz w:val="26"/>
          <w:szCs w:val="26"/>
        </w:rPr>
        <w:t xml:space="preserve">The For Dummies brand is the perfect vehicle for this content. Readers who pick up a For Dummies book know exactly what they are getting: they will not be made to feel stupid, the author will not show off, and every concept will be explained at least twice — once in plain English and once in code.</w:t>
      </w:r>
    </w:p>
    <w:p>
      <w:pPr>
        <w:pStyle w:val="Heading3"/>
        <w:spacing w:before="220" w:after="100"/>
      </w:pPr>
      <w:r>
        <w:rPr>
          <w:rFonts w:ascii="Arial" w:cs="Arial" w:eastAsia="Arial" w:hAnsi="Arial"/>
          <w:b/>
          <w:bCs/>
          <w:color w:val="1A1A1A"/>
          <w:sz w:val="24"/>
          <w:szCs w:val="24"/>
        </w:rPr>
        <w:t xml:space="preserve">Unique Selling Points</w:t>
      </w:r>
    </w:p>
    <w:p>
      <w:pPr>
        <w:pStyle w:val="ListParagraph"/>
        <w:numPr>
          <w:ilvl w:val="0"/>
          <w:numId w:val="2"/>
        </w:numPr>
        <w:spacing w:after="80"/>
      </w:pPr>
      <w:r>
        <w:rPr>
          <w:rFonts w:ascii="Arial" w:cs="Arial" w:eastAsia="Arial" w:hAnsi="Arial"/>
          <w:b/>
          <w:bCs/>
          <w:color w:val="1A1A1A"/>
          <w:sz w:val="24"/>
          <w:szCs w:val="24"/>
        </w:rPr>
        <w:t xml:space="preserve">Both languages in one volume. </w:t>
      </w:r>
      <w:r>
        <w:rPr>
          <w:rFonts w:ascii="Arial" w:cs="Arial" w:eastAsia="Arial" w:hAnsi="Arial"/>
          <w:color w:val="1A1A1A"/>
          <w:sz w:val="24"/>
          <w:szCs w:val="24"/>
        </w:rPr>
        <w:t xml:space="preserve">No other For Dummies title covers Haskell and Prolog together. The two languages are natural complements — Haskell teaches functional thinking, Prolog teaches relational/search thinking — and learning them side by side dramatically accelerates understanding of both.</w:t>
      </w:r>
    </w:p>
    <w:p>
      <w:pPr>
        <w:pStyle w:val="ListParagraph"/>
        <w:numPr>
          <w:ilvl w:val="0"/>
          <w:numId w:val="2"/>
        </w:numPr>
        <w:spacing w:after="80"/>
      </w:pPr>
      <w:r>
        <w:rPr>
          <w:rFonts w:ascii="Arial" w:cs="Arial" w:eastAsia="Arial" w:hAnsi="Arial"/>
          <w:b/>
          <w:bCs/>
          <w:color w:val="1A1A1A"/>
          <w:sz w:val="24"/>
          <w:szCs w:val="24"/>
        </w:rPr>
        <w:t xml:space="preserve">Induction-based pedagogy. </w:t>
      </w:r>
      <w:r>
        <w:rPr>
          <w:rFonts w:ascii="Arial" w:cs="Arial" w:eastAsia="Arial" w:hAnsi="Arial"/>
          <w:color w:val="1A1A1A"/>
          <w:sz w:val="24"/>
          <w:szCs w:val="24"/>
        </w:rPr>
        <w:t xml:space="preserve">The authors' signature approach teaches recursion via mathematical induction: 'Trust the base case. Ask what you get from a slightly smaller problem. Build up from there.' This methodological consistency, applied across both Haskell and Prolog, is unique in the market.</w:t>
      </w:r>
    </w:p>
    <w:p>
      <w:pPr>
        <w:pStyle w:val="ListParagraph"/>
        <w:numPr>
          <w:ilvl w:val="0"/>
          <w:numId w:val="2"/>
        </w:numPr>
        <w:spacing w:after="80"/>
      </w:pPr>
      <w:r>
        <w:rPr>
          <w:rFonts w:ascii="Arial" w:cs="Arial" w:eastAsia="Arial" w:hAnsi="Arial"/>
          <w:b/>
          <w:bCs/>
          <w:color w:val="1A1A1A"/>
          <w:sz w:val="24"/>
          <w:szCs w:val="24"/>
        </w:rPr>
        <w:t xml:space="preserve">Battle-tested in the classroom. </w:t>
      </w:r>
      <w:r>
        <w:rPr>
          <w:rFonts w:ascii="Arial" w:cs="Arial" w:eastAsia="Arial" w:hAnsi="Arial"/>
          <w:color w:val="1A1A1A"/>
          <w:sz w:val="24"/>
          <w:szCs w:val="24"/>
        </w:rPr>
        <w:t xml:space="preserve">Every chapter, exercise, and analogy in this book has been used with real students over more than a decade. The explanations that confused students were rewritten; the exercises that worked were kept. This is not a first draft.</w:t>
      </w:r>
    </w:p>
    <w:p>
      <w:pPr>
        <w:pStyle w:val="ListParagraph"/>
        <w:numPr>
          <w:ilvl w:val="0"/>
          <w:numId w:val="2"/>
        </w:numPr>
        <w:spacing w:after="80"/>
      </w:pPr>
      <w:r>
        <w:rPr>
          <w:rFonts w:ascii="Arial" w:cs="Arial" w:eastAsia="Arial" w:hAnsi="Arial"/>
          <w:b/>
          <w:bCs/>
          <w:color w:val="1A1A1A"/>
          <w:sz w:val="24"/>
          <w:szCs w:val="24"/>
        </w:rPr>
        <w:t xml:space="preserve">Visual learning aids. </w:t>
      </w:r>
      <w:r>
        <w:rPr>
          <w:rFonts w:ascii="Arial" w:cs="Arial" w:eastAsia="Arial" w:hAnsi="Arial"/>
          <w:color w:val="1A1A1A"/>
          <w:sz w:val="24"/>
          <w:szCs w:val="24"/>
        </w:rPr>
        <w:t xml:space="preserve">Each chapter features a hand-drawn sketch illustration (inspired by the visual style of Bill Aulet's Disciplined Entrepreneurship) that embodies the chapter's key concept as a physical metaphor. A frantic imperative programmer vs a relaxed declarative one. A recursive professor pointing at nested Russian dolls. Puzzle pieces clicking together for unification.</w:t>
      </w:r>
    </w:p>
    <w:p>
      <w:pPr>
        <w:pStyle w:val="ListParagraph"/>
        <w:numPr>
          <w:ilvl w:val="0"/>
          <w:numId w:val="2"/>
        </w:numPr>
        <w:spacing w:after="80"/>
      </w:pPr>
      <w:r>
        <w:rPr>
          <w:rFonts w:ascii="Arial" w:cs="Arial" w:eastAsia="Arial" w:hAnsi="Arial"/>
          <w:b/>
          <w:bCs/>
          <w:color w:val="1A1A1A"/>
          <w:sz w:val="24"/>
          <w:szCs w:val="24"/>
        </w:rPr>
        <w:t xml:space="preserve">The Part of Tens. </w:t>
      </w:r>
      <w:r>
        <w:rPr>
          <w:rFonts w:ascii="Arial" w:cs="Arial" w:eastAsia="Arial" w:hAnsi="Arial"/>
          <w:color w:val="1A1A1A"/>
          <w:sz w:val="24"/>
          <w:szCs w:val="24"/>
        </w:rPr>
        <w:t xml:space="preserve">Following For Dummies tradition, the book closes with three Top Ten lists: ten classic declarative programs you should know, ten common beginner mistakes (and how to fix them), and ten resources for going deeper.</w:t>
      </w:r>
    </w:p>
    <w:p>
      <w:pPr>
        <w:pStyle w:val="ListParagraph"/>
        <w:numPr>
          <w:ilvl w:val="0"/>
          <w:numId w:val="2"/>
        </w:numPr>
        <w:spacing w:after="80"/>
      </w:pPr>
      <w:r>
        <w:rPr>
          <w:rFonts w:ascii="Arial" w:cs="Arial" w:eastAsia="Arial" w:hAnsi="Arial"/>
          <w:b/>
          <w:bCs/>
          <w:color w:val="1A1A1A"/>
          <w:sz w:val="24"/>
          <w:szCs w:val="24"/>
        </w:rPr>
        <w:t xml:space="preserve">Appendix reference cards. </w:t>
      </w:r>
      <w:r>
        <w:rPr>
          <w:rFonts w:ascii="Arial" w:cs="Arial" w:eastAsia="Arial" w:hAnsi="Arial"/>
          <w:color w:val="1A1A1A"/>
          <w:sz w:val="24"/>
          <w:szCs w:val="24"/>
        </w:rPr>
        <w:t xml:space="preserve">Detachable-quality Haskell and Prolog quick reference cards, plus a 20-term glossary, make the book a lasting desk reference, not just a one-time read.</w:t>
      </w:r>
    </w:p>
    <w:p>
      <w:pPr>
        <w:pStyle w:val="Heading3"/>
        <w:spacing w:before="220" w:after="100"/>
      </w:pPr>
      <w:r>
        <w:rPr>
          <w:rFonts w:ascii="Arial" w:cs="Arial" w:eastAsia="Arial" w:hAnsi="Arial"/>
          <w:b/>
          <w:bCs/>
          <w:color w:val="1A1A1A"/>
          <w:sz w:val="24"/>
          <w:szCs w:val="24"/>
        </w:rPr>
        <w:t xml:space="preserve">Unmet Need and Challenges Addressed</w:t>
      </w:r>
    </w:p>
    <w:p>
      <w:pPr>
        <w:spacing w:after="140"/>
      </w:pPr>
      <w:r>
        <w:rPr>
          <w:rFonts w:ascii="Arial" w:cs="Arial" w:eastAsia="Arial" w:hAnsi="Arial"/>
          <w:color w:val="1A1A1A"/>
          <w:sz w:val="26"/>
          <w:szCs w:val="26"/>
        </w:rPr>
        <w:t xml:space="preserve">Declarative programming is both compulsory in most CS curricula and poorly served by existing teaching materials. The dominant textbooks are decades old (Bratko's Prolog book dates to 1990; Clocksin &amp; Mellish to 1994), and the modern alternatives — Learn You a Haskell, Real World Haskell — are either too informal or too advanced for course use. The For Dummies approach fills a specific gap: a structured, friendly, exercise-rich introduction that can serve as a primary course text for undergraduates or as a self-study guide for professionals.</w:t>
      </w:r>
    </w:p>
    <w:p>
      <w:pPr>
        <w:spacing w:after="140"/>
      </w:pPr>
      <w:r>
        <w:rPr>
          <w:rFonts w:ascii="Arial" w:cs="Arial" w:eastAsia="Arial" w:hAnsi="Arial"/>
          <w:color w:val="1A1A1A"/>
          <w:sz w:val="26"/>
          <w:szCs w:val="26"/>
        </w:rPr>
        <w:t xml:space="preserve">The book also addresses a structural gap in the market: Haskell and Prolog are almost always taught in separate courses with separate textbooks, even though the two languages share deep philosophical roots (both are declarative, both use pattern matching, both eliminate mutable state). Teaching them together in a single narrative helps students see the forest, not just the trees.</w:t>
      </w:r>
    </w:p>
    <w:p>
      <w:pPr>
        <w:pBdr>
          <w:bottom w:val="single" w:color="DDDDDD" w:sz="4" w:space="1"/>
        </w:pBdr>
        <w:spacing w:before="80" w:after="200"/>
      </w:pPr>
      <w:r>
        <w:rPr>
          <w:rFonts w:ascii="Arial" w:cs="Arial" w:eastAsia="Arial" w:hAnsi="Arial"/>
          <w:color w:val="1A1A1A"/>
          <w:sz w:val="24"/>
          <w:szCs w:val="24"/>
        </w:rPr>
        <w:t xml:space="preserve"/>
      </w:r>
    </w:p>
    <w:p>
      <w:pPr>
        <w:pStyle w:val="Heading2"/>
        <w:spacing w:before="300" w:after="140"/>
      </w:pPr>
      <w:r>
        <w:rPr>
          <w:rFonts w:ascii="Arial" w:cs="Arial" w:eastAsia="Arial" w:hAnsi="Arial"/>
          <w:b/>
          <w:bCs/>
          <w:color w:val="2E5F9E"/>
          <w:sz w:val="28"/>
          <w:szCs w:val="28"/>
        </w:rPr>
        <w:t xml:space="preserve">3.2  Table of Contents</w:t>
      </w:r>
    </w:p>
    <w:p>
      <w:pPr>
        <w:spacing w:after="140"/>
      </w:pPr>
      <w:r>
        <w:rPr>
          <w:rFonts w:ascii="Arial" w:cs="Arial" w:eastAsia="Arial" w:hAnsi="Arial"/>
          <w:color w:val="1A1A1A"/>
          <w:sz w:val="26"/>
          <w:szCs w:val="26"/>
        </w:rPr>
        <w:t xml:space="preserve">The book is organized into five Parts containing 22 chapters, plus three Appendices. Estimated total: 80,000–90,000 words.</w:t>
      </w:r>
    </w:p>
    <w:p>
      <w:pPr>
        <w:spacing w:after="80"/>
      </w:pPr>
      <w:r>
        <w:rPr>
          <w:rFonts w:ascii="Arial" w:cs="Arial" w:eastAsia="Arial" w:hAnsi="Arial"/>
          <w:color w:val="1A1A1A"/>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426"/>
        <w:gridCol w:w="1600"/>
      </w:tblGrid>
      <w:tr>
        <w:tc>
          <w:tcPr>
            <w:tcW w:type="dxa" w:w="2000"/>
            <w:tcBorders>
              <w:top w:val="single" w:color="CCCCCC" w:sz="2"/>
              <w:left w:val="single" w:color="CCCCCC" w:sz="2"/>
              <w:bottom w:val="single" w:color="CCCCCC" w:sz="2"/>
              <w:right w:val="single" w:color="CCCCCC" w:sz="2"/>
            </w:tcBorders>
            <w:shd w:fill="F5F5F5" w:val="clear"/>
            <w:tcMar>
              <w:top w:type="dxa" w:w="100"/>
              <w:left w:type="dxa" w:w="140"/>
              <w:bottom w:type="dxa" w:w="100"/>
              <w:right w:type="dxa" w:w="140"/>
            </w:tcMar>
          </w:tcPr>
          <w:p>
            <w:pPr>
              <w:spacing w:after="0"/>
            </w:pPr>
            <w:r>
              <w:rPr>
                <w:rFonts w:ascii="Arial" w:cs="Arial" w:eastAsia="Arial" w:hAnsi="Arial"/>
                <w:b/>
                <w:bCs/>
                <w:color w:val="1F3864"/>
                <w:sz w:val="20"/>
                <w:szCs w:val="20"/>
              </w:rPr>
              <w:t xml:space="preserve">Component</w:t>
            </w:r>
          </w:p>
        </w:tc>
        <w:tc>
          <w:tcPr>
            <w:tcW w:type="dxa" w:w="5426"/>
            <w:tcBorders>
              <w:top w:val="single" w:color="CCCCCC" w:sz="2"/>
              <w:left w:val="single" w:color="CCCCCC" w:sz="2"/>
              <w:bottom w:val="single" w:color="CCCCCC" w:sz="2"/>
              <w:right w:val="single" w:color="CCCCCC" w:sz="2"/>
            </w:tcBorders>
            <w:shd w:fill="F5F5F5" w:val="clear"/>
            <w:tcMar>
              <w:top w:type="dxa" w:w="100"/>
              <w:left w:type="dxa" w:w="140"/>
              <w:bottom w:type="dxa" w:w="100"/>
              <w:right w:type="dxa" w:w="140"/>
            </w:tcMar>
          </w:tcPr>
          <w:p>
            <w:pPr>
              <w:spacing w:after="0"/>
            </w:pPr>
            <w:r>
              <w:rPr>
                <w:rFonts w:ascii="Arial" w:cs="Arial" w:eastAsia="Arial" w:hAnsi="Arial"/>
                <w:b/>
                <w:bCs/>
                <w:color w:val="1F3864"/>
                <w:sz w:val="20"/>
                <w:szCs w:val="20"/>
              </w:rPr>
              <w:t xml:space="preserve">Contents</w:t>
            </w:r>
          </w:p>
        </w:tc>
        <w:tc>
          <w:tcPr>
            <w:tcW w:type="dxa" w:w="1600"/>
            <w:tcBorders>
              <w:top w:val="single" w:color="CCCCCC" w:sz="2"/>
              <w:left w:val="single" w:color="CCCCCC" w:sz="2"/>
              <w:bottom w:val="single" w:color="CCCCCC" w:sz="2"/>
              <w:right w:val="single" w:color="CCCCCC" w:sz="2"/>
            </w:tcBorders>
            <w:shd w:fill="F5F5F5" w:val="clear"/>
            <w:tcMar>
              <w:top w:type="dxa" w:w="100"/>
              <w:left w:type="dxa" w:w="140"/>
              <w:bottom w:type="dxa" w:w="100"/>
              <w:right w:type="dxa" w:w="140"/>
            </w:tcMar>
          </w:tcPr>
          <w:p>
            <w:pPr>
              <w:spacing w:after="0"/>
            </w:pPr>
            <w:r>
              <w:rPr>
                <w:rFonts w:ascii="Arial" w:cs="Arial" w:eastAsia="Arial" w:hAnsi="Arial"/>
                <w:b/>
                <w:bCs/>
                <w:color w:val="1F3864"/>
                <w:sz w:val="20"/>
                <w:szCs w:val="20"/>
              </w:rPr>
              <w:t xml:space="preserve">Words (est.)</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About This Book</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Conventions, icons, how to navigate the book</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~1,500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PART 1</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Getting Your Head Around Declarative Thinking</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1</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So You Want to Program Differently</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~3,000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What is declarative programming? | The restaurant analogy | A taste of Haskell and Prolog side by side</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2</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Two Flavours of Declarative: Functions vs Logic</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~3,000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Pure functions | Facts and rules | Haskell vs Prolog comparison table</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3</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Setting Up Your Toolbox</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~2,500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Installing Hugs | Installing SWI-Prolog | Your first program in each language</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PART 2</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Functional Programming with Haskell</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4</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Your First Haskell Functions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~4,000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Function anatomy | Type signatures | Guards, case, if-then-else, where | 5 exercises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5</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Types — Haskell's Superpower</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~3,500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Type classes (Eq, Ord, Num, Fractional) | Type aliases | Reading type signatures | 3 exercises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6</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Lists: The Bread and Butter of Haskell</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~4,000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List operations | Ranges | Extended list notation (comprehensions) | 5 exercises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7</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Pattern Matching and Tuples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~3,500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Matching on lists and values | Wildcards | Pattern aliases | Tuples | 4 exercises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8</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Recursion: The Loop That Isn't a Loop</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~4,500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Mathematical induction recipe | numElements step-by-step | Implementing foldl | 5 exercises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9</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Higher-Order Functions, Currying, and Composition</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~4,000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map, filter, foldr/foldl | Currying and partial application | The dot operator | 4 exercises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10</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Lazy Evaluation: Infinite Lists and Other Magic</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~3,000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Lazy vs eager | Infinite lists | take, takeWhile | 3 exercises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PART 3</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Logic Programming with Prolog</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11</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Logic, Facts, and Rules — Welcome to Prolog</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~4,000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Facts and rules | Queries | Closed-world assumption | 3 exercises (family tree, animal taxonomy, movie DB)</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12</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Unification: The Heart of Prolog</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~4,000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What unification means | =, ==, is, =:= | Variable scope | 3 exercises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13</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Lists in Prolog</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~4,000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Head|tail pattern | Recursive list predicates | Classic algorithms | 5 exercises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14</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Trees and Graphs in Prolog</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~4,500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Binary &amp; generic trees as terms | Graph representations | Path-finding | 4 exercises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15</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Controlling Execution: The Cut and Beyond</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~3,500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Resolution algorithm | Green vs red cuts | Negation-as-failure | 3 exercises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16</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Solving Problems with States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~4,000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State-space framework | Missionaries &amp; Cannibals | Towers of Hanoi | Water Jug | 8-puzzle</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PART 4</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Putting It All Into Practice</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17</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Haskell Lab Sessions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~5,000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5 labs: Hugs setup, list comprehensions, recursion, HOF, exam-style problems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18</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Prolog Lab Sessions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~5,000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5 labs: unification, list predicates, trees, graphs, state-space problems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19</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Exam-Style Exercises with Worked Solutions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~4,000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Approach methodology | Longest Common Subsequence (Haskell) | N-Queens (Prolog)</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PART 5</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The Part of Tens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20</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Ten Classic Declarative Programs You Should Know</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~2,000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21</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Ten Common Mistakes (And How to Fix Them)</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~2,000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22</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Ten Resources to Deepen Your Knowledge</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~1,500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Appendix A</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Haskell Quick Reference Card</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~1,000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Appendix B</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Prolog Quick Reference Card</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~1,000</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Appendix C</w:t>
            </w:r>
          </w:p>
        </w:tc>
        <w:tc>
          <w:tcPr>
            <w:tcW w:type="dxa" w:w="54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Glossary (20 key terms)</w:t>
            </w:r>
          </w:p>
        </w:tc>
        <w:tc>
          <w:tcPr>
            <w:tcW w:type="dxa" w:w="1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~1,500</w:t>
            </w:r>
          </w:p>
        </w:tc>
      </w:tr>
    </w:tbl>
    <w:p>
      <w:pPr>
        <w:spacing w:after="160"/>
      </w:pPr>
      <w:r>
        <w:rPr>
          <w:rFonts w:ascii="Arial" w:cs="Arial" w:eastAsia="Arial" w:hAnsi="Arial"/>
          <w:color w:val="1A1A1A"/>
          <w:sz w:val="24"/>
          <w:szCs w:val="24"/>
        </w:rPr>
        <w:t xml:space="preserve"/>
      </w:r>
    </w:p>
    <w:p>
      <w:pPr>
        <w:pBdr>
          <w:bottom w:val="single" w:color="DDDDDD" w:sz="4" w:space="1"/>
        </w:pBdr>
        <w:spacing w:before="80" w:after="200"/>
      </w:pPr>
      <w:r>
        <w:rPr>
          <w:rFonts w:ascii="Arial" w:cs="Arial" w:eastAsia="Arial" w:hAnsi="Arial"/>
          <w:color w:val="1A1A1A"/>
          <w:sz w:val="24"/>
          <w:szCs w:val="24"/>
        </w:rPr>
        <w:t xml:space="preserve"/>
      </w:r>
    </w:p>
    <w:p>
      <w:pPr>
        <w:pStyle w:val="Heading2"/>
        <w:spacing w:before="300" w:after="140"/>
      </w:pPr>
      <w:r>
        <w:rPr>
          <w:rFonts w:ascii="Arial" w:cs="Arial" w:eastAsia="Arial" w:hAnsi="Arial"/>
          <w:b/>
          <w:bCs/>
          <w:color w:val="2E5F9E"/>
          <w:sz w:val="28"/>
          <w:szCs w:val="28"/>
        </w:rPr>
        <w:t xml:space="preserve">3.3  Sample Materials</w:t>
      </w:r>
    </w:p>
    <w:p>
      <w:pPr>
        <w:spacing w:after="140"/>
      </w:pPr>
      <w:r>
        <w:rPr>
          <w:rFonts w:ascii="Arial" w:cs="Arial" w:eastAsia="Arial" w:hAnsi="Arial"/>
          <w:color w:val="1A1A1A"/>
          <w:sz w:val="26"/>
          <w:szCs w:val="26"/>
        </w:rPr>
        <w:t xml:space="preserve">A fully developed sample chapter is available on request. The proposed sample is Chapter 8 (Recursion: The Loop That Isn't a Loop), which demonstrates the book's signature induction-based pedagogy, its use of the 'In This Chapter' box, callout box system (Tip, Remember, Warning, Technical Stuff, Try It), and progressive exercise structure.</w:t>
      </w:r>
    </w:p>
    <w:p>
      <w:pPr>
        <w:spacing w:after="140"/>
      </w:pPr>
      <w:r>
        <w:rPr>
          <w:rFonts w:ascii="Arial" w:cs="Arial" w:eastAsia="Arial" w:hAnsi="Arial"/>
          <w:color w:val="1A1A1A"/>
          <w:sz w:val="26"/>
          <w:szCs w:val="26"/>
        </w:rPr>
        <w:t xml:space="preserve">In addition, the authors have produced the following materials that can be made available to the Editor:</w:t>
      </w:r>
    </w:p>
    <w:p>
      <w:pPr>
        <w:pStyle w:val="ListParagraph"/>
        <w:numPr>
          <w:ilvl w:val="0"/>
          <w:numId w:val="2"/>
        </w:numPr>
        <w:spacing w:after="80"/>
      </w:pPr>
      <w:r>
        <w:rPr>
          <w:rFonts w:ascii="Arial" w:cs="Arial" w:eastAsia="Arial" w:hAnsi="Arial"/>
          <w:color w:val="1A1A1A"/>
          <w:sz w:val="24"/>
          <w:szCs w:val="24"/>
        </w:rPr>
        <w:t xml:space="preserve">Complete English translation of the original 148-page teaching manual (Programación Declarativa, Universidad de Huelva, 2021).</w:t>
      </w:r>
    </w:p>
    <w:p>
      <w:pPr>
        <w:pStyle w:val="ListParagraph"/>
        <w:numPr>
          <w:ilvl w:val="0"/>
          <w:numId w:val="2"/>
        </w:numPr>
        <w:spacing w:after="80"/>
      </w:pPr>
      <w:r>
        <w:rPr>
          <w:rFonts w:ascii="Arial" w:cs="Arial" w:eastAsia="Arial" w:hAnsi="Arial"/>
          <w:color w:val="1A1A1A"/>
          <w:sz w:val="24"/>
          <w:szCs w:val="24"/>
        </w:rPr>
        <w:t xml:space="preserve">Full structural draft of all 22 chapters with section outlines, callout boxes, and exercise sets.</w:t>
      </w:r>
    </w:p>
    <w:p>
      <w:pPr>
        <w:pStyle w:val="ListParagraph"/>
        <w:numPr>
          <w:ilvl w:val="0"/>
          <w:numId w:val="2"/>
        </w:numPr>
        <w:spacing w:after="80"/>
      </w:pPr>
      <w:r>
        <w:rPr>
          <w:rFonts w:ascii="Arial" w:cs="Arial" w:eastAsia="Arial" w:hAnsi="Arial"/>
          <w:color w:val="1A1A1A"/>
          <w:sz w:val="24"/>
          <w:szCs w:val="24"/>
        </w:rPr>
        <w:t xml:space="preserve">Illustration brief with visual style guide and AI-generation prompts for 14 chapter illustrations.</w:t>
      </w:r>
    </w:p>
    <w:p>
      <w:pPr>
        <w:pStyle w:val="ListParagraph"/>
        <w:numPr>
          <w:ilvl w:val="0"/>
          <w:numId w:val="2"/>
        </w:numPr>
        <w:spacing w:after="80"/>
      </w:pPr>
      <w:r>
        <w:rPr>
          <w:rFonts w:ascii="Arial" w:cs="Arial" w:eastAsia="Arial" w:hAnsi="Arial"/>
          <w:color w:val="1A1A1A"/>
          <w:sz w:val="24"/>
          <w:szCs w:val="24"/>
        </w:rPr>
        <w:t xml:space="preserve">README document summarising all project deliverables and methodology.</w:t>
      </w:r>
    </w:p>
    <w:p>
      <w:pPr>
        <w:spacing w:after="80"/>
      </w:pPr>
      <w:r>
        <w:rPr>
          <w:rFonts w:ascii="Arial" w:cs="Arial" w:eastAsia="Arial" w:hAnsi="Arial"/>
          <w:color w:val="1A1A1A"/>
          <w:sz w:val="24"/>
          <w:szCs w:val="24"/>
        </w:rPr>
        <w:t xml:space="preserve"/>
      </w:r>
    </w:p>
    <w:p>
      <w:pPr>
        <w:pStyle w:val="Heading3"/>
        <w:spacing w:before="220" w:after="100"/>
      </w:pPr>
      <w:r>
        <w:rPr>
          <w:rFonts w:ascii="Arial" w:cs="Arial" w:eastAsia="Arial" w:hAnsi="Arial"/>
          <w:b/>
          <w:bCs/>
          <w:color w:val="1A1A1A"/>
          <w:sz w:val="24"/>
          <w:szCs w:val="24"/>
        </w:rPr>
        <w:t xml:space="preserve">Prior Publications</w:t>
      </w:r>
    </w:p>
    <w:p>
      <w:pPr>
        <w:spacing w:after="120"/>
      </w:pPr>
      <w:r>
        <w:rPr>
          <w:rFonts w:ascii="Arial" w:cs="Arial" w:eastAsia="Arial" w:hAnsi="Arial"/>
          <w:color w:val="1A1A1A"/>
          <w:sz w:val="24"/>
          <w:szCs w:val="24"/>
        </w:rPr>
        <w:t xml:space="preserve">Carpio Cañada, J., Aranda Corral, G.A., Marco de la Rosa, J. (2021). </w:t>
      </w:r>
      <w:r>
        <w:rPr>
          <w:rFonts w:ascii="Arial" w:cs="Arial" w:eastAsia="Arial" w:hAnsi="Arial"/>
          <w:i/>
          <w:iCs/>
          <w:color w:val="1A1A1A"/>
          <w:sz w:val="24"/>
          <w:szCs w:val="24"/>
        </w:rPr>
        <w:t xml:space="preserve">Programación Declarativa. </w:t>
      </w:r>
      <w:r>
        <w:rPr>
          <w:rFonts w:ascii="Arial" w:cs="Arial" w:eastAsia="Arial" w:hAnsi="Arial"/>
          <w:color w:val="1A1A1A"/>
          <w:sz w:val="24"/>
          <w:szCs w:val="24"/>
        </w:rPr>
        <w:t xml:space="preserve">Teaching Books [95]. Servicio de Publicaciones, Universidad de Huelva. ISBN pending.</w:t>
      </w:r>
    </w:p>
    <w:p>
      <w:pPr>
        <w:pBdr>
          <w:bottom w:val="single" w:color="DDDDDD" w:sz="4" w:space="1"/>
        </w:pBdr>
        <w:spacing w:before="80" w:after="200"/>
      </w:pPr>
      <w:r>
        <w:rPr>
          <w:rFonts w:ascii="Arial" w:cs="Arial" w:eastAsia="Arial" w:hAnsi="Arial"/>
          <w:color w:val="1A1A1A"/>
          <w:sz w:val="24"/>
          <w:szCs w:val="24"/>
        </w:rPr>
        <w:t xml:space="preserve"/>
      </w:r>
    </w:p>
    <w:p>
      <w:pPr>
        <w:spacing w:after="240"/>
      </w:pPr>
      <w:r>
        <w:rPr>
          <w:rFonts w:ascii="Arial" w:cs="Arial" w:eastAsia="Arial" w:hAnsi="Arial"/>
          <w:color w:val="1A1A1A"/>
          <w:sz w:val="24"/>
          <w:szCs w:val="24"/>
        </w:rPr>
        <w:t xml:space="preserve"/>
      </w:r>
    </w:p>
    <w:p>
      <w:pPr>
        <w:spacing w:before="0" w:after="40"/>
      </w:pPr>
      <w:r>
        <w:rPr>
          <w:rFonts w:ascii="Arial" w:cs="Arial" w:eastAsia="Arial" w:hAnsi="Arial"/>
          <w:b/>
          <w:bCs/>
          <w:color w:val="C8A600"/>
          <w:spacing w:val="120"/>
          <w:sz w:val="18"/>
          <w:szCs w:val="18"/>
        </w:rPr>
        <w:t xml:space="preserve">THE WHY</w:t>
      </w:r>
    </w:p>
    <w:p>
      <w:pPr>
        <w:pStyle w:val="Heading1"/>
        <w:pBdr>
          <w:bottom w:val="single" w:color="C8A600" w:sz="8" w:space="6"/>
        </w:pBdr>
        <w:spacing w:before="0" w:after="200"/>
      </w:pPr>
      <w:r>
        <w:rPr>
          <w:rFonts w:ascii="Arial" w:cs="Arial" w:eastAsia="Arial" w:hAnsi="Arial"/>
          <w:b/>
          <w:bCs/>
          <w:color w:val="1F3864"/>
          <w:sz w:val="36"/>
          <w:szCs w:val="36"/>
        </w:rPr>
        <w:t xml:space="preserve">Market Analysis</w:t>
      </w:r>
    </w:p>
    <w:p>
      <w:pPr>
        <w:pStyle w:val="Heading2"/>
        <w:spacing w:before="300" w:after="140"/>
      </w:pPr>
      <w:r>
        <w:rPr>
          <w:rFonts w:ascii="Arial" w:cs="Arial" w:eastAsia="Arial" w:hAnsi="Arial"/>
          <w:b/>
          <w:bCs/>
          <w:color w:val="2E5F9E"/>
          <w:sz w:val="28"/>
          <w:szCs w:val="28"/>
        </w:rPr>
        <w:t xml:space="preserve">4.1  Why Is There a Need for This Book?</w:t>
      </w:r>
    </w:p>
    <w:p>
      <w:pPr>
        <w:spacing w:after="140"/>
      </w:pPr>
      <w:r>
        <w:rPr>
          <w:rFonts w:ascii="Arial" w:cs="Arial" w:eastAsia="Arial" w:hAnsi="Arial"/>
          <w:color w:val="1A1A1A"/>
          <w:sz w:val="26"/>
          <w:szCs w:val="26"/>
        </w:rPr>
        <w:t xml:space="preserve">Three converging trends make this book both timely and necessary:</w:t>
      </w:r>
    </w:p>
    <w:p>
      <w:pPr>
        <w:spacing w:after="60"/>
      </w:pPr>
      <w:r>
        <w:rPr>
          <w:rFonts w:ascii="Arial" w:cs="Arial" w:eastAsia="Arial" w:hAnsi="Arial"/>
          <w:color w:val="1A1A1A"/>
          <w:sz w:val="24"/>
          <w:szCs w:val="24"/>
        </w:rPr>
        <w:t xml:space="preserve"/>
      </w:r>
    </w:p>
    <w:p>
      <w:pPr>
        <w:pStyle w:val="Heading4"/>
        <w:spacing w:before="160" w:after="80"/>
      </w:pPr>
      <w:r>
        <w:rPr>
          <w:rFonts w:ascii="Arial" w:cs="Arial" w:eastAsia="Arial" w:hAnsi="Arial"/>
          <w:b/>
          <w:bCs/>
          <w:i/>
          <w:iCs/>
          <w:color w:val="595959"/>
          <w:sz w:val="24"/>
          <w:szCs w:val="24"/>
        </w:rPr>
        <w:t xml:space="preserve">1. Functional programming has entered the mainstream</w:t>
      </w:r>
    </w:p>
    <w:p>
      <w:pPr>
        <w:spacing w:after="140"/>
      </w:pPr>
      <w:r>
        <w:rPr>
          <w:rFonts w:ascii="Arial" w:cs="Arial" w:eastAsia="Arial" w:hAnsi="Arial"/>
          <w:color w:val="1A1A1A"/>
          <w:sz w:val="26"/>
          <w:szCs w:val="26"/>
        </w:rPr>
        <w:t xml:space="preserve">Languages like Scala, Kotlin, Swift, and Rust have brought functional programming concepts — immutability, pure functions, pattern matching, higher-order functions — into everyday software development. JavaScript developers use map/filter/reduce daily. Python programmers use list comprehensions. Yet few of these practitioners have any formal grounding in the underlying theory. Haskell, the purest functional language, is the fastest path to that grounding. Demand for Haskell literacy is growing.</w:t>
      </w:r>
    </w:p>
    <w:p>
      <w:pPr>
        <w:spacing w:after="40"/>
      </w:pPr>
      <w:r>
        <w:rPr>
          <w:rFonts w:ascii="Arial" w:cs="Arial" w:eastAsia="Arial" w:hAnsi="Arial"/>
          <w:color w:val="1A1A1A"/>
          <w:sz w:val="24"/>
          <w:szCs w:val="24"/>
        </w:rPr>
        <w:t xml:space="preserve"/>
      </w:r>
    </w:p>
    <w:p>
      <w:pPr>
        <w:pStyle w:val="Heading4"/>
        <w:spacing w:before="160" w:after="80"/>
      </w:pPr>
      <w:r>
        <w:rPr>
          <w:rFonts w:ascii="Arial" w:cs="Arial" w:eastAsia="Arial" w:hAnsi="Arial"/>
          <w:b/>
          <w:bCs/>
          <w:i/>
          <w:iCs/>
          <w:color w:val="595959"/>
          <w:sz w:val="24"/>
          <w:szCs w:val="24"/>
        </w:rPr>
        <w:t xml:space="preserve">2. Logic programming is experiencing a quiet renaissance</w:t>
      </w:r>
    </w:p>
    <w:p>
      <w:pPr>
        <w:spacing w:after="140"/>
      </w:pPr>
      <w:r>
        <w:rPr>
          <w:rFonts w:ascii="Arial" w:cs="Arial" w:eastAsia="Arial" w:hAnsi="Arial"/>
          <w:color w:val="1A1A1A"/>
          <w:sz w:val="26"/>
          <w:szCs w:val="26"/>
        </w:rPr>
        <w:t xml:space="preserve">Constraint programming, answer set programming, and Datalog — all descendants of Prolog — are central to modern AI, knowledge graph systems, and database query optimization. Prolog itself is required in many CS curricula precisely because it teaches search, backtracking, and knowledge representation in a way no other language can. A friendly introduction has been needed for years.</w:t>
      </w:r>
    </w:p>
    <w:p>
      <w:pPr>
        <w:spacing w:after="40"/>
      </w:pPr>
      <w:r>
        <w:rPr>
          <w:rFonts w:ascii="Arial" w:cs="Arial" w:eastAsia="Arial" w:hAnsi="Arial"/>
          <w:color w:val="1A1A1A"/>
          <w:sz w:val="24"/>
          <w:szCs w:val="24"/>
        </w:rPr>
        <w:t xml:space="preserve"/>
      </w:r>
    </w:p>
    <w:p>
      <w:pPr>
        <w:pStyle w:val="Heading4"/>
        <w:spacing w:before="160" w:after="80"/>
      </w:pPr>
      <w:r>
        <w:rPr>
          <w:rFonts w:ascii="Arial" w:cs="Arial" w:eastAsia="Arial" w:hAnsi="Arial"/>
          <w:b/>
          <w:bCs/>
          <w:i/>
          <w:iCs/>
          <w:color w:val="595959"/>
          <w:sz w:val="24"/>
          <w:szCs w:val="24"/>
        </w:rPr>
        <w:t xml:space="preserve">3. The existing textbooks are showing their age</w:t>
      </w:r>
    </w:p>
    <w:p>
      <w:pPr>
        <w:spacing w:after="140"/>
      </w:pPr>
      <w:r>
        <w:rPr>
          <w:rFonts w:ascii="Arial" w:cs="Arial" w:eastAsia="Arial" w:hAnsi="Arial"/>
          <w:color w:val="1A1A1A"/>
          <w:sz w:val="26"/>
          <w:szCs w:val="26"/>
        </w:rPr>
        <w:t xml:space="preserve">The standard Prolog textbooks (Bratko 1990, Clocksin &amp; Mellish 1994) are over 30 years old. The standard Haskell learning resource (Learn You a Haskell, 2011) was designed for self-directed enthusiasts, not students. Real World Haskell targets experienced developers. No current textbook covers both languages, and none has the accessibility of the For Dummies format. This proposal fills that gap directly.</w:t>
      </w:r>
    </w:p>
    <w:p>
      <w:pPr>
        <w:pStyle w:val="Heading2"/>
        <w:spacing w:before="300" w:after="140"/>
      </w:pPr>
      <w:r>
        <w:rPr>
          <w:rFonts w:ascii="Arial" w:cs="Arial" w:eastAsia="Arial" w:hAnsi="Arial"/>
          <w:b/>
          <w:bCs/>
          <w:color w:val="2E5F9E"/>
          <w:sz w:val="28"/>
          <w:szCs w:val="28"/>
        </w:rPr>
        <w:t xml:space="preserve">4.2  Who Needs This Book?</w:t>
      </w:r>
    </w:p>
    <w:p>
      <w:pPr>
        <w:pStyle w:val="Heading3"/>
        <w:spacing w:before="220" w:after="100"/>
      </w:pPr>
      <w:r>
        <w:rPr>
          <w:rFonts w:ascii="Arial" w:cs="Arial" w:eastAsia="Arial" w:hAnsi="Arial"/>
          <w:b/>
          <w:bCs/>
          <w:color w:val="1A1A1A"/>
          <w:sz w:val="24"/>
          <w:szCs w:val="24"/>
        </w:rPr>
        <w:t xml:space="preserve">Primary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126"/>
        <w:gridCol w:w="2300"/>
      </w:tblGrid>
      <w:tr>
        <w:tc>
          <w:tcPr>
            <w:tcW w:type="dxa" w:w="2600"/>
            <w:tcBorders>
              <w:top w:val="single" w:color="CCCCCC" w:sz="2"/>
              <w:left w:val="single" w:color="CCCCCC" w:sz="2"/>
              <w:bottom w:val="single" w:color="CCCCCC" w:sz="2"/>
              <w:right w:val="single" w:color="CCCCCC" w:sz="2"/>
            </w:tcBorders>
            <w:shd w:fill="F5F5F5" w:val="clear"/>
            <w:tcMar>
              <w:top w:type="dxa" w:w="100"/>
              <w:left w:type="dxa" w:w="140"/>
              <w:bottom w:type="dxa" w:w="100"/>
              <w:right w:type="dxa" w:w="140"/>
            </w:tcMar>
          </w:tcPr>
          <w:p>
            <w:pPr>
              <w:spacing w:after="0"/>
            </w:pPr>
            <w:r>
              <w:rPr>
                <w:rFonts w:ascii="Arial" w:cs="Arial" w:eastAsia="Arial" w:hAnsi="Arial"/>
                <w:b/>
                <w:bCs/>
                <w:color w:val="1F3864"/>
                <w:sz w:val="20"/>
                <w:szCs w:val="20"/>
              </w:rPr>
              <w:t xml:space="preserve">Audience segment</w:t>
            </w:r>
          </w:p>
        </w:tc>
        <w:tc>
          <w:tcPr>
            <w:tcW w:type="dxa" w:w="4126"/>
            <w:tcBorders>
              <w:top w:val="single" w:color="CCCCCC" w:sz="2"/>
              <w:left w:val="single" w:color="CCCCCC" w:sz="2"/>
              <w:bottom w:val="single" w:color="CCCCCC" w:sz="2"/>
              <w:right w:val="single" w:color="CCCCCC" w:sz="2"/>
            </w:tcBorders>
            <w:shd w:fill="F5F5F5" w:val="clear"/>
            <w:tcMar>
              <w:top w:type="dxa" w:w="100"/>
              <w:left w:type="dxa" w:w="140"/>
              <w:bottom w:type="dxa" w:w="100"/>
              <w:right w:type="dxa" w:w="140"/>
            </w:tcMar>
          </w:tcPr>
          <w:p>
            <w:pPr>
              <w:spacing w:after="0"/>
            </w:pPr>
            <w:r>
              <w:rPr>
                <w:rFonts w:ascii="Arial" w:cs="Arial" w:eastAsia="Arial" w:hAnsi="Arial"/>
                <w:b/>
                <w:bCs/>
                <w:color w:val="1F3864"/>
                <w:sz w:val="20"/>
                <w:szCs w:val="20"/>
              </w:rPr>
              <w:t xml:space="preserve">Description</w:t>
            </w:r>
          </w:p>
        </w:tc>
        <w:tc>
          <w:tcPr>
            <w:tcW w:type="dxa" w:w="2300"/>
            <w:tcBorders>
              <w:top w:val="single" w:color="CCCCCC" w:sz="2"/>
              <w:left w:val="single" w:color="CCCCCC" w:sz="2"/>
              <w:bottom w:val="single" w:color="CCCCCC" w:sz="2"/>
              <w:right w:val="single" w:color="CCCCCC" w:sz="2"/>
            </w:tcBorders>
            <w:shd w:fill="F5F5F5" w:val="clear"/>
            <w:tcMar>
              <w:top w:type="dxa" w:w="100"/>
              <w:left w:type="dxa" w:w="140"/>
              <w:bottom w:type="dxa" w:w="100"/>
              <w:right w:type="dxa" w:w="140"/>
            </w:tcMar>
          </w:tcPr>
          <w:p>
            <w:pPr>
              <w:spacing w:after="0"/>
            </w:pPr>
            <w:r>
              <w:rPr>
                <w:rFonts w:ascii="Arial" w:cs="Arial" w:eastAsia="Arial" w:hAnsi="Arial"/>
                <w:b/>
                <w:bCs/>
                <w:color w:val="1F3864"/>
                <w:sz w:val="20"/>
                <w:szCs w:val="20"/>
              </w:rPr>
              <w:t xml:space="preserve">Size indicator</w:t>
            </w:r>
          </w:p>
        </w:tc>
      </w:tr>
      <w:tr>
        <w:tc>
          <w:tcPr>
            <w:tcW w:type="dxa" w:w="2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Undergraduate CS students</w:t>
            </w:r>
          </w:p>
        </w:tc>
        <w:tc>
          <w:tcPr>
            <w:tcW w:type="dxa" w:w="41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Taking a required Declarative/Functional Programming course. The book serves as primary course text.</w:t>
            </w:r>
          </w:p>
        </w:tc>
        <w:tc>
          <w:tcPr>
            <w:tcW w:type="dxa" w:w="23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~500,000 enrolled globally in relevant courses per year</w:t>
            </w:r>
          </w:p>
        </w:tc>
      </w:tr>
      <w:tr>
        <w:tc>
          <w:tcPr>
            <w:tcW w:type="dxa" w:w="2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Self-taught programmers</w:t>
            </w:r>
          </w:p>
        </w:tc>
        <w:tc>
          <w:tcPr>
            <w:tcW w:type="dxa" w:w="41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Developers with 1–5 years of imperative experience wanting to add functional/logic skills.</w:t>
            </w:r>
          </w:p>
        </w:tc>
        <w:tc>
          <w:tcPr>
            <w:tcW w:type="dxa" w:w="23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Large and growing; FP skills increasingly demanded in job postings</w:t>
            </w:r>
          </w:p>
        </w:tc>
      </w:tr>
      <w:tr>
        <w:tc>
          <w:tcPr>
            <w:tcW w:type="dxa" w:w="2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Graduate students (CS/AI)</w:t>
            </w:r>
          </w:p>
        </w:tc>
        <w:tc>
          <w:tcPr>
            <w:tcW w:type="dxa" w:w="41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Using the book as a supplementary reference for courses in AI, programming languages, or formal methods.</w:t>
            </w:r>
          </w:p>
        </w:tc>
        <w:tc>
          <w:tcPr>
            <w:tcW w:type="dxa" w:w="23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Secondary but significant</w:t>
            </w:r>
          </w:p>
        </w:tc>
      </w:tr>
      <w:tr>
        <w:tc>
          <w:tcPr>
            <w:tcW w:type="dxa" w:w="26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Coding bootcamp graduates</w:t>
            </w:r>
          </w:p>
        </w:tc>
        <w:tc>
          <w:tcPr>
            <w:tcW w:type="dxa" w:w="41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Developers with practical skills but limited theoretical foundation, seeking to deepen CS knowledge.</w:t>
            </w:r>
          </w:p>
        </w:tc>
        <w:tc>
          <w:tcPr>
            <w:tcW w:type="dxa" w:w="23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Rapidly growing segment</w:t>
            </w:r>
          </w:p>
        </w:tc>
      </w:tr>
    </w:tbl>
    <w:p>
      <w:pPr>
        <w:spacing w:after="160"/>
      </w:pPr>
      <w:r>
        <w:rPr>
          <w:rFonts w:ascii="Arial" w:cs="Arial" w:eastAsia="Arial" w:hAnsi="Arial"/>
          <w:color w:val="1A1A1A"/>
          <w:sz w:val="24"/>
          <w:szCs w:val="24"/>
        </w:rPr>
        <w:t xml:space="preserve"/>
      </w:r>
    </w:p>
    <w:p>
      <w:pPr>
        <w:pStyle w:val="Heading3"/>
        <w:spacing w:before="220" w:after="100"/>
      </w:pPr>
      <w:r>
        <w:rPr>
          <w:rFonts w:ascii="Arial" w:cs="Arial" w:eastAsia="Arial" w:hAnsi="Arial"/>
          <w:b/>
          <w:bCs/>
          <w:color w:val="1A1A1A"/>
          <w:sz w:val="24"/>
          <w:szCs w:val="24"/>
        </w:rPr>
        <w:t xml:space="preserve">Secondary / Occasional Audience</w:t>
      </w:r>
    </w:p>
    <w:p>
      <w:pPr>
        <w:pStyle w:val="ListParagraph"/>
        <w:numPr>
          <w:ilvl w:val="0"/>
          <w:numId w:val="2"/>
        </w:numPr>
        <w:spacing w:after="80"/>
      </w:pPr>
      <w:r>
        <w:rPr>
          <w:rFonts w:ascii="Arial" w:cs="Arial" w:eastAsia="Arial" w:hAnsi="Arial"/>
          <w:color w:val="1A1A1A"/>
          <w:sz w:val="24"/>
          <w:szCs w:val="24"/>
        </w:rPr>
        <w:t xml:space="preserve">High school CS teachers preparing students for university-level programming theory.</w:t>
      </w:r>
    </w:p>
    <w:p>
      <w:pPr>
        <w:pStyle w:val="ListParagraph"/>
        <w:numPr>
          <w:ilvl w:val="0"/>
          <w:numId w:val="2"/>
        </w:numPr>
        <w:spacing w:after="80"/>
      </w:pPr>
      <w:r>
        <w:rPr>
          <w:rFonts w:ascii="Arial" w:cs="Arial" w:eastAsia="Arial" w:hAnsi="Arial"/>
          <w:color w:val="1A1A1A"/>
          <w:sz w:val="24"/>
          <w:szCs w:val="24"/>
        </w:rPr>
        <w:t xml:space="preserve">Hobbyist programmers with a background in mathematics who want to explore declarative paradigms.</w:t>
      </w:r>
    </w:p>
    <w:p>
      <w:pPr>
        <w:pStyle w:val="ListParagraph"/>
        <w:numPr>
          <w:ilvl w:val="0"/>
          <w:numId w:val="2"/>
        </w:numPr>
        <w:spacing w:after="80"/>
      </w:pPr>
      <w:r>
        <w:rPr>
          <w:rFonts w:ascii="Arial" w:cs="Arial" w:eastAsia="Arial" w:hAnsi="Arial"/>
          <w:color w:val="1A1A1A"/>
          <w:sz w:val="24"/>
          <w:szCs w:val="24"/>
        </w:rPr>
        <w:t xml:space="preserve">Working professionals in AI, knowledge engineering, or formal verification seeking an accessible Prolog refresher.</w:t>
      </w:r>
    </w:p>
    <w:p>
      <w:pPr>
        <w:pStyle w:val="ListParagraph"/>
        <w:numPr>
          <w:ilvl w:val="0"/>
          <w:numId w:val="2"/>
        </w:numPr>
        <w:spacing w:after="80"/>
      </w:pPr>
      <w:r>
        <w:rPr>
          <w:rFonts w:ascii="Arial" w:cs="Arial" w:eastAsia="Arial" w:hAnsi="Arial"/>
          <w:color w:val="1A1A1A"/>
          <w:sz w:val="24"/>
          <w:szCs w:val="24"/>
        </w:rPr>
        <w:t xml:space="preserve">Language designers and PL researchers who want a classroom-tested survey of teaching approaches.</w:t>
      </w:r>
    </w:p>
    <w:p>
      <w:pPr>
        <w:pStyle w:val="Heading2"/>
        <w:spacing w:before="300" w:after="140"/>
      </w:pPr>
      <w:r>
        <w:rPr>
          <w:rFonts w:ascii="Arial" w:cs="Arial" w:eastAsia="Arial" w:hAnsi="Arial"/>
          <w:b/>
          <w:bCs/>
          <w:color w:val="2E5F9E"/>
          <w:sz w:val="28"/>
          <w:szCs w:val="28"/>
        </w:rPr>
        <w:t xml:space="preserve">4.3  Professional Societies and Organisations</w:t>
      </w:r>
    </w:p>
    <w:p>
      <w:pPr>
        <w:spacing w:after="140"/>
      </w:pPr>
      <w:r>
        <w:rPr>
          <w:rFonts w:ascii="Arial" w:cs="Arial" w:eastAsia="Arial" w:hAnsi="Arial"/>
          <w:color w:val="1A1A1A"/>
          <w:sz w:val="26"/>
          <w:szCs w:val="26"/>
        </w:rPr>
        <w:t xml:space="preserve">The following professional organisations represent likely readership communities, in order of relevance:</w:t>
      </w:r>
    </w:p>
    <w:p>
      <w:pPr>
        <w:pStyle w:val="ListParagraph"/>
        <w:numPr>
          <w:ilvl w:val="0"/>
          <w:numId w:val="3"/>
        </w:numPr>
        <w:spacing w:after="80"/>
      </w:pPr>
      <w:r>
        <w:rPr>
          <w:rFonts w:ascii="Arial" w:cs="Arial" w:eastAsia="Arial" w:hAnsi="Arial"/>
          <w:color w:val="1A1A1A"/>
          <w:sz w:val="24"/>
          <w:szCs w:val="24"/>
        </w:rPr>
        <w:t xml:space="preserve">ACM SIGPLAN — Special Interest Group on Programming Languages. ~3,000 active members. Publishes ICFP proceedings (International Conference on Functional Programming).</w:t>
      </w:r>
    </w:p>
    <w:p>
      <w:pPr>
        <w:pStyle w:val="ListParagraph"/>
        <w:numPr>
          <w:ilvl w:val="0"/>
          <w:numId w:val="3"/>
        </w:numPr>
        <w:spacing w:after="80"/>
      </w:pPr>
      <w:r>
        <w:rPr>
          <w:rFonts w:ascii="Arial" w:cs="Arial" w:eastAsia="Arial" w:hAnsi="Arial"/>
          <w:color w:val="1A1A1A"/>
          <w:sz w:val="24"/>
          <w:szCs w:val="24"/>
        </w:rPr>
        <w:t xml:space="preserve">ACM SIGCSE — Special Interest Group on Computer Science Education. ~3,000 members of educators who adopt course textbooks. Direct channel for adoption.</w:t>
      </w:r>
    </w:p>
    <w:p>
      <w:pPr>
        <w:pStyle w:val="ListParagraph"/>
        <w:numPr>
          <w:ilvl w:val="0"/>
          <w:numId w:val="3"/>
        </w:numPr>
        <w:spacing w:after="80"/>
      </w:pPr>
      <w:r>
        <w:rPr>
          <w:rFonts w:ascii="Arial" w:cs="Arial" w:eastAsia="Arial" w:hAnsi="Arial"/>
          <w:color w:val="1A1A1A"/>
          <w:sz w:val="24"/>
          <w:szCs w:val="24"/>
        </w:rPr>
        <w:t xml:space="preserve">IEEE Computer Society — Technical Committee on Programming Languages.</w:t>
      </w:r>
    </w:p>
    <w:p>
      <w:pPr>
        <w:pStyle w:val="ListParagraph"/>
        <w:numPr>
          <w:ilvl w:val="0"/>
          <w:numId w:val="3"/>
        </w:numPr>
        <w:spacing w:after="80"/>
      </w:pPr>
      <w:r>
        <w:rPr>
          <w:rFonts w:ascii="Arial" w:cs="Arial" w:eastAsia="Arial" w:hAnsi="Arial"/>
          <w:color w:val="1A1A1A"/>
          <w:sz w:val="24"/>
          <w:szCs w:val="24"/>
        </w:rPr>
        <w:t xml:space="preserve">Haskell.org community — mailing lists, Reddit r/haskell (~65,000 members), Discord servers.</w:t>
      </w:r>
    </w:p>
    <w:p>
      <w:pPr>
        <w:pStyle w:val="ListParagraph"/>
        <w:numPr>
          <w:ilvl w:val="0"/>
          <w:numId w:val="3"/>
        </w:numPr>
        <w:spacing w:after="80"/>
      </w:pPr>
      <w:r>
        <w:rPr>
          <w:rFonts w:ascii="Arial" w:cs="Arial" w:eastAsia="Arial" w:hAnsi="Arial"/>
          <w:color w:val="1A1A1A"/>
          <w:sz w:val="24"/>
          <w:szCs w:val="24"/>
        </w:rPr>
        <w:t xml:space="preserve">SWI-Prolog community — the de facto standard Prolog implementation with an active user base in academia and industry.</w:t>
      </w:r>
    </w:p>
    <w:p>
      <w:pPr>
        <w:pStyle w:val="ListParagraph"/>
        <w:numPr>
          <w:ilvl w:val="0"/>
          <w:numId w:val="3"/>
        </w:numPr>
        <w:spacing w:after="80"/>
      </w:pPr>
      <w:r>
        <w:rPr>
          <w:rFonts w:ascii="Arial" w:cs="Arial" w:eastAsia="Arial" w:hAnsi="Arial"/>
          <w:color w:val="1A1A1A"/>
          <w:sz w:val="24"/>
          <w:szCs w:val="24"/>
        </w:rPr>
        <w:t xml:space="preserve">European Association for Programming Languages and Systems (EAPLS).</w:t>
      </w:r>
    </w:p>
    <w:p>
      <w:pPr>
        <w:pStyle w:val="ListParagraph"/>
        <w:numPr>
          <w:ilvl w:val="0"/>
          <w:numId w:val="3"/>
        </w:numPr>
        <w:spacing w:after="80"/>
      </w:pPr>
      <w:r>
        <w:rPr>
          <w:rFonts w:ascii="Arial" w:cs="Arial" w:eastAsia="Arial" w:hAnsi="Arial"/>
          <w:color w:val="1A1A1A"/>
          <w:sz w:val="24"/>
          <w:szCs w:val="24"/>
        </w:rPr>
        <w:t xml:space="preserve">British Computer Society (BCS) — relevant for the UK academic market.</w:t>
      </w:r>
    </w:p>
    <w:p>
      <w:pPr>
        <w:pStyle w:val="Heading2"/>
        <w:spacing w:before="300" w:after="140"/>
      </w:pPr>
      <w:r>
        <w:rPr>
          <w:rFonts w:ascii="Arial" w:cs="Arial" w:eastAsia="Arial" w:hAnsi="Arial"/>
          <w:b/>
          <w:bCs/>
          <w:color w:val="2E5F9E"/>
          <w:sz w:val="28"/>
          <w:szCs w:val="28"/>
        </w:rPr>
        <w:t xml:space="preserve">4.4  Competitive Analysis</w:t>
      </w:r>
    </w:p>
    <w:p>
      <w:pPr>
        <w:spacing w:after="140"/>
      </w:pPr>
      <w:r>
        <w:rPr>
          <w:rFonts w:ascii="Arial" w:cs="Arial" w:eastAsia="Arial" w:hAnsi="Arial"/>
          <w:color w:val="1A1A1A"/>
          <w:sz w:val="26"/>
          <w:szCs w:val="26"/>
        </w:rPr>
        <w:t xml:space="preserve">No direct competitor offers both Haskell and Prolog in a single accessible volume for general readers. The closest competitors are:</w:t>
      </w:r>
    </w:p>
    <w:p>
      <w:pPr>
        <w:spacing w:after="80"/>
      </w:pPr>
      <w:r>
        <w:rPr>
          <w:rFonts w:ascii="Arial" w:cs="Arial" w:eastAsia="Arial" w:hAnsi="Arial"/>
          <w:color w:val="1A1A1A"/>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CCCCCC" w:sz="2"/>
              <w:left w:val="single" w:color="CCCCCC" w:sz="2"/>
              <w:bottom w:val="single" w:color="CCCCCC" w:sz="2"/>
              <w:right w:val="single" w:color="CCCCCC" w:sz="2"/>
            </w:tcBorders>
            <w:shd w:fill="F5F5F5" w:val="clear"/>
            <w:tcMar>
              <w:top w:type="dxa" w:w="100"/>
              <w:left w:type="dxa" w:w="140"/>
              <w:bottom w:type="dxa" w:w="100"/>
              <w:right w:type="dxa" w:w="140"/>
            </w:tcMar>
          </w:tcPr>
          <w:p>
            <w:pPr>
              <w:spacing w:after="0"/>
            </w:pPr>
            <w:r>
              <w:rPr>
                <w:rFonts w:ascii="Arial" w:cs="Arial" w:eastAsia="Arial" w:hAnsi="Arial"/>
                <w:b/>
                <w:bCs/>
                <w:color w:val="1F3864"/>
                <w:sz w:val="20"/>
                <w:szCs w:val="20"/>
              </w:rPr>
              <w:t xml:space="preserve">Title</w:t>
            </w:r>
          </w:p>
        </w:tc>
        <w:tc>
          <w:tcPr>
            <w:tcW w:type="dxa" w:w="2000"/>
            <w:tcBorders>
              <w:top w:val="single" w:color="CCCCCC" w:sz="2"/>
              <w:left w:val="single" w:color="CCCCCC" w:sz="2"/>
              <w:bottom w:val="single" w:color="CCCCCC" w:sz="2"/>
              <w:right w:val="single" w:color="CCCCCC" w:sz="2"/>
            </w:tcBorders>
            <w:shd w:fill="F5F5F5" w:val="clear"/>
            <w:tcMar>
              <w:top w:type="dxa" w:w="100"/>
              <w:left w:type="dxa" w:w="140"/>
              <w:bottom w:type="dxa" w:w="100"/>
              <w:right w:type="dxa" w:w="140"/>
            </w:tcMar>
          </w:tcPr>
          <w:p>
            <w:pPr>
              <w:spacing w:after="0"/>
            </w:pPr>
            <w:r>
              <w:rPr>
                <w:rFonts w:ascii="Arial" w:cs="Arial" w:eastAsia="Arial" w:hAnsi="Arial"/>
                <w:b/>
                <w:bCs/>
                <w:color w:val="1F3864"/>
                <w:sz w:val="20"/>
                <w:szCs w:val="20"/>
              </w:rPr>
              <w:t xml:space="preserve">Strengths</w:t>
            </w:r>
          </w:p>
        </w:tc>
        <w:tc>
          <w:tcPr>
            <w:tcW w:type="dxa" w:w="2000"/>
            <w:tcBorders>
              <w:top w:val="single" w:color="CCCCCC" w:sz="2"/>
              <w:left w:val="single" w:color="CCCCCC" w:sz="2"/>
              <w:bottom w:val="single" w:color="CCCCCC" w:sz="2"/>
              <w:right w:val="single" w:color="CCCCCC" w:sz="2"/>
            </w:tcBorders>
            <w:shd w:fill="F5F5F5" w:val="clear"/>
            <w:tcMar>
              <w:top w:type="dxa" w:w="100"/>
              <w:left w:type="dxa" w:w="140"/>
              <w:bottom w:type="dxa" w:w="100"/>
              <w:right w:type="dxa" w:w="140"/>
            </w:tcMar>
          </w:tcPr>
          <w:p>
            <w:pPr>
              <w:spacing w:after="0"/>
            </w:pPr>
            <w:r>
              <w:rPr>
                <w:rFonts w:ascii="Arial" w:cs="Arial" w:eastAsia="Arial" w:hAnsi="Arial"/>
                <w:b/>
                <w:bCs/>
                <w:color w:val="1F3864"/>
                <w:sz w:val="20"/>
                <w:szCs w:val="20"/>
              </w:rPr>
              <w:t xml:space="preserve">Weaknesses</w:t>
            </w:r>
          </w:p>
        </w:tc>
        <w:tc>
          <w:tcPr>
            <w:tcW w:type="dxa" w:w="3026"/>
            <w:tcBorders>
              <w:top w:val="single" w:color="CCCCCC" w:sz="2"/>
              <w:left w:val="single" w:color="CCCCCC" w:sz="2"/>
              <w:bottom w:val="single" w:color="CCCCCC" w:sz="2"/>
              <w:right w:val="single" w:color="CCCCCC" w:sz="2"/>
            </w:tcBorders>
            <w:shd w:fill="F5F5F5" w:val="clear"/>
            <w:tcMar>
              <w:top w:type="dxa" w:w="100"/>
              <w:left w:type="dxa" w:w="140"/>
              <w:bottom w:type="dxa" w:w="100"/>
              <w:right w:type="dxa" w:w="140"/>
            </w:tcMar>
          </w:tcPr>
          <w:p>
            <w:pPr>
              <w:spacing w:after="0"/>
            </w:pPr>
            <w:r>
              <w:rPr>
                <w:rFonts w:ascii="Arial" w:cs="Arial" w:eastAsia="Arial" w:hAnsi="Arial"/>
                <w:b/>
                <w:bCs/>
                <w:color w:val="1F3864"/>
                <w:sz w:val="20"/>
                <w:szCs w:val="20"/>
              </w:rPr>
              <w:t xml:space="preserve">How we differ</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Learn You a Haskell for Great Good!
Lipovača (2011)</w:t>
            </w:r>
          </w:p>
        </w:tc>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Charming tone, free online, beloved by enthusiasts</w:t>
            </w:r>
          </w:p>
        </w:tc>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Haskell only; assumes mathematical confidence; no exercises; not suitable as course text</w:t>
            </w:r>
          </w:p>
        </w:tc>
        <w:tc>
          <w:tcPr>
            <w:tcW w:type="dxa" w:w="30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We cover Prolog too; structured exercises; suitable for courses</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Real World Haskell
O'Sullivan et al. (2008)</w:t>
            </w:r>
          </w:p>
        </w:tc>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Comprehensive, practical, targets working developers</w:t>
            </w:r>
          </w:p>
        </w:tc>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Haskell only; steep learning curve; dated (pre-GHC 8); not beginner-friendly</w:t>
            </w:r>
          </w:p>
        </w:tc>
        <w:tc>
          <w:tcPr>
            <w:tcW w:type="dxa" w:w="30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Beginner-first; both languages; current tooling</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Programming in Haskell
Hutton (2016, 2nd ed.)</w:t>
            </w:r>
          </w:p>
        </w:tc>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Rigorous, used in many university courses, well-structured</w:t>
            </w:r>
          </w:p>
        </w:tc>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Academic style, dense; no Prolog; requires mathematical maturity</w:t>
            </w:r>
          </w:p>
        </w:tc>
        <w:tc>
          <w:tcPr>
            <w:tcW w:type="dxa" w:w="30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For Dummies tone; both languages; more exercises</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Prolog Programming for AI
Bratko (2001, 3rd ed.)</w:t>
            </w:r>
          </w:p>
        </w:tc>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Comprehensive Prolog reference, covers AI applications</w:t>
            </w:r>
          </w:p>
        </w:tc>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Prolog only; 25+ years old; not beginner-friendly; no Haskell</w:t>
            </w:r>
          </w:p>
        </w:tc>
        <w:tc>
          <w:tcPr>
            <w:tcW w:type="dxa" w:w="30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Modern; Haskell included; For Dummies accessibility</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The Art of Prolog
Sterling &amp; Shapiro (1994)</w:t>
            </w:r>
          </w:p>
        </w:tc>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Definitive theoretical reference</w:t>
            </w:r>
          </w:p>
        </w:tc>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Prolog only; highly academic; 30+ years old</w:t>
            </w:r>
          </w:p>
        </w:tc>
        <w:tc>
          <w:tcPr>
            <w:tcW w:type="dxa" w:w="30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Both languages; modern; practical focus</w:t>
            </w:r>
          </w:p>
        </w:tc>
      </w:tr>
      <w:tr>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Craft of Functional Programming
Thompson (2016, 3rd ed.)</w:t>
            </w:r>
          </w:p>
        </w:tc>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Solid Haskell course text</w:t>
            </w:r>
          </w:p>
        </w:tc>
        <w:tc>
          <w:tcPr>
            <w:tcW w:type="dxa" w:w="20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Haskell only; somewhat dense; no Prolog</w:t>
            </w:r>
          </w:p>
        </w:tc>
        <w:tc>
          <w:tcPr>
            <w:tcW w:type="dxa" w:w="30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Both languages; more accessible tone</w:t>
            </w:r>
          </w:p>
        </w:tc>
      </w:tr>
    </w:tbl>
    <w:p>
      <w:pPr>
        <w:spacing w:after="160"/>
      </w:pPr>
      <w:r>
        <w:rPr>
          <w:rFonts w:ascii="Arial" w:cs="Arial" w:eastAsia="Arial" w:hAnsi="Arial"/>
          <w:color w:val="1A1A1A"/>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600" w:sz="6"/>
              <w:left w:val="single" w:color="C8A600" w:sz="6"/>
              <w:bottom w:val="single" w:color="C8A600" w:sz="6"/>
              <w:right w:val="single" w:color="C8A600" w:sz="6"/>
            </w:tcBorders>
            <w:shd w:fill="FFF9C4" w:val="clear"/>
            <w:tcMar>
              <w:top w:type="dxa" w:w="120"/>
              <w:left w:type="dxa" w:w="200"/>
              <w:bottom w:type="dxa" w:w="120"/>
              <w:right w:type="dxa" w:w="200"/>
            </w:tcMar>
          </w:tcPr>
          <w:p>
            <w:pPr>
              <w:spacing w:after="80"/>
            </w:pPr>
            <w:r>
              <w:rPr>
                <w:rFonts w:ascii="Arial" w:cs="Arial" w:eastAsia="Arial" w:hAnsi="Arial"/>
                <w:b/>
                <w:bCs/>
                <w:color w:val="C8A600"/>
                <w:sz w:val="21"/>
                <w:szCs w:val="21"/>
              </w:rPr>
              <w:t xml:space="preserve">Key Competitive Advantage</w:t>
            </w:r>
          </w:p>
          <w:p>
            <w:pPr>
              <w:spacing w:after="60"/>
            </w:pPr>
            <w:r>
              <w:rPr>
                <w:rFonts w:ascii="Arial" w:cs="Arial" w:eastAsia="Arial" w:hAnsi="Arial"/>
                <w:color w:val="1A1A1A"/>
                <w:sz w:val="22"/>
                <w:szCs w:val="22"/>
              </w:rPr>
              <w:t xml:space="preserve">No existing trade book or textbook covers both Haskell and Prolog for beginners in a single accessible</w:t>
            </w:r>
          </w:p>
          <w:p>
            <w:pPr>
              <w:spacing w:after="60"/>
            </w:pPr>
            <w:r>
              <w:rPr>
                <w:rFonts w:ascii="Arial" w:cs="Arial" w:eastAsia="Arial" w:hAnsi="Arial"/>
                <w:color w:val="1A1A1A"/>
                <w:sz w:val="22"/>
                <w:szCs w:val="22"/>
              </w:rPr>
              <w:t xml:space="preserve">volume. This book owns that position entirely. The For Dummies brand gives it instant recognition and</w:t>
            </w:r>
          </w:p>
          <w:p>
            <w:pPr>
              <w:spacing w:after="60"/>
            </w:pPr>
            <w:r>
              <w:rPr>
                <w:rFonts w:ascii="Arial" w:cs="Arial" w:eastAsia="Arial" w:hAnsi="Arial"/>
                <w:color w:val="1A1A1A"/>
                <w:sz w:val="22"/>
                <w:szCs w:val="22"/>
              </w:rPr>
              <w:t xml:space="preserve">trust with the exact audience (students, self-learners) who most need it.</w:t>
            </w:r>
          </w:p>
        </w:tc>
      </w:tr>
    </w:tbl>
    <w:p>
      <w:pPr>
        <w:spacing w:after="160"/>
      </w:pPr>
      <w:r>
        <w:rPr>
          <w:rFonts w:ascii="Arial" w:cs="Arial" w:eastAsia="Arial" w:hAnsi="Arial"/>
          <w:color w:val="1A1A1A"/>
          <w:sz w:val="24"/>
          <w:szCs w:val="24"/>
        </w:rPr>
        <w:t xml:space="preserve"/>
      </w:r>
    </w:p>
    <w:p>
      <w:pPr>
        <w:pBdr>
          <w:bottom w:val="single" w:color="DDDDDD" w:sz="4" w:space="1"/>
        </w:pBdr>
        <w:spacing w:before="80" w:after="200"/>
      </w:pPr>
      <w:r>
        <w:rPr>
          <w:rFonts w:ascii="Arial" w:cs="Arial" w:eastAsia="Arial" w:hAnsi="Arial"/>
          <w:color w:val="1A1A1A"/>
          <w:sz w:val="24"/>
          <w:szCs w:val="24"/>
        </w:rPr>
        <w:t xml:space="preserve"/>
      </w:r>
    </w:p>
    <w:p>
      <w:pPr>
        <w:spacing w:after="240"/>
      </w:pPr>
      <w:r>
        <w:rPr>
          <w:rFonts w:ascii="Arial" w:cs="Arial" w:eastAsia="Arial" w:hAnsi="Arial"/>
          <w:color w:val="1A1A1A"/>
          <w:sz w:val="24"/>
          <w:szCs w:val="24"/>
        </w:rPr>
        <w:t xml:space="preserve"/>
      </w:r>
    </w:p>
    <w:p>
      <w:pPr>
        <w:spacing w:before="0" w:after="40"/>
      </w:pPr>
      <w:r>
        <w:rPr>
          <w:rFonts w:ascii="Arial" w:cs="Arial" w:eastAsia="Arial" w:hAnsi="Arial"/>
          <w:b/>
          <w:bCs/>
          <w:color w:val="C8A600"/>
          <w:spacing w:val="120"/>
          <w:sz w:val="18"/>
          <w:szCs w:val="18"/>
        </w:rPr>
        <w:t xml:space="preserve">THE HOW</w:t>
      </w:r>
    </w:p>
    <w:p>
      <w:pPr>
        <w:pStyle w:val="Heading1"/>
        <w:pBdr>
          <w:bottom w:val="single" w:color="C8A600" w:sz="8" w:space="6"/>
        </w:pBdr>
        <w:spacing w:before="0" w:after="200"/>
      </w:pPr>
      <w:r>
        <w:rPr>
          <w:rFonts w:ascii="Arial" w:cs="Arial" w:eastAsia="Arial" w:hAnsi="Arial"/>
          <w:b/>
          <w:bCs/>
          <w:color w:val="1F3864"/>
          <w:sz w:val="36"/>
          <w:szCs w:val="36"/>
        </w:rPr>
        <w:t xml:space="preserve">Manuscript Details</w:t>
      </w:r>
    </w:p>
    <w:p>
      <w:pPr>
        <w:pStyle w:val="Heading2"/>
        <w:spacing w:before="300" w:after="140"/>
      </w:pPr>
      <w:r>
        <w:rPr>
          <w:rFonts w:ascii="Arial" w:cs="Arial" w:eastAsia="Arial" w:hAnsi="Arial"/>
          <w:b/>
          <w:bCs/>
          <w:color w:val="2E5F9E"/>
          <w:sz w:val="28"/>
          <w:szCs w:val="28"/>
        </w:rPr>
        <w:t xml:space="preserve">5.1  Manuscript Length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13"/>
        <w:gridCol w:w="3513"/>
      </w:tblGrid>
      <w:tr>
        <w:tc>
          <w:tcPr>
            <w:tcW w:type="dxa" w:w="5513"/>
            <w:tcBorders>
              <w:top w:val="single" w:color="CCCCCC" w:sz="2"/>
              <w:left w:val="single" w:color="CCCCCC" w:sz="2"/>
              <w:bottom w:val="single" w:color="CCCCCC" w:sz="2"/>
              <w:right w:val="single" w:color="CCCCCC" w:sz="2"/>
            </w:tcBorders>
            <w:shd w:fill="F5F5F5" w:val="clear"/>
            <w:tcMar>
              <w:top w:type="dxa" w:w="100"/>
              <w:left w:type="dxa" w:w="140"/>
              <w:bottom w:type="dxa" w:w="100"/>
              <w:right w:type="dxa" w:w="140"/>
            </w:tcMar>
          </w:tcPr>
          <w:p>
            <w:pPr>
              <w:spacing w:after="0"/>
            </w:pPr>
            <w:r>
              <w:rPr>
                <w:rFonts w:ascii="Arial" w:cs="Arial" w:eastAsia="Arial" w:hAnsi="Arial"/>
                <w:b/>
                <w:bCs/>
                <w:color w:val="1F3864"/>
                <w:sz w:val="20"/>
                <w:szCs w:val="20"/>
              </w:rPr>
              <w:t xml:space="preserve">Component</w:t>
            </w:r>
          </w:p>
        </w:tc>
        <w:tc>
          <w:tcPr>
            <w:tcW w:type="dxa" w:w="3513"/>
            <w:tcBorders>
              <w:top w:val="single" w:color="CCCCCC" w:sz="2"/>
              <w:left w:val="single" w:color="CCCCCC" w:sz="2"/>
              <w:bottom w:val="single" w:color="CCCCCC" w:sz="2"/>
              <w:right w:val="single" w:color="CCCCCC" w:sz="2"/>
            </w:tcBorders>
            <w:shd w:fill="F5F5F5" w:val="clear"/>
            <w:tcMar>
              <w:top w:type="dxa" w:w="100"/>
              <w:left w:type="dxa" w:w="140"/>
              <w:bottom w:type="dxa" w:w="100"/>
              <w:right w:type="dxa" w:w="140"/>
            </w:tcMar>
          </w:tcPr>
          <w:p>
            <w:pPr>
              <w:spacing w:after="0"/>
            </w:pPr>
            <w:r>
              <w:rPr>
                <w:rFonts w:ascii="Arial" w:cs="Arial" w:eastAsia="Arial" w:hAnsi="Arial"/>
                <w:b/>
                <w:bCs/>
                <w:color w:val="1F3864"/>
                <w:sz w:val="20"/>
                <w:szCs w:val="20"/>
              </w:rPr>
              <w:t xml:space="preserve">Estimated word count</w:t>
            </w:r>
          </w:p>
        </w:tc>
      </w:tr>
      <w:tr>
        <w:tc>
          <w:tcPr>
            <w:tcW w:type="dxa" w:w="5513"/>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Main text (22 chapters)</w:t>
            </w:r>
          </w:p>
        </w:tc>
        <w:tc>
          <w:tcPr>
            <w:tcW w:type="dxa" w:w="3513"/>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72,000–78,000 words</w:t>
            </w:r>
          </w:p>
        </w:tc>
      </w:tr>
      <w:tr>
        <w:tc>
          <w:tcPr>
            <w:tcW w:type="dxa" w:w="5513"/>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Appendices (A, B, C)</w:t>
            </w:r>
          </w:p>
        </w:tc>
        <w:tc>
          <w:tcPr>
            <w:tcW w:type="dxa" w:w="3513"/>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3,500 words</w:t>
            </w:r>
          </w:p>
        </w:tc>
      </w:tr>
      <w:tr>
        <w:tc>
          <w:tcPr>
            <w:tcW w:type="dxa" w:w="5513"/>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Front matter (About This Book, ToC)</w:t>
            </w:r>
          </w:p>
        </w:tc>
        <w:tc>
          <w:tcPr>
            <w:tcW w:type="dxa" w:w="3513"/>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2,000 words</w:t>
            </w:r>
          </w:p>
        </w:tc>
      </w:tr>
      <w:tr>
        <w:tc>
          <w:tcPr>
            <w:tcW w:type="dxa" w:w="5513"/>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Total</w:t>
            </w:r>
          </w:p>
        </w:tc>
        <w:tc>
          <w:tcPr>
            <w:tcW w:type="dxa" w:w="3513"/>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~80,000 words</w:t>
            </w:r>
          </w:p>
        </w:tc>
      </w:tr>
    </w:tbl>
    <w:p>
      <w:pPr>
        <w:spacing w:after="160"/>
      </w:pPr>
      <w:r>
        <w:rPr>
          <w:rFonts w:ascii="Arial" w:cs="Arial" w:eastAsia="Arial" w:hAnsi="Arial"/>
          <w:color w:val="1A1A1A"/>
          <w:sz w:val="24"/>
          <w:szCs w:val="24"/>
        </w:rPr>
        <w:t xml:space="preserve"/>
      </w:r>
    </w:p>
    <w:p>
      <w:pPr>
        <w:spacing w:after="140"/>
      </w:pPr>
      <w:r>
        <w:rPr>
          <w:rFonts w:ascii="Arial" w:cs="Arial" w:eastAsia="Arial" w:hAnsi="Arial"/>
          <w:color w:val="1A1A1A"/>
          <w:sz w:val="26"/>
          <w:szCs w:val="26"/>
        </w:rPr>
        <w:t xml:space="preserve">This is consistent with standard For Dummies titles in computing and programming (typically 75,000–95,000 words). The word count has been calibrated to provide thorough coverage of both languages while remaining digestible for the target audience.</w:t>
      </w:r>
    </w:p>
    <w:p>
      <w:pPr>
        <w:pStyle w:val="Heading2"/>
        <w:spacing w:before="300" w:after="140"/>
      </w:pPr>
      <w:r>
        <w:rPr>
          <w:rFonts w:ascii="Arial" w:cs="Arial" w:eastAsia="Arial" w:hAnsi="Arial"/>
          <w:b/>
          <w:bCs/>
          <w:color w:val="2E5F9E"/>
          <w:sz w:val="28"/>
          <w:szCs w:val="28"/>
        </w:rPr>
        <w:t xml:space="preserve">5.2  Figures, Tables, and Illustrations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CCCCCC" w:sz="2"/>
              <w:left w:val="single" w:color="CCCCCC" w:sz="2"/>
              <w:bottom w:val="single" w:color="CCCCCC" w:sz="2"/>
              <w:right w:val="single" w:color="CCCCCC" w:sz="2"/>
            </w:tcBorders>
            <w:shd w:fill="F5F5F5" w:val="clear"/>
            <w:tcMar>
              <w:top w:type="dxa" w:w="100"/>
              <w:left w:type="dxa" w:w="140"/>
              <w:bottom w:type="dxa" w:w="100"/>
              <w:right w:type="dxa" w:w="140"/>
            </w:tcMar>
          </w:tcPr>
          <w:p>
            <w:pPr>
              <w:spacing w:after="0"/>
            </w:pPr>
            <w:r>
              <w:rPr>
                <w:rFonts w:ascii="Arial" w:cs="Arial" w:eastAsia="Arial" w:hAnsi="Arial"/>
                <w:b/>
                <w:bCs/>
                <w:color w:val="1F3864"/>
                <w:sz w:val="20"/>
                <w:szCs w:val="20"/>
              </w:rPr>
              <w:t xml:space="preserve">Element</w:t>
            </w:r>
          </w:p>
        </w:tc>
        <w:tc>
          <w:tcPr>
            <w:tcW w:type="dxa" w:w="1800"/>
            <w:tcBorders>
              <w:top w:val="single" w:color="CCCCCC" w:sz="2"/>
              <w:left w:val="single" w:color="CCCCCC" w:sz="2"/>
              <w:bottom w:val="single" w:color="CCCCCC" w:sz="2"/>
              <w:right w:val="single" w:color="CCCCCC" w:sz="2"/>
            </w:tcBorders>
            <w:shd w:fill="F5F5F5" w:val="clear"/>
            <w:tcMar>
              <w:top w:type="dxa" w:w="100"/>
              <w:left w:type="dxa" w:w="140"/>
              <w:bottom w:type="dxa" w:w="100"/>
              <w:right w:type="dxa" w:w="140"/>
            </w:tcMar>
          </w:tcPr>
          <w:p>
            <w:pPr>
              <w:spacing w:after="0"/>
            </w:pPr>
            <w:r>
              <w:rPr>
                <w:rFonts w:ascii="Arial" w:cs="Arial" w:eastAsia="Arial" w:hAnsi="Arial"/>
                <w:b/>
                <w:bCs/>
                <w:color w:val="1F3864"/>
                <w:sz w:val="20"/>
                <w:szCs w:val="20"/>
              </w:rPr>
              <w:t xml:space="preserve">Count (estimated)</w:t>
            </w:r>
          </w:p>
        </w:tc>
        <w:tc>
          <w:tcPr>
            <w:tcW w:type="dxa" w:w="4826"/>
            <w:tcBorders>
              <w:top w:val="single" w:color="CCCCCC" w:sz="2"/>
              <w:left w:val="single" w:color="CCCCCC" w:sz="2"/>
              <w:bottom w:val="single" w:color="CCCCCC" w:sz="2"/>
              <w:right w:val="single" w:color="CCCCCC" w:sz="2"/>
            </w:tcBorders>
            <w:shd w:fill="F5F5F5" w:val="clear"/>
            <w:tcMar>
              <w:top w:type="dxa" w:w="100"/>
              <w:left w:type="dxa" w:w="140"/>
              <w:bottom w:type="dxa" w:w="100"/>
              <w:right w:type="dxa" w:w="140"/>
            </w:tcMar>
          </w:tcPr>
          <w:p>
            <w:pPr>
              <w:spacing w:after="0"/>
            </w:pPr>
            <w:r>
              <w:rPr>
                <w:rFonts w:ascii="Arial" w:cs="Arial" w:eastAsia="Arial" w:hAnsi="Arial"/>
                <w:b/>
                <w:bCs/>
                <w:color w:val="1F3864"/>
                <w:sz w:val="20"/>
                <w:szCs w:val="20"/>
              </w:rPr>
              <w:t xml:space="preserve">Description</w:t>
            </w:r>
          </w:p>
        </w:tc>
      </w:tr>
      <w:tr>
        <w:tc>
          <w:tcPr>
            <w:tcW w:type="dxa" w:w="24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Chapter illustrations</w:t>
            </w:r>
          </w:p>
        </w:tc>
        <w:tc>
          <w:tcPr>
            <w:tcW w:type="dxa" w:w="18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14</w:t>
            </w:r>
          </w:p>
        </w:tc>
        <w:tc>
          <w:tcPr>
            <w:tcW w:type="dxa" w:w="48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One hand-drawn sketch illustration per major chapter (see Illustration Brief)</w:t>
            </w:r>
          </w:p>
        </w:tc>
      </w:tr>
      <w:tr>
        <w:tc>
          <w:tcPr>
            <w:tcW w:type="dxa" w:w="24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Code examples</w:t>
            </w:r>
          </w:p>
        </w:tc>
        <w:tc>
          <w:tcPr>
            <w:tcW w:type="dxa" w:w="18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~180</w:t>
            </w:r>
          </w:p>
        </w:tc>
        <w:tc>
          <w:tcPr>
            <w:tcW w:type="dxa" w:w="48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Inline monospaced code blocks throughout all chapters</w:t>
            </w:r>
          </w:p>
        </w:tc>
      </w:tr>
      <w:tr>
        <w:tc>
          <w:tcPr>
            <w:tcW w:type="dxa" w:w="24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Comparison tables</w:t>
            </w:r>
          </w:p>
        </w:tc>
        <w:tc>
          <w:tcPr>
            <w:tcW w:type="dxa" w:w="18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~25</w:t>
            </w:r>
          </w:p>
        </w:tc>
        <w:tc>
          <w:tcPr>
            <w:tcW w:type="dxa" w:w="48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Side-by-side comparisons (Haskell vs Prolog, imperative vs declarative, etc.)</w:t>
            </w:r>
          </w:p>
        </w:tc>
      </w:tr>
      <w:tr>
        <w:tc>
          <w:tcPr>
            <w:tcW w:type="dxa" w:w="24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Callout boxes</w:t>
            </w:r>
          </w:p>
        </w:tc>
        <w:tc>
          <w:tcPr>
            <w:tcW w:type="dxa" w:w="18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~90</w:t>
            </w:r>
          </w:p>
        </w:tc>
        <w:tc>
          <w:tcPr>
            <w:tcW w:type="dxa" w:w="48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Tip, Remember, Warning, Technical Stuff, and Try It boxes</w:t>
            </w:r>
          </w:p>
        </w:tc>
      </w:tr>
      <w:tr>
        <w:tc>
          <w:tcPr>
            <w:tcW w:type="dxa" w:w="24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Quick reference tables</w:t>
            </w:r>
          </w:p>
        </w:tc>
        <w:tc>
          <w:tcPr>
            <w:tcW w:type="dxa" w:w="18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2</w:t>
            </w:r>
          </w:p>
        </w:tc>
        <w:tc>
          <w:tcPr>
            <w:tcW w:type="dxa" w:w="48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Haskell and Prolog reference cards (Appendices A &amp; B)</w:t>
            </w:r>
          </w:p>
        </w:tc>
      </w:tr>
      <w:tr>
        <w:tc>
          <w:tcPr>
            <w:tcW w:type="dxa" w:w="24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Exercise sets</w:t>
            </w:r>
          </w:p>
        </w:tc>
        <w:tc>
          <w:tcPr>
            <w:tcW w:type="dxa" w:w="18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22</w:t>
            </w:r>
          </w:p>
        </w:tc>
        <w:tc>
          <w:tcPr>
            <w:tcW w:type="dxa" w:w="48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One numbered exercise set per chapter (3–5 exercises each)</w:t>
            </w:r>
          </w:p>
        </w:tc>
      </w:tr>
      <w:tr>
        <w:tc>
          <w:tcPr>
            <w:tcW w:type="dxa" w:w="24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Resolution tree diagrams</w:t>
            </w:r>
          </w:p>
        </w:tc>
        <w:tc>
          <w:tcPr>
            <w:tcW w:type="dxa" w:w="18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~6</w:t>
            </w:r>
          </w:p>
        </w:tc>
        <w:tc>
          <w:tcPr>
            <w:tcW w:type="dxa" w:w="48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Diagrams showing Prolog resolution trees for Chapter 15</w:t>
            </w:r>
          </w:p>
        </w:tc>
      </w:tr>
    </w:tbl>
    <w:p>
      <w:pPr>
        <w:spacing w:after="160"/>
      </w:pPr>
      <w:r>
        <w:rPr>
          <w:rFonts w:ascii="Arial" w:cs="Arial" w:eastAsia="Arial" w:hAnsi="Arial"/>
          <w:color w:val="1A1A1A"/>
          <w:sz w:val="24"/>
          <w:szCs w:val="24"/>
        </w:rPr>
        <w:t xml:space="preserve"/>
      </w:r>
    </w:p>
    <w:p>
      <w:pPr>
        <w:pStyle w:val="Heading2"/>
        <w:spacing w:before="300" w:after="140"/>
      </w:pPr>
      <w:r>
        <w:rPr>
          <w:rFonts w:ascii="Arial" w:cs="Arial" w:eastAsia="Arial" w:hAnsi="Arial"/>
          <w:b/>
          <w:bCs/>
          <w:color w:val="2E5F9E"/>
          <w:sz w:val="28"/>
          <w:szCs w:val="28"/>
        </w:rPr>
        <w:t xml:space="preserve">5.3  Color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2E7D32" w:sz="6"/>
              <w:right w:val="single" w:color="2E7D32" w:sz="6"/>
            </w:tcBorders>
            <w:shd w:fill="E8F5E9" w:val="clear"/>
            <w:tcMar>
              <w:top w:type="dxa" w:w="120"/>
              <w:left w:type="dxa" w:w="200"/>
              <w:bottom w:type="dxa" w:w="120"/>
              <w:right w:type="dxa" w:w="200"/>
            </w:tcMar>
          </w:tcPr>
          <w:p>
            <w:pPr>
              <w:spacing w:after="80"/>
            </w:pPr>
            <w:r>
              <w:rPr>
                <w:rFonts w:ascii="Arial" w:cs="Arial" w:eastAsia="Arial" w:hAnsi="Arial"/>
                <w:b/>
                <w:bCs/>
                <w:color w:val="2E7D32"/>
                <w:sz w:val="21"/>
                <w:szCs w:val="21"/>
              </w:rPr>
              <w:t xml:space="preserve">Color Policy</w:t>
            </w:r>
          </w:p>
          <w:p>
            <w:pPr>
              <w:spacing w:after="60"/>
            </w:pPr>
            <w:r>
              <w:rPr>
                <w:rFonts w:ascii="Arial" w:cs="Arial" w:eastAsia="Arial" w:hAnsi="Arial"/>
                <w:color w:val="1A1A1A"/>
                <w:sz w:val="22"/>
                <w:szCs w:val="22"/>
              </w:rPr>
              <w:t xml:space="preserve">The book is designed to work fully in black and white. All 14 chapter illustrations are specified as</w:t>
            </w:r>
          </w:p>
          <w:p>
            <w:pPr>
              <w:spacing w:after="60"/>
            </w:pPr>
            <w:r>
              <w:rPr>
                <w:rFonts w:ascii="Arial" w:cs="Arial" w:eastAsia="Arial" w:hAnsi="Arial"/>
                <w:color w:val="1A1A1A"/>
                <w:sz w:val="22"/>
                <w:szCs w:val="22"/>
              </w:rPr>
              <w:t xml:space="preserve">pure monochrome ink drawings (no color, no gradients). All code examples, tables, and callout boxes</w:t>
            </w:r>
          </w:p>
          <w:p>
            <w:pPr>
              <w:spacing w:after="60"/>
            </w:pPr>
            <w:r>
              <w:rPr>
                <w:rFonts w:ascii="Arial" w:cs="Arial" w:eastAsia="Arial" w:hAnsi="Arial"/>
                <w:color w:val="1A1A1A"/>
                <w:sz w:val="22"/>
                <w:szCs w:val="22"/>
              </w:rPr>
              <w:t xml:space="preserve">use shading that is distinguishable in greyscale.</w:t>
            </w:r>
          </w:p>
          <w:p>
            <w:pPr>
              <w:spacing w:after="60"/>
            </w:pPr>
            <w:r>
              <w:rPr>
                <w:rFonts w:ascii="Arial" w:cs="Arial" w:eastAsia="Arial" w:hAnsi="Arial"/>
                <w:color w:val="1A1A1A"/>
                <w:sz w:val="22"/>
                <w:szCs w:val="22"/>
              </w:rPr>
              <w:t xml:space="preserve"/>
            </w:r>
          </w:p>
          <w:p>
            <w:pPr>
              <w:spacing w:after="60"/>
            </w:pPr>
            <w:r>
              <w:rPr>
                <w:rFonts w:ascii="Arial" w:cs="Arial" w:eastAsia="Arial" w:hAnsi="Arial"/>
                <w:color w:val="1A1A1A"/>
                <w:sz w:val="22"/>
                <w:szCs w:val="22"/>
              </w:rPr>
              <w:t xml:space="preserve">For the ebook edition, the callout box system uses a five-color scheme (yellow for Tip, purple for</w:t>
            </w:r>
          </w:p>
          <w:p>
            <w:pPr>
              <w:spacing w:after="60"/>
            </w:pPr>
            <w:r>
              <w:rPr>
                <w:rFonts w:ascii="Arial" w:cs="Arial" w:eastAsia="Arial" w:hAnsi="Arial"/>
                <w:color w:val="1A1A1A"/>
                <w:sz w:val="22"/>
                <w:szCs w:val="22"/>
              </w:rPr>
              <w:t xml:space="preserve">Remember, red for Warning, blue for Technical Stuff, green for Try It) that would enhance the</w:t>
            </w:r>
          </w:p>
          <w:p>
            <w:pPr>
              <w:spacing w:after="60"/>
            </w:pPr>
            <w:r>
              <w:rPr>
                <w:rFonts w:ascii="Arial" w:cs="Arial" w:eastAsia="Arial" w:hAnsi="Arial"/>
                <w:color w:val="1A1A1A"/>
                <w:sz w:val="22"/>
                <w:szCs w:val="22"/>
              </w:rPr>
              <w:t xml:space="preserve">reading experience significantly. Color is recommended but not required for the ebook edition.</w:t>
            </w:r>
          </w:p>
        </w:tc>
      </w:tr>
    </w:tbl>
    <w:p>
      <w:pPr>
        <w:spacing w:after="160"/>
      </w:pPr>
      <w:r>
        <w:rPr>
          <w:rFonts w:ascii="Arial" w:cs="Arial" w:eastAsia="Arial" w:hAnsi="Arial"/>
          <w:color w:val="1A1A1A"/>
          <w:sz w:val="24"/>
          <w:szCs w:val="24"/>
        </w:rPr>
        <w:t xml:space="preserve"/>
      </w:r>
    </w:p>
    <w:p>
      <w:pPr>
        <w:pStyle w:val="Heading2"/>
        <w:spacing w:before="300" w:after="140"/>
      </w:pPr>
      <w:r>
        <w:rPr>
          <w:rFonts w:ascii="Arial" w:cs="Arial" w:eastAsia="Arial" w:hAnsi="Arial"/>
          <w:b/>
          <w:bCs/>
          <w:color w:val="2E5F9E"/>
          <w:sz w:val="28"/>
          <w:szCs w:val="28"/>
        </w:rPr>
        <w:t xml:space="preserve">5.4  Proposed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CCCCCC" w:sz="2"/>
              <w:left w:val="single" w:color="CCCCCC" w:sz="2"/>
              <w:bottom w:val="single" w:color="CCCCCC" w:sz="2"/>
              <w:right w:val="single" w:color="CCCCCC" w:sz="2"/>
            </w:tcBorders>
            <w:shd w:fill="F5F5F5" w:val="clear"/>
            <w:tcMar>
              <w:top w:type="dxa" w:w="100"/>
              <w:left w:type="dxa" w:w="140"/>
              <w:bottom w:type="dxa" w:w="100"/>
              <w:right w:type="dxa" w:w="140"/>
            </w:tcMar>
          </w:tcPr>
          <w:p>
            <w:pPr>
              <w:spacing w:after="0"/>
            </w:pPr>
            <w:r>
              <w:rPr>
                <w:rFonts w:ascii="Arial" w:cs="Arial" w:eastAsia="Arial" w:hAnsi="Arial"/>
                <w:b/>
                <w:bCs/>
                <w:color w:val="1F3864"/>
                <w:sz w:val="20"/>
                <w:szCs w:val="20"/>
              </w:rPr>
              <w:t xml:space="preserve">Milestone</w:t>
            </w:r>
          </w:p>
        </w:tc>
        <w:tc>
          <w:tcPr>
            <w:tcW w:type="dxa" w:w="1800"/>
            <w:tcBorders>
              <w:top w:val="single" w:color="CCCCCC" w:sz="2"/>
              <w:left w:val="single" w:color="CCCCCC" w:sz="2"/>
              <w:bottom w:val="single" w:color="CCCCCC" w:sz="2"/>
              <w:right w:val="single" w:color="CCCCCC" w:sz="2"/>
            </w:tcBorders>
            <w:shd w:fill="F5F5F5" w:val="clear"/>
            <w:tcMar>
              <w:top w:type="dxa" w:w="100"/>
              <w:left w:type="dxa" w:w="140"/>
              <w:bottom w:type="dxa" w:w="100"/>
              <w:right w:type="dxa" w:w="140"/>
            </w:tcMar>
          </w:tcPr>
          <w:p>
            <w:pPr>
              <w:spacing w:after="0"/>
            </w:pPr>
            <w:r>
              <w:rPr>
                <w:rFonts w:ascii="Arial" w:cs="Arial" w:eastAsia="Arial" w:hAnsi="Arial"/>
                <w:b/>
                <w:bCs/>
                <w:color w:val="1F3864"/>
                <w:sz w:val="20"/>
                <w:szCs w:val="20"/>
              </w:rPr>
              <w:t xml:space="preserve">Target date</w:t>
            </w:r>
          </w:p>
        </w:tc>
        <w:tc>
          <w:tcPr>
            <w:tcW w:type="dxa" w:w="4026"/>
            <w:tcBorders>
              <w:top w:val="single" w:color="CCCCCC" w:sz="2"/>
              <w:left w:val="single" w:color="CCCCCC" w:sz="2"/>
              <w:bottom w:val="single" w:color="CCCCCC" w:sz="2"/>
              <w:right w:val="single" w:color="CCCCCC" w:sz="2"/>
            </w:tcBorders>
            <w:shd w:fill="F5F5F5" w:val="clear"/>
            <w:tcMar>
              <w:top w:type="dxa" w:w="100"/>
              <w:left w:type="dxa" w:w="140"/>
              <w:bottom w:type="dxa" w:w="100"/>
              <w:right w:type="dxa" w:w="140"/>
            </w:tcMar>
          </w:tcPr>
          <w:p>
            <w:pPr>
              <w:spacing w:after="0"/>
            </w:pPr>
            <w:r>
              <w:rPr>
                <w:rFonts w:ascii="Arial" w:cs="Arial" w:eastAsia="Arial" w:hAnsi="Arial"/>
                <w:b/>
                <w:bCs/>
                <w:color w:val="1F3864"/>
                <w:sz w:val="20"/>
                <w:szCs w:val="20"/>
              </w:rPr>
              <w:t xml:space="preserve">Notes</w:t>
            </w:r>
          </w:p>
        </w:tc>
      </w:tr>
      <w:tr>
        <w:tc>
          <w:tcPr>
            <w:tcW w:type="dxa" w:w="32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Proposal accepted / contract signed</w:t>
            </w:r>
          </w:p>
        </w:tc>
        <w:tc>
          <w:tcPr>
            <w:tcW w:type="dxa" w:w="18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Month 0</w:t>
            </w:r>
          </w:p>
        </w:tc>
        <w:tc>
          <w:tcPr>
            <w:tcW w:type="dxa" w:w="40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32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Full draft of Part 1 (Chapters 1–3)</w:t>
            </w:r>
          </w:p>
        </w:tc>
        <w:tc>
          <w:tcPr>
            <w:tcW w:type="dxa" w:w="18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Month 2</w:t>
            </w:r>
          </w:p>
        </w:tc>
        <w:tc>
          <w:tcPr>
            <w:tcW w:type="dxa" w:w="40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Fastest section — content fully mapped</w:t>
            </w:r>
          </w:p>
        </w:tc>
      </w:tr>
      <w:tr>
        <w:tc>
          <w:tcPr>
            <w:tcW w:type="dxa" w:w="32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Full draft of Part 2 (Chapters 4–10)</w:t>
            </w:r>
          </w:p>
        </w:tc>
        <w:tc>
          <w:tcPr>
            <w:tcW w:type="dxa" w:w="18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Month 4</w:t>
            </w:r>
          </w:p>
        </w:tc>
        <w:tc>
          <w:tcPr>
            <w:tcW w:type="dxa" w:w="40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Haskell content already drafted in working document</w:t>
            </w:r>
          </w:p>
        </w:tc>
      </w:tr>
      <w:tr>
        <w:tc>
          <w:tcPr>
            <w:tcW w:type="dxa" w:w="32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Full draft of Part 3 (Chapters 11–16)</w:t>
            </w:r>
          </w:p>
        </w:tc>
        <w:tc>
          <w:tcPr>
            <w:tcW w:type="dxa" w:w="18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Month 6</w:t>
            </w:r>
          </w:p>
        </w:tc>
        <w:tc>
          <w:tcPr>
            <w:tcW w:type="dxa" w:w="40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Prolog content already drafted in working document</w:t>
            </w:r>
          </w:p>
        </w:tc>
      </w:tr>
      <w:tr>
        <w:tc>
          <w:tcPr>
            <w:tcW w:type="dxa" w:w="32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Full draft of Parts 4 &amp; 5 + Appendices</w:t>
            </w:r>
          </w:p>
        </w:tc>
        <w:tc>
          <w:tcPr>
            <w:tcW w:type="dxa" w:w="18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Month 8</w:t>
            </w:r>
          </w:p>
        </w:tc>
        <w:tc>
          <w:tcPr>
            <w:tcW w:type="dxa" w:w="40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Lab sessions and worked solutions</w:t>
            </w:r>
          </w:p>
        </w:tc>
      </w:tr>
      <w:tr>
        <w:tc>
          <w:tcPr>
            <w:tcW w:type="dxa" w:w="32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Illustration delivery (all 14 images)</w:t>
            </w:r>
          </w:p>
        </w:tc>
        <w:tc>
          <w:tcPr>
            <w:tcW w:type="dxa" w:w="18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Month 8</w:t>
            </w:r>
          </w:p>
        </w:tc>
        <w:tc>
          <w:tcPr>
            <w:tcW w:type="dxa" w:w="40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Concurrent with writing; brief already finalised</w:t>
            </w:r>
          </w:p>
        </w:tc>
      </w:tr>
      <w:tr>
        <w:tc>
          <w:tcPr>
            <w:tcW w:type="dxa" w:w="32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First complete manuscript submitted</w:t>
            </w:r>
          </w:p>
        </w:tc>
        <w:tc>
          <w:tcPr>
            <w:tcW w:type="dxa" w:w="18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Month 9</w:t>
            </w:r>
          </w:p>
        </w:tc>
        <w:tc>
          <w:tcPr>
            <w:tcW w:type="dxa" w:w="40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32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Revisions following editorial review</w:t>
            </w:r>
          </w:p>
        </w:tc>
        <w:tc>
          <w:tcPr>
            <w:tcW w:type="dxa" w:w="18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Month 10</w:t>
            </w:r>
          </w:p>
        </w:tc>
        <w:tc>
          <w:tcPr>
            <w:tcW w:type="dxa" w:w="40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32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Final manuscript delivered</w:t>
            </w:r>
          </w:p>
        </w:tc>
        <w:tc>
          <w:tcPr>
            <w:tcW w:type="dxa" w:w="18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Month 11</w:t>
            </w:r>
          </w:p>
        </w:tc>
        <w:tc>
          <w:tcPr>
            <w:tcW w:type="dxa" w:w="40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
            </w:r>
          </w:p>
        </w:tc>
      </w:tr>
      <w:tr>
        <w:tc>
          <w:tcPr>
            <w:tcW w:type="dxa" w:w="32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Target publication</w:t>
            </w:r>
          </w:p>
        </w:tc>
        <w:tc>
          <w:tcPr>
            <w:tcW w:type="dxa" w:w="180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Month 14–16</w:t>
            </w:r>
          </w:p>
        </w:tc>
        <w:tc>
          <w:tcPr>
            <w:tcW w:type="dxa" w:w="4026"/>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pPr>
            <w:r>
              <w:rPr>
                <w:rFonts w:ascii="Arial" w:cs="Arial" w:eastAsia="Arial" w:hAnsi="Arial"/>
                <w:b w:val="false"/>
                <w:bCs w:val="false"/>
                <w:color w:val="1A1A1A"/>
                <w:sz w:val="20"/>
                <w:szCs w:val="20"/>
              </w:rPr>
              <w:t xml:space="preserve">Allowing time for production, typesetting, and printing</w:t>
            </w:r>
          </w:p>
        </w:tc>
      </w:tr>
    </w:tbl>
    <w:p>
      <w:pPr>
        <w:spacing w:after="160"/>
      </w:pPr>
      <w:r>
        <w:rPr>
          <w:rFonts w:ascii="Arial" w:cs="Arial" w:eastAsia="Arial" w:hAnsi="Arial"/>
          <w:color w:val="1A1A1A"/>
          <w:sz w:val="24"/>
          <w:szCs w:val="24"/>
        </w:rPr>
        <w:t xml:space="preserve"/>
      </w:r>
    </w:p>
    <w:p>
      <w:pPr>
        <w:spacing w:after="140"/>
      </w:pPr>
      <w:r>
        <w:rPr>
          <w:rFonts w:ascii="Arial" w:cs="Arial" w:eastAsia="Arial" w:hAnsi="Arial"/>
          <w:color w:val="1A1A1A"/>
          <w:sz w:val="26"/>
          <w:szCs w:val="26"/>
        </w:rPr>
        <w:t xml:space="preserve">The authors note that the manuscript development timeline is compressed relative to typical academic publishing because the underlying content is not being created from scratch. The original 148-page teaching manual — including all code examples, exercises, and pedagogical framework — has been fully developed, classroom-tested, and translated into English over the past year. The work for this proposal is restructuring and expanding existing material, not developing it from zero. The authors are confident the 11-month timeline is achievable.</w:t>
      </w:r>
    </w:p>
    <w:p>
      <w:pPr>
        <w:pStyle w:val="Heading2"/>
        <w:spacing w:before="300" w:after="140"/>
      </w:pPr>
      <w:r>
        <w:rPr>
          <w:rFonts w:ascii="Arial" w:cs="Arial" w:eastAsia="Arial" w:hAnsi="Arial"/>
          <w:b/>
          <w:bCs/>
          <w:color w:val="2E5F9E"/>
          <w:sz w:val="28"/>
          <w:szCs w:val="28"/>
        </w:rPr>
        <w:t xml:space="preserve">5.5  Additional Notes for the Editor</w:t>
      </w:r>
    </w:p>
    <w:p>
      <w:pPr>
        <w:pStyle w:val="Heading3"/>
        <w:spacing w:before="220" w:after="100"/>
      </w:pPr>
      <w:r>
        <w:rPr>
          <w:rFonts w:ascii="Arial" w:cs="Arial" w:eastAsia="Arial" w:hAnsi="Arial"/>
          <w:b/>
          <w:bCs/>
          <w:color w:val="1A1A1A"/>
          <w:sz w:val="24"/>
          <w:szCs w:val="24"/>
        </w:rPr>
        <w:t xml:space="preserve">Classroom Adoption Potential</w:t>
      </w:r>
    </w:p>
    <w:p>
      <w:pPr>
        <w:spacing w:after="140"/>
      </w:pPr>
      <w:r>
        <w:rPr>
          <w:rFonts w:ascii="Arial" w:cs="Arial" w:eastAsia="Arial" w:hAnsi="Arial"/>
          <w:color w:val="1A1A1A"/>
          <w:sz w:val="26"/>
          <w:szCs w:val="26"/>
        </w:rPr>
        <w:t xml:space="preserve">The authors teach the Declarative Programming course at the Universidad de Huelva (approximately 80–120 students per year). Adoption of this book as the official course text is guaranteed upon publication. The authors have presented this course material at Spanish CS education conferences and are well-networked with instructors at other Spanish and European universities who teach similar courses. A coordinated adoption campaign among network colleagues is feasible.</w:t>
      </w:r>
    </w:p>
    <w:p>
      <w:pPr>
        <w:spacing w:after="80"/>
      </w:pPr>
      <w:r>
        <w:rPr>
          <w:rFonts w:ascii="Arial" w:cs="Arial" w:eastAsia="Arial" w:hAnsi="Arial"/>
          <w:color w:val="1A1A1A"/>
          <w:sz w:val="24"/>
          <w:szCs w:val="24"/>
        </w:rPr>
        <w:t xml:space="preserve"/>
      </w:r>
    </w:p>
    <w:p>
      <w:pPr>
        <w:pStyle w:val="Heading3"/>
        <w:spacing w:before="220" w:after="100"/>
      </w:pPr>
      <w:r>
        <w:rPr>
          <w:rFonts w:ascii="Arial" w:cs="Arial" w:eastAsia="Arial" w:hAnsi="Arial"/>
          <w:b/>
          <w:bCs/>
          <w:color w:val="1A1A1A"/>
          <w:sz w:val="24"/>
          <w:szCs w:val="24"/>
        </w:rPr>
        <w:t xml:space="preserve">Supplementary Digital Materials</w:t>
      </w:r>
    </w:p>
    <w:p>
      <w:pPr>
        <w:spacing w:after="140"/>
      </w:pPr>
      <w:r>
        <w:rPr>
          <w:rFonts w:ascii="Arial" w:cs="Arial" w:eastAsia="Arial" w:hAnsi="Arial"/>
          <w:color w:val="1A1A1A"/>
          <w:sz w:val="26"/>
          <w:szCs w:val="26"/>
        </w:rPr>
        <w:t xml:space="preserve">The authors are willing to produce the following digital companion materials if the publisher wishes to offer them:</w:t>
      </w:r>
    </w:p>
    <w:p>
      <w:pPr>
        <w:pStyle w:val="ListParagraph"/>
        <w:numPr>
          <w:ilvl w:val="0"/>
          <w:numId w:val="2"/>
        </w:numPr>
        <w:spacing w:after="80"/>
      </w:pPr>
      <w:r>
        <w:rPr>
          <w:rFonts w:ascii="Arial" w:cs="Arial" w:eastAsia="Arial" w:hAnsi="Arial"/>
          <w:color w:val="1A1A1A"/>
          <w:sz w:val="24"/>
          <w:szCs w:val="24"/>
        </w:rPr>
        <w:t xml:space="preserve">A GitHub repository containing all code examples from the book, organised by chapter.</w:t>
      </w:r>
    </w:p>
    <w:p>
      <w:pPr>
        <w:pStyle w:val="ListParagraph"/>
        <w:numPr>
          <w:ilvl w:val="0"/>
          <w:numId w:val="2"/>
        </w:numPr>
        <w:spacing w:after="80"/>
      </w:pPr>
      <w:r>
        <w:rPr>
          <w:rFonts w:ascii="Arial" w:cs="Arial" w:eastAsia="Arial" w:hAnsi="Arial"/>
          <w:color w:val="1A1A1A"/>
          <w:sz w:val="24"/>
          <w:szCs w:val="24"/>
        </w:rPr>
        <w:t xml:space="preserve">Solution sets for all exercises (instructor-only access).</w:t>
      </w:r>
    </w:p>
    <w:p>
      <w:pPr>
        <w:pStyle w:val="ListParagraph"/>
        <w:numPr>
          <w:ilvl w:val="0"/>
          <w:numId w:val="2"/>
        </w:numPr>
        <w:spacing w:after="80"/>
      </w:pPr>
      <w:r>
        <w:rPr>
          <w:rFonts w:ascii="Arial" w:cs="Arial" w:eastAsia="Arial" w:hAnsi="Arial"/>
          <w:color w:val="1A1A1A"/>
          <w:sz w:val="24"/>
          <w:szCs w:val="24"/>
        </w:rPr>
        <w:t xml:space="preserve">Slide decks (one per chapter) in PowerPoint/Keynote format for classroom use.</w:t>
      </w:r>
    </w:p>
    <w:p>
      <w:pPr>
        <w:pStyle w:val="ListParagraph"/>
        <w:numPr>
          <w:ilvl w:val="0"/>
          <w:numId w:val="2"/>
        </w:numPr>
        <w:spacing w:after="80"/>
      </w:pPr>
      <w:r>
        <w:rPr>
          <w:rFonts w:ascii="Arial" w:cs="Arial" w:eastAsia="Arial" w:hAnsi="Arial"/>
          <w:color w:val="1A1A1A"/>
          <w:sz w:val="24"/>
          <w:szCs w:val="24"/>
        </w:rPr>
        <w:t xml:space="preserve">A companion website with interactive Haskell and Prolog environments (using Hugs Online and SWISH respectively).</w:t>
      </w:r>
    </w:p>
    <w:p>
      <w:pPr>
        <w:spacing w:after="80"/>
      </w:pPr>
      <w:r>
        <w:rPr>
          <w:rFonts w:ascii="Arial" w:cs="Arial" w:eastAsia="Arial" w:hAnsi="Arial"/>
          <w:color w:val="1A1A1A"/>
          <w:sz w:val="24"/>
          <w:szCs w:val="24"/>
        </w:rPr>
        <w:t xml:space="preserve"/>
      </w:r>
    </w:p>
    <w:p>
      <w:pPr>
        <w:pStyle w:val="Heading3"/>
        <w:spacing w:before="220" w:after="100"/>
      </w:pPr>
      <w:r>
        <w:rPr>
          <w:rFonts w:ascii="Arial" w:cs="Arial" w:eastAsia="Arial" w:hAnsi="Arial"/>
          <w:b/>
          <w:bCs/>
          <w:color w:val="1A1A1A"/>
          <w:sz w:val="24"/>
          <w:szCs w:val="24"/>
        </w:rPr>
        <w:t xml:space="preserve">Language and Accessibility</w:t>
      </w:r>
    </w:p>
    <w:p>
      <w:pPr>
        <w:spacing w:after="140"/>
      </w:pPr>
      <w:r>
        <w:rPr>
          <w:rFonts w:ascii="Arial" w:cs="Arial" w:eastAsia="Arial" w:hAnsi="Arial"/>
          <w:color w:val="1A1A1A"/>
          <w:sz w:val="26"/>
          <w:szCs w:val="26"/>
        </w:rPr>
        <w:t xml:space="preserve">The book is written in English and targets an international student audience. Given the authors' Spanish-language university context, a Spanish-language edition (Programación Declarativa Para Dummies) could follow as a natural extension and would serve the large Spanish and Latin American university market — a secondary proposal could be submitted separately.</w:t>
      </w:r>
    </w:p>
    <w:p>
      <w:pPr>
        <w:spacing w:after="80"/>
      </w:pPr>
      <w:r>
        <w:rPr>
          <w:rFonts w:ascii="Arial" w:cs="Arial" w:eastAsia="Arial" w:hAnsi="Arial"/>
          <w:color w:val="1A1A1A"/>
          <w:sz w:val="24"/>
          <w:szCs w:val="24"/>
        </w:rPr>
        <w:t xml:space="preserve"/>
      </w:r>
    </w:p>
    <w:p>
      <w:pPr>
        <w:pStyle w:val="Heading3"/>
        <w:spacing w:before="220" w:after="100"/>
      </w:pPr>
      <w:r>
        <w:rPr>
          <w:rFonts w:ascii="Arial" w:cs="Arial" w:eastAsia="Arial" w:hAnsi="Arial"/>
          <w:b/>
          <w:bCs/>
          <w:color w:val="1A1A1A"/>
          <w:sz w:val="24"/>
          <w:szCs w:val="24"/>
        </w:rPr>
        <w:t xml:space="preserve">Reviewer Suggestions</w:t>
      </w:r>
    </w:p>
    <w:p>
      <w:pPr>
        <w:spacing w:after="140"/>
      </w:pPr>
      <w:r>
        <w:rPr>
          <w:rFonts w:ascii="Arial" w:cs="Arial" w:eastAsia="Arial" w:hAnsi="Arial"/>
          <w:color w:val="1A1A1A"/>
          <w:sz w:val="26"/>
          <w:szCs w:val="26"/>
        </w:rPr>
        <w:t xml:space="preserve">The authors suggest the following types of reviewers would provide the most valuable feedback on the proposal and manuscript:</w:t>
      </w:r>
    </w:p>
    <w:p>
      <w:pPr>
        <w:pStyle w:val="ListParagraph"/>
        <w:numPr>
          <w:ilvl w:val="0"/>
          <w:numId w:val="2"/>
        </w:numPr>
        <w:spacing w:after="80"/>
      </w:pPr>
      <w:r>
        <w:rPr>
          <w:rFonts w:ascii="Arial" w:cs="Arial" w:eastAsia="Arial" w:hAnsi="Arial"/>
          <w:color w:val="1A1A1A"/>
          <w:sz w:val="24"/>
          <w:szCs w:val="24"/>
        </w:rPr>
        <w:t xml:space="preserve">A university instructor currently teaching a Haskell or functional programming course.</w:t>
      </w:r>
    </w:p>
    <w:p>
      <w:pPr>
        <w:pStyle w:val="ListParagraph"/>
        <w:numPr>
          <w:ilvl w:val="0"/>
          <w:numId w:val="2"/>
        </w:numPr>
        <w:spacing w:after="80"/>
      </w:pPr>
      <w:r>
        <w:rPr>
          <w:rFonts w:ascii="Arial" w:cs="Arial" w:eastAsia="Arial" w:hAnsi="Arial"/>
          <w:color w:val="1A1A1A"/>
          <w:sz w:val="24"/>
          <w:szCs w:val="24"/>
        </w:rPr>
        <w:t xml:space="preserve">A university instructor currently teaching Prolog or logic programming.</w:t>
      </w:r>
    </w:p>
    <w:p>
      <w:pPr>
        <w:pStyle w:val="ListParagraph"/>
        <w:numPr>
          <w:ilvl w:val="0"/>
          <w:numId w:val="2"/>
        </w:numPr>
        <w:spacing w:after="80"/>
      </w:pPr>
      <w:r>
        <w:rPr>
          <w:rFonts w:ascii="Arial" w:cs="Arial" w:eastAsia="Arial" w:hAnsi="Arial"/>
          <w:color w:val="1A1A1A"/>
          <w:sz w:val="24"/>
          <w:szCs w:val="24"/>
        </w:rPr>
        <w:t xml:space="preserve">A practising software engineer with functional programming experience (industry perspective).</w:t>
      </w:r>
    </w:p>
    <w:p>
      <w:pPr>
        <w:pStyle w:val="ListParagraph"/>
        <w:numPr>
          <w:ilvl w:val="0"/>
          <w:numId w:val="2"/>
        </w:numPr>
        <w:spacing w:after="80"/>
      </w:pPr>
      <w:r>
        <w:rPr>
          <w:rFonts w:ascii="Arial" w:cs="Arial" w:eastAsia="Arial" w:hAnsi="Arial"/>
          <w:color w:val="1A1A1A"/>
          <w:sz w:val="24"/>
          <w:szCs w:val="24"/>
        </w:rPr>
        <w:t xml:space="preserve">A student currently enrolled in a CS programming languages course (reader perspective).</w:t>
      </w:r>
    </w:p>
    <w:p>
      <w:pPr>
        <w:pBdr>
          <w:bottom w:val="single" w:color="DDDDDD" w:sz="4" w:space="1"/>
        </w:pBdr>
        <w:spacing w:before="80" w:after="200"/>
      </w:pPr>
      <w:r>
        <w:rPr>
          <w:rFonts w:ascii="Arial" w:cs="Arial" w:eastAsia="Arial" w:hAnsi="Arial"/>
          <w:color w:val="1A1A1A"/>
          <w:sz w:val="24"/>
          <w:szCs w:val="24"/>
        </w:rPr>
        <w:t xml:space="preserve"/>
      </w:r>
    </w:p>
    <w:p>
      <w:pPr>
        <w:spacing w:after="120"/>
      </w:pPr>
      <w:r>
        <w:rPr>
          <w:rFonts w:ascii="Arial" w:cs="Arial" w:eastAsia="Arial" w:hAnsi="Arial"/>
          <w:color w:val="1A1A1A"/>
          <w:sz w:val="24"/>
          <w:szCs w:val="24"/>
        </w:rPr>
        <w:t xml:space="preserve"/>
      </w:r>
    </w:p>
    <w:p>
      <w:pPr>
        <w:spacing w:after="80"/>
        <w:jc w:val="center"/>
      </w:pPr>
      <w:r>
        <w:rPr>
          <w:rFonts w:ascii="Arial" w:cs="Arial" w:eastAsia="Arial" w:hAnsi="Arial"/>
          <w:i/>
          <w:iCs/>
          <w:color w:val="1F3864"/>
          <w:sz w:val="24"/>
          <w:szCs w:val="24"/>
        </w:rPr>
        <w:t xml:space="preserve">Thank you for considering this proposal.</w:t>
      </w:r>
    </w:p>
    <w:p>
      <w:pPr>
        <w:spacing w:after="240"/>
        <w:jc w:val="center"/>
      </w:pPr>
      <w:r>
        <w:rPr>
          <w:rFonts w:ascii="Arial" w:cs="Arial" w:eastAsia="Arial" w:hAnsi="Arial"/>
          <w:color w:val="595959"/>
          <w:sz w:val="22"/>
          <w:szCs w:val="22"/>
        </w:rPr>
        <w:t xml:space="preserve">We believe </w:t>
      </w:r>
      <w:r>
        <w:rPr>
          <w:rFonts w:ascii="Arial" w:cs="Arial" w:eastAsia="Arial" w:hAnsi="Arial"/>
          <w:b/>
          <w:bCs/>
          <w:color w:val="1F3864"/>
          <w:sz w:val="22"/>
          <w:szCs w:val="22"/>
        </w:rPr>
        <w:t xml:space="preserve">Declarative Programming For Dummies</w:t>
      </w:r>
      <w:r>
        <w:rPr>
          <w:rFonts w:ascii="Arial" w:cs="Arial" w:eastAsia="Arial" w:hAnsi="Arial"/>
          <w:color w:val="595959"/>
          <w:sz w:val="22"/>
          <w:szCs w:val="22"/>
        </w:rPr>
        <w:t xml:space="preserve"> fills a genuine gap in the market and carries real adoption potential in university courses worldwide. We would be delighted to discuss the proposal at any stage and can provide sample chapters, the complete translated manuscript, and any additional materials on request.</w:t>
      </w:r>
    </w:p>
    <w:p>
      <w:pPr>
        <w:spacing w:after="40"/>
        <w:jc w:val="center"/>
      </w:pPr>
      <w:r>
        <w:rPr>
          <w:rFonts w:ascii="Arial" w:cs="Arial" w:eastAsia="Arial" w:hAnsi="Arial"/>
          <w:color w:val="888888"/>
          <w:sz w:val="22"/>
          <w:szCs w:val="22"/>
        </w:rPr>
        <w:t xml:space="preserve">José Carpio Cañada  ·  Gonzalo Antonio Aranda Corral  ·  José Marco de la Rosa</w:t>
      </w:r>
    </w:p>
    <w:p>
      <w:pPr>
        <w:spacing w:after="80"/>
        <w:jc w:val="center"/>
      </w:pPr>
      <w:r>
        <w:rPr>
          <w:rFonts w:ascii="Arial" w:cs="Arial" w:eastAsia="Arial" w:hAnsi="Arial"/>
          <w:color w:val="888888"/>
          <w:sz w:val="22"/>
          <w:szCs w:val="22"/>
        </w:rPr>
        <w:t xml:space="preserve">Universidad de Huelva  ·  March 2026</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spacing w:after="0"/>
    </w:pPr>
    <w:r>
      <w:rPr>
        <w:rFonts w:ascii="Arial" w:cs="Arial" w:eastAsia="Arial" w:hAnsi="Arial"/>
        <w:color w:val="888888"/>
        <w:sz w:val="18"/>
        <w:szCs w:val="18"/>
      </w:rPr>
      <w:t xml:space="preserve">Declarative Programming For Dummies — Wiley Book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8A600" w:sz="8" w:space="6"/>
      </w:pBdr>
      <w:spacing w:before="48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2E5F9E"/>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1A1A1A"/>
      <w:sz w:val="24"/>
      <w:szCs w:val="24"/>
    </w:rPr>
  </w:style>
  <w:style w:type="paragraph" w:styleId="Heading4">
    <w:name w:val="Heading 4"/>
    <w:basedOn w:val="Normal"/>
    <w:next w:val="Normal"/>
    <w:qFormat/>
    <w:pPr>
      <w:spacing w:before="160" w:after="80"/>
      <w:outlineLvl w:val="3"/>
    </w:pPr>
    <w:rPr>
      <w:rFonts w:ascii="Arial" w:cs="Arial" w:eastAsia="Arial" w:hAnsi="Arial"/>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2026-03-19T12:28:06.483Z</dcterms:created>
  <dcterms:modified xsi:type="dcterms:W3CDTF">2026-03-19T12:28:06.484Z</dcterms:modified>
</cp:coreProperties>
</file>

<file path=docProps/custom.xml><?xml version="1.0" encoding="utf-8"?>
<Properties xmlns="http://schemas.openxmlformats.org/officeDocument/2006/custom-properties" xmlns:vt="http://schemas.openxmlformats.org/officeDocument/2006/docPropsVTypes"/>
</file>