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color w:val="555555"/>
          <w:sz w:val="22"/>
          <w:szCs w:val="22"/>
        </w:rPr>
        <w:t xml:space="preserve">ESCUELA SUPERIOR POLITÉCNICA DEL LITORAL</w:t>
      </w:r>
    </w:p>
    <w:p>
      <w:pPr>
        <w:spacing w:after="700"/>
        <w:jc w:val="center"/>
      </w:pPr>
      <w:r>
        <w:rPr>
          <w:color w:val="555555"/>
          <w:sz w:val="22"/>
          <w:szCs w:val="22"/>
        </w:rPr>
        <w:t xml:space="preserve">CCPG1044 — Inteligencia Artificial · Proyecto final · Grupo #3</w:t>
      </w:r>
    </w:p>
    <w:p>
      <w:pPr>
        <w:spacing w:after="160"/>
        <w:jc w:val="center"/>
      </w:pPr>
      <w:r>
        <w:rPr>
          <w:b/>
          <w:bCs/>
          <w:color w:val="1F4E79"/>
          <w:sz w:val="44"/>
          <w:szCs w:val="44"/>
        </w:rPr>
        <w:t xml:space="preserve">Comparación de seis algoritmos de agrupamiento</w:t>
      </w:r>
    </w:p>
    <w:p>
      <w:pPr>
        <w:spacing w:after="900"/>
        <w:jc w:val="center"/>
      </w:pPr>
      <w:r>
        <w:rPr>
          <w:color w:val="333333"/>
          <w:sz w:val="26"/>
          <w:szCs w:val="26"/>
        </w:rPr>
        <w:t xml:space="preserve">Segmentación de compatibilidad proveedor–licitación · con datos abiertos del SERCOP (estándar OCDS)</w:t>
      </w:r>
    </w:p>
    <w:tbl>
      <w:tblPr>
        <w:tblW w:type="dxa" w:w="9360"/>
        <w:tblBorders>
          <w:top w:val="single" w:color="AAAAAA" w:sz="4"/>
          <w:left w:val="none"/>
          <w:bottom w:val="single" w:color="AAAAAA" w:sz="4"/>
          <w:right w:val="none"/>
          <w:insideH w:val="single" w:color="DDDDDD" w:sz="2"/>
          <w:insideV w:val="none"/>
        </w:tblBorders>
      </w:tblPr>
      <w:tblGrid>
        <w:gridCol w:w="3200"/>
        <w:gridCol w:w="6160"/>
      </w:tblGrid>
      <w:tr>
        <w:tc>
          <w:tcPr>
            <w:tcW w:type="dxa" w:w="3200"/>
            <w:tcMar>
              <w:top w:type="dxa" w:w="55"/>
              <w:left w:type="dxa" w:w="85"/>
              <w:bottom w:type="dxa" w:w="55"/>
              <w:right w:type="dxa" w:w="85"/>
            </w:tcMar>
          </w:tcPr>
          <w:p>
            <w:pPr>
              <w:spacing w:after="0"/>
              <w:jc w:val="left"/>
            </w:pPr>
            <w:r>
              <w:rPr>
                <w:sz w:val="18"/>
                <w:szCs w:val="18"/>
              </w:rPr>
              <w:t xml:space="preserve">Ganador</w:t>
            </w:r>
          </w:p>
        </w:tc>
        <w:tc>
          <w:tcPr>
            <w:tcW w:type="dxa" w:w="6160"/>
            <w:tcMar>
              <w:top w:type="dxa" w:w="55"/>
              <w:left w:type="dxa" w:w="85"/>
              <w:bottom w:type="dxa" w:w="55"/>
              <w:right w:type="dxa" w:w="85"/>
            </w:tcMar>
          </w:tcPr>
          <w:p>
            <w:pPr>
              <w:spacing w:after="0"/>
              <w:jc w:val="left"/>
            </w:pPr>
            <w:r>
              <w:rPr>
                <w:sz w:val="18"/>
                <w:szCs w:val="18"/>
              </w:rPr>
              <w:t xml:space="preserve">K-Medoids (PAM) · k = 10</w:t>
            </w:r>
          </w:p>
        </w:tc>
      </w:tr>
      <w:tr>
        <w:tc>
          <w:tcPr>
            <w:tcW w:type="dxa" w:w="3200"/>
            <w:tcMar>
              <w:top w:type="dxa" w:w="55"/>
              <w:left w:type="dxa" w:w="85"/>
              <w:bottom w:type="dxa" w:w="55"/>
              <w:right w:type="dxa" w:w="85"/>
            </w:tcMar>
          </w:tcPr>
          <w:p>
            <w:pPr>
              <w:spacing w:after="0"/>
              <w:jc w:val="left"/>
            </w:pPr>
            <w:r>
              <w:rPr>
                <w:sz w:val="18"/>
                <w:szCs w:val="18"/>
              </w:rPr>
              <w:t xml:space="preserve">Silueta sobre Gower</w:t>
            </w:r>
          </w:p>
        </w:tc>
        <w:tc>
          <w:tcPr>
            <w:tcW w:type="dxa" w:w="6160"/>
            <w:tcMar>
              <w:top w:type="dxa" w:w="55"/>
              <w:left w:type="dxa" w:w="85"/>
              <w:bottom w:type="dxa" w:w="55"/>
              <w:right w:type="dxa" w:w="85"/>
            </w:tcMar>
          </w:tcPr>
          <w:p>
            <w:pPr>
              <w:spacing w:after="0"/>
              <w:jc w:val="left"/>
            </w:pPr>
            <w:r>
              <w:rPr>
                <w:sz w:val="18"/>
                <w:szCs w:val="18"/>
              </w:rPr>
              <w:t xml:space="preserve">0,5202</w:t>
            </w:r>
          </w:p>
        </w:tc>
      </w:tr>
      <w:tr>
        <w:tc>
          <w:tcPr>
            <w:tcW w:type="dxa" w:w="3200"/>
            <w:tcMar>
              <w:top w:type="dxa" w:w="55"/>
              <w:left w:type="dxa" w:w="85"/>
              <w:bottom w:type="dxa" w:w="55"/>
              <w:right w:type="dxa" w:w="85"/>
            </w:tcMar>
          </w:tcPr>
          <w:p>
            <w:pPr>
              <w:spacing w:after="0"/>
              <w:jc w:val="left"/>
            </w:pPr>
            <w:r>
              <w:rPr>
                <w:sz w:val="18"/>
                <w:szCs w:val="18"/>
              </w:rPr>
              <w:t xml:space="preserve">Procesos analizados</w:t>
            </w:r>
          </w:p>
        </w:tc>
        <w:tc>
          <w:tcPr>
            <w:tcW w:type="dxa" w:w="6160"/>
            <w:tcMar>
              <w:top w:type="dxa" w:w="55"/>
              <w:left w:type="dxa" w:w="85"/>
              <w:bottom w:type="dxa" w:w="55"/>
              <w:right w:type="dxa" w:w="85"/>
            </w:tcMar>
          </w:tcPr>
          <w:p>
            <w:pPr>
              <w:spacing w:after="0"/>
              <w:jc w:val="left"/>
            </w:pPr>
            <w:r>
              <w:rPr>
                <w:sz w:val="18"/>
                <w:szCs w:val="18"/>
              </w:rPr>
              <w:t xml:space="preserve">13 848 licitaciones activas</w:t>
            </w:r>
          </w:p>
        </w:tc>
      </w:tr>
      <w:tr>
        <w:tc>
          <w:tcPr>
            <w:tcW w:type="dxa" w:w="3200"/>
            <w:tcMar>
              <w:top w:type="dxa" w:w="55"/>
              <w:left w:type="dxa" w:w="85"/>
              <w:bottom w:type="dxa" w:w="55"/>
              <w:right w:type="dxa" w:w="85"/>
            </w:tcMar>
          </w:tcPr>
          <w:p>
            <w:pPr>
              <w:spacing w:after="0"/>
              <w:jc w:val="left"/>
            </w:pPr>
            <w:r>
              <w:rPr>
                <w:sz w:val="18"/>
                <w:szCs w:val="18"/>
              </w:rPr>
              <w:t xml:space="preserve">Proveedor consultante</w:t>
            </w:r>
          </w:p>
        </w:tc>
        <w:tc>
          <w:tcPr>
            <w:tcW w:type="dxa" w:w="6160"/>
            <w:tcMar>
              <w:top w:type="dxa" w:w="55"/>
              <w:left w:type="dxa" w:w="85"/>
              <w:bottom w:type="dxa" w:w="55"/>
              <w:right w:type="dxa" w:w="85"/>
            </w:tcMar>
          </w:tcPr>
          <w:p>
            <w:pPr>
              <w:spacing w:after="0"/>
              <w:jc w:val="left"/>
            </w:pPr>
            <w:r>
              <w:rPr>
                <w:sz w:val="18"/>
                <w:szCs w:val="18"/>
              </w:rPr>
              <w:t xml:space="preserve">ROCHE ECUADOR S.A.</w:t>
            </w:r>
          </w:p>
        </w:tc>
      </w:tr>
      <w:tr>
        <w:tc>
          <w:tcPr>
            <w:tcW w:type="dxa" w:w="3200"/>
            <w:tcMar>
              <w:top w:type="dxa" w:w="55"/>
              <w:left w:type="dxa" w:w="85"/>
              <w:bottom w:type="dxa" w:w="55"/>
              <w:right w:type="dxa" w:w="85"/>
            </w:tcMar>
          </w:tcPr>
          <w:p>
            <w:pPr>
              <w:spacing w:after="0"/>
              <w:jc w:val="left"/>
            </w:pPr>
            <w:r>
              <w:rPr>
                <w:sz w:val="18"/>
                <w:szCs w:val="18"/>
              </w:rPr>
              <w:t xml:space="preserve">Fuente</w:t>
            </w:r>
          </w:p>
        </w:tc>
        <w:tc>
          <w:tcPr>
            <w:tcW w:type="dxa" w:w="6160"/>
            <w:tcMar>
              <w:top w:type="dxa" w:w="55"/>
              <w:left w:type="dxa" w:w="85"/>
              <w:bottom w:type="dxa" w:w="55"/>
              <w:right w:type="dxa" w:w="85"/>
            </w:tcMar>
          </w:tcPr>
          <w:p>
            <w:pPr>
              <w:spacing w:after="0"/>
              <w:jc w:val="left"/>
            </w:pPr>
            <w:r>
              <w:rPr>
                <w:sz w:val="18"/>
                <w:szCs w:val="18"/>
              </w:rPr>
              <w:t xml:space="preserve">Archivos OCDS locales 2024–2026 (90 076 procesos). Ninguna API consumida.</w:t>
            </w:r>
          </w:p>
        </w:tc>
      </w:tr>
      <w:tr>
        <w:tc>
          <w:tcPr>
            <w:tcW w:type="dxa" w:w="3200"/>
            <w:tcMar>
              <w:top w:type="dxa" w:w="55"/>
              <w:left w:type="dxa" w:w="85"/>
              <w:bottom w:type="dxa" w:w="55"/>
              <w:right w:type="dxa" w:w="85"/>
            </w:tcMar>
          </w:tcPr>
          <w:p>
            <w:pPr>
              <w:spacing w:after="0"/>
              <w:jc w:val="left"/>
            </w:pPr>
            <w:r>
              <w:rPr>
                <w:sz w:val="18"/>
                <w:szCs w:val="18"/>
              </w:rPr>
              <w:t xml:space="preserve">Semilla</w:t>
            </w:r>
          </w:p>
        </w:tc>
        <w:tc>
          <w:tcPr>
            <w:tcW w:type="dxa" w:w="6160"/>
            <w:tcMar>
              <w:top w:type="dxa" w:w="55"/>
              <w:left w:type="dxa" w:w="85"/>
              <w:bottom w:type="dxa" w:w="55"/>
              <w:right w:type="dxa" w:w="85"/>
            </w:tcMar>
          </w:tcPr>
          <w:p>
            <w:pPr>
              <w:spacing w:after="0"/>
              <w:jc w:val="left"/>
            </w:pPr>
            <w:r>
              <w:rPr>
                <w:sz w:val="18"/>
                <w:szCs w:val="18"/>
              </w:rPr>
              <w:t xml:space="preserve">random_state = 42 en todos los ajustes</w:t>
            </w:r>
          </w:p>
        </w:tc>
      </w:tr>
    </w:tbl>
    <w:p>
      <w:r>
        <w:br w:type="page"/>
      </w:r>
    </w:p>
    <w:p>
      <w:pPr>
        <w:pStyle w:val="Heading1"/>
        <w:spacing w:after="120" w:before="260"/>
      </w:pPr>
      <w:r>
        <w:rPr>
          <w:b/>
          <w:bCs/>
          <w:color w:val="1F4E79"/>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F4E79"/>
        </w:rPr>
        <w:t xml:space="preserve">1. Resumen ejecutivo</w:t>
      </w:r>
    </w:p>
    <w:p>
      <w:pPr>
        <w:spacing w:after="110"/>
      </w:pPr>
      <w:r>
        <w:rPr>
          <w:sz w:val="21"/>
          <w:szCs w:val="21"/>
        </w:rPr>
        <w:t xml:space="preserve">Gana </w:t>
      </w:r>
      <w:r>
        <w:rPr>
          <w:b/>
          <w:bCs/>
          <w:sz w:val="21"/>
          <w:szCs w:val="21"/>
        </w:rPr>
        <w:t xml:space="preserve">K-Medoids (PAM) con k = 10</w:t>
      </w:r>
      <w:r>
        <w:rPr>
          <w:sz w:val="21"/>
          <w:szCs w:val="21"/>
        </w:rPr>
        <w:t xml:space="preserve">, con una silueta sobre Gower de </w:t>
      </w:r>
      <w:r>
        <w:rPr>
          <w:b/>
          <w:bCs/>
          <w:sz w:val="21"/>
          <w:szCs w:val="21"/>
        </w:rPr>
        <w:t xml:space="preserve">0,5202</w:t>
      </w:r>
      <w:r>
        <w:rPr>
          <w:sz w:val="21"/>
          <w:szCs w:val="21"/>
        </w:rPr>
        <w:t xml:space="preserve">, cobertura del 100 % y un ARI de estabilidad de 0,992 ± 0,004. </w:t>
      </w:r>
      <w:r>
        <w:rPr>
          <w:sz w:val="21"/>
          <w:szCs w:val="21"/>
        </w:rPr>
        <w:t xml:space="preserve">El segundo admitido, GMM, queda en 0,4439; la diferencia de 0,0763 supera el umbral de 0,02, así que no hubo empate técnico y no fue necesario desempatar por interpretabilidad de centroides.</w:t>
      </w:r>
    </w:p>
    <w:p>
      <w:pPr>
        <w:spacing w:after="110"/>
      </w:pPr>
      <w:r>
        <w:rPr>
          <w:sz w:val="21"/>
          <w:szCs w:val="21"/>
        </w:rPr>
        <w:t xml:space="preserve">Se descartó un único candidato: </w:t>
      </w:r>
      <w:r>
        <w:rPr>
          <w:b/>
          <w:bCs/>
          <w:sz w:val="21"/>
          <w:szCs w:val="21"/>
        </w:rPr>
        <w:t xml:space="preserve">DBSCAN</w:t>
      </w:r>
      <w:r>
        <w:rPr>
          <w:sz w:val="21"/>
          <w:szCs w:val="21"/>
        </w:rPr>
        <w:t xml:space="preserve">, por cobertura del 84,50 %, por debajo del mínimo del 90 %. Es un descarte costoso, porque era el algoritmo con mejor silueta de los seis (0,5807). Ningún candidato incumplió el umbral de estabilidad.</w:t>
      </w:r>
    </w:p>
    <w:p>
      <w:pPr>
        <w:spacing w:after="100" w:before="160"/>
      </w:pPr>
      <w:r>
        <w:rPr>
          <w:b/>
          <w:bCs/>
          <w:sz w:val="21"/>
          <w:szCs w:val="21"/>
        </w:rPr>
        <w:t xml:space="preserve">Tres resultados merecen atención por encima del veredicto:</w:t>
      </w:r>
    </w:p>
    <w:p>
      <w:pPr>
        <w:pStyle w:val="ListParagraph"/>
        <w:numPr>
          <w:ilvl w:val="0"/>
          <w:numId w:val="2"/>
        </w:numPr>
        <w:spacing w:after="70"/>
      </w:pPr>
      <w:r>
        <w:rPr>
          <w:sz w:val="21"/>
          <w:szCs w:val="21"/>
        </w:rPr>
        <w:t xml:space="preserve">Ningún candidato supera la línea base trivial. Agrupar los procesos por modalidad_contratacion y nada más da una silueta de 0,6055, por encima del ganador (0,5202) y de los seis algoritmos. Todos superan holgadamente la línea base aleatoria (-0,0088), pero ése es el listón bajo. Con estas seis variables y este árbitro, la modalidad sola explica la estructura mejor que cualquier algoritmo del portafolio.</w:t>
      </w:r>
    </w:p>
    <w:p>
      <w:pPr>
        <w:pStyle w:val="ListParagraph"/>
        <w:numPr>
          <w:ilvl w:val="0"/>
          <w:numId w:val="2"/>
        </w:numPr>
        <w:spacing w:after="70"/>
      </w:pPr>
      <w:r>
        <w:rPr>
          <w:sz w:val="21"/>
          <w:szCs w:val="21"/>
        </w:rPr>
        <w:t xml:space="preserve">El agrupamiento jerárquico produce una partición degenerada. Con k = 3 concentra el 99,2 % de los procesos en un solo grupo. Su ARI de 0,9997 no mide robustez: una partición casi constante es trivialmente estable. Formalmente pasa los dos filtros porque la regla de decisión no incluye un criterio de balance, pero no segmenta nada.</w:t>
      </w:r>
    </w:p>
    <w:p>
      <w:pPr>
        <w:pStyle w:val="ListParagraph"/>
        <w:numPr>
          <w:ilvl w:val="0"/>
          <w:numId w:val="2"/>
        </w:numPr>
        <w:spacing w:after="70"/>
      </w:pPr>
      <w:r>
        <w:rPr>
          <w:sz w:val="21"/>
          <w:szCs w:val="21"/>
        </w:rPr>
        <w:t xml:space="preserve">Davies-Bouldin y Calinski-Harabasz nombran ganadores distintos — K-Means y K-Prototypes respectivamente. Es esperable, porque se calculan sobre la matriz codificada con distancia euclidiana y no sobre Gower, y por eso el protocolo los fija como criterio secundario. Pero la discrepancia es grande y conviene no ocultarla.</w:t>
      </w:r>
    </w:p>
    <w:p>
      <w:pPr>
        <w:pBdr>
          <w:left w:val="single" w:color="1F4E79" w:sz="12" w:space="10"/>
        </w:pBdr>
        <w:spacing w:after="160" w:before="60"/>
        <w:ind w:left="180"/>
      </w:pPr>
      <w:r>
        <w:rPr>
          <w:i/>
          <w:iCs/>
          <w:color w:val="444444"/>
          <w:sz w:val="19"/>
          <w:szCs w:val="19"/>
        </w:rPr>
        <w:t xml:space="preserve">Todas las cifras de este reporte provienen de la ejecución real del notebook sobre los archivos en disco. No hay valores estimados, interpolados ni rellenados a mano. Las etiquetas de los seis modelos se recalcularon de forma independiente para las figuras por modelo y reprodujeron exactamente las siluetas de la Tabla 6.</w:t>
      </w:r>
    </w:p>
    <w:p>
      <w:pPr>
        <w:pStyle w:val="Heading1"/>
        <w:spacing w:after="120" w:before="260"/>
      </w:pPr>
      <w:r>
        <w:rPr>
          <w:b/>
          <w:bCs/>
          <w:color w:val="1F4E79"/>
        </w:rPr>
        <w:t xml:space="preserve">2. Datos y verificación previa</w:t>
      </w:r>
    </w:p>
    <w:p>
      <w:pPr>
        <w:spacing w:after="110"/>
      </w:pPr>
      <w:r>
        <w:rPr>
          <w:sz w:val="21"/>
          <w:szCs w:val="21"/>
        </w:rPr>
        <w:t xml:space="preserve">El análisis parte de tres archivos OCDS comprimidos en disco (2024, 2025 y el año en curso), con 90 076 procesos y 90 076 identificadores únicos: no hubo un solo duplicado que colapsar entre archivos. No se consumió ninguna API.</w:t>
      </w:r>
    </w:p>
    <w:tbl>
      <w:tblPr>
        <w:tblW w:type="dxa" w:w="9360"/>
        <w:tblBorders>
          <w:top w:val="single" w:color="AAAAAA" w:sz="4"/>
          <w:left w:val="none"/>
          <w:bottom w:val="single" w:color="AAAAAA" w:sz="4"/>
          <w:right w:val="none"/>
          <w:insideH w:val="single" w:color="DDDDDD" w:sz="2"/>
          <w:insideV w:val="none"/>
        </w:tblBorders>
      </w:tblPr>
      <w:tblGrid>
        <w:gridCol w:w="4600"/>
        <w:gridCol w:w="4760"/>
      </w:tblGrid>
      <w:tr>
        <w:trPr>
          <w:tblHeader/>
        </w:trPr>
        <w:tc>
          <w:tcPr>
            <w:tcW w:type="dxa" w:w="4600"/>
            <w:shd w:fill="DCE6F1" w:color="auto" w:val="clear"/>
            <w:tcMar>
              <w:top w:type="dxa" w:w="55"/>
              <w:left w:type="dxa" w:w="85"/>
              <w:bottom w:type="dxa" w:w="55"/>
              <w:right w:type="dxa" w:w="85"/>
            </w:tcMar>
          </w:tcPr>
          <w:p>
            <w:pPr>
              <w:spacing w:after="0"/>
              <w:jc w:val="left"/>
            </w:pPr>
            <w:r>
              <w:rPr>
                <w:b/>
                <w:bCs/>
                <w:sz w:val="18"/>
                <w:szCs w:val="18"/>
              </w:rPr>
              <w:t xml:space="preserve">Verificación</w:t>
            </w:r>
          </w:p>
        </w:tc>
        <w:tc>
          <w:tcPr>
            <w:tcW w:type="dxa" w:w="4760"/>
            <w:shd w:fill="DCE6F1" w:color="auto" w:val="clear"/>
            <w:tcMar>
              <w:top w:type="dxa" w:w="55"/>
              <w:left w:type="dxa" w:w="85"/>
              <w:bottom w:type="dxa" w:w="55"/>
              <w:right w:type="dxa" w:w="85"/>
            </w:tcMar>
          </w:tcPr>
          <w:p>
            <w:pPr>
              <w:spacing w:after="0"/>
              <w:jc w:val="left"/>
            </w:pPr>
            <w:r>
              <w:rPr>
                <w:b/>
                <w:bCs/>
                <w:sz w:val="18"/>
                <w:szCs w:val="18"/>
              </w:rPr>
              <w:t xml:space="preserve">Resultado</w:t>
            </w:r>
          </w:p>
        </w:tc>
      </w:tr>
      <w:tr>
        <w:tc>
          <w:tcPr>
            <w:tcW w:type="dxa" w:w="4600"/>
            <w:tcMar>
              <w:top w:type="dxa" w:w="55"/>
              <w:left w:type="dxa" w:w="85"/>
              <w:bottom w:type="dxa" w:w="55"/>
              <w:right w:type="dxa" w:w="85"/>
            </w:tcMar>
          </w:tcPr>
          <w:p>
            <w:pPr>
              <w:spacing w:after="0"/>
              <w:jc w:val="left"/>
            </w:pPr>
            <w:r>
              <w:rPr>
                <w:sz w:val="18"/>
                <w:szCs w:val="18"/>
              </w:rPr>
              <w:t xml:space="preserve">Procesos con tender.status = "active"</w:t>
            </w:r>
          </w:p>
        </w:tc>
        <w:tc>
          <w:tcPr>
            <w:tcW w:type="dxa" w:w="4760"/>
            <w:tcMar>
              <w:top w:type="dxa" w:w="55"/>
              <w:left w:type="dxa" w:w="85"/>
              <w:bottom w:type="dxa" w:w="55"/>
              <w:right w:type="dxa" w:w="85"/>
            </w:tcMar>
          </w:tcPr>
          <w:p>
            <w:pPr>
              <w:spacing w:after="0"/>
              <w:jc w:val="left"/>
            </w:pPr>
            <w:r>
              <w:rPr>
                <w:sz w:val="18"/>
                <w:szCs w:val="18"/>
              </w:rPr>
              <w:t xml:space="preserve">14 660 (umbral del protocolo: 1 000 → se continúa)</w:t>
            </w:r>
          </w:p>
        </w:tc>
      </w:tr>
      <w:tr>
        <w:tc>
          <w:tcPr>
            <w:tcW w:type="dxa" w:w="4600"/>
            <w:tcMar>
              <w:top w:type="dxa" w:w="55"/>
              <w:left w:type="dxa" w:w="85"/>
              <w:bottom w:type="dxa" w:w="55"/>
              <w:right w:type="dxa" w:w="85"/>
            </w:tcMar>
          </w:tcPr>
          <w:p>
            <w:pPr>
              <w:spacing w:after="0"/>
              <w:jc w:val="left"/>
            </w:pPr>
            <w:r>
              <w:rPr>
                <w:sz w:val="18"/>
                <w:szCs w:val="18"/>
              </w:rPr>
              <w:t xml:space="preserve">Procesos "complete" (historial del proveedor)</w:t>
            </w:r>
          </w:p>
        </w:tc>
        <w:tc>
          <w:tcPr>
            <w:tcW w:type="dxa" w:w="4760"/>
            <w:tcMar>
              <w:top w:type="dxa" w:w="55"/>
              <w:left w:type="dxa" w:w="85"/>
              <w:bottom w:type="dxa" w:w="55"/>
              <w:right w:type="dxa" w:w="85"/>
            </w:tcMar>
          </w:tcPr>
          <w:p>
            <w:pPr>
              <w:spacing w:after="0"/>
              <w:jc w:val="left"/>
            </w:pPr>
            <w:r>
              <w:rPr>
                <w:sz w:val="18"/>
                <w:szCs w:val="18"/>
              </w:rPr>
              <w:t xml:space="preserve">72 846</w:t>
            </w:r>
          </w:p>
        </w:tc>
      </w:tr>
      <w:tr>
        <w:tc>
          <w:tcPr>
            <w:tcW w:type="dxa" w:w="4600"/>
            <w:tcMar>
              <w:top w:type="dxa" w:w="55"/>
              <w:left w:type="dxa" w:w="85"/>
              <w:bottom w:type="dxa" w:w="55"/>
              <w:right w:type="dxa" w:w="85"/>
            </w:tcMar>
          </w:tcPr>
          <w:p>
            <w:pPr>
              <w:spacing w:after="0"/>
              <w:jc w:val="left"/>
            </w:pPr>
            <w:r>
              <w:rPr>
                <w:sz w:val="18"/>
                <w:szCs w:val="18"/>
              </w:rPr>
              <w:t xml:space="preserve">Dimensiones de la matriz</w:t>
            </w:r>
          </w:p>
        </w:tc>
        <w:tc>
          <w:tcPr>
            <w:tcW w:type="dxa" w:w="4760"/>
            <w:tcMar>
              <w:top w:type="dxa" w:w="55"/>
              <w:left w:type="dxa" w:w="85"/>
              <w:bottom w:type="dxa" w:w="55"/>
              <w:right w:type="dxa" w:w="85"/>
            </w:tcMar>
          </w:tcPr>
          <w:p>
            <w:pPr>
              <w:spacing w:after="0"/>
              <w:jc w:val="left"/>
            </w:pPr>
            <w:r>
              <w:rPr>
                <w:sz w:val="18"/>
                <w:szCs w:val="18"/>
              </w:rPr>
              <w:t xml:space="preserve">13 848 filas × 6 columnas</w:t>
            </w:r>
          </w:p>
        </w:tc>
      </w:tr>
      <w:tr>
        <w:tc>
          <w:tcPr>
            <w:tcW w:type="dxa" w:w="4600"/>
            <w:tcMar>
              <w:top w:type="dxa" w:w="55"/>
              <w:left w:type="dxa" w:w="85"/>
              <w:bottom w:type="dxa" w:w="55"/>
              <w:right w:type="dxa" w:w="85"/>
            </w:tcMar>
          </w:tcPr>
          <w:p>
            <w:pPr>
              <w:spacing w:after="0"/>
              <w:jc w:val="left"/>
            </w:pPr>
            <w:r>
              <w:rPr>
                <w:sz w:val="18"/>
                <w:szCs w:val="18"/>
              </w:rPr>
              <w:t xml:space="preserve">Matriz codificada (one-hot)</w:t>
            </w:r>
          </w:p>
        </w:tc>
        <w:tc>
          <w:tcPr>
            <w:tcW w:type="dxa" w:w="4760"/>
            <w:tcMar>
              <w:top w:type="dxa" w:w="55"/>
              <w:left w:type="dxa" w:w="85"/>
              <w:bottom w:type="dxa" w:w="55"/>
              <w:right w:type="dxa" w:w="85"/>
            </w:tcMar>
          </w:tcPr>
          <w:p>
            <w:pPr>
              <w:spacing w:after="0"/>
              <w:jc w:val="left"/>
            </w:pPr>
            <w:r>
              <w:rPr>
                <w:sz w:val="18"/>
                <w:szCs w:val="18"/>
              </w:rPr>
              <w:t xml:space="preserve">13 848 × 24 (19 modalidades)</w:t>
            </w:r>
          </w:p>
        </w:tc>
      </w:tr>
      <w:tr>
        <w:tc>
          <w:tcPr>
            <w:tcW w:type="dxa" w:w="4600"/>
            <w:tcMar>
              <w:top w:type="dxa" w:w="55"/>
              <w:left w:type="dxa" w:w="85"/>
              <w:bottom w:type="dxa" w:w="55"/>
              <w:right w:type="dxa" w:w="85"/>
            </w:tcMar>
          </w:tcPr>
          <w:p>
            <w:pPr>
              <w:spacing w:after="0"/>
              <w:jc w:val="left"/>
            </w:pPr>
            <w:r>
              <w:rPr>
                <w:sz w:val="18"/>
                <w:szCs w:val="18"/>
              </w:rPr>
              <w:t xml:space="preserve">Matriz de Gower (n²)</w:t>
            </w:r>
          </w:p>
        </w:tc>
        <w:tc>
          <w:tcPr>
            <w:tcW w:type="dxa" w:w="4760"/>
            <w:tcMar>
              <w:top w:type="dxa" w:w="55"/>
              <w:left w:type="dxa" w:w="85"/>
              <w:bottom w:type="dxa" w:w="55"/>
              <w:right w:type="dxa" w:w="85"/>
            </w:tcMar>
          </w:tcPr>
          <w:p>
            <w:pPr>
              <w:spacing w:after="0"/>
              <w:jc w:val="left"/>
            </w:pPr>
            <w:r>
              <w:rPr>
                <w:sz w:val="18"/>
                <w:szCs w:val="18"/>
              </w:rPr>
              <w:t xml:space="preserve">191 767 104 celdas — 1.429 GB en float64, 0.714 GB en float32</w:t>
            </w:r>
          </w:p>
        </w:tc>
      </w:tr>
    </w:tbl>
    <w:p>
      <w:pPr>
        <w:spacing w:after="110" w:before="140"/>
      </w:pPr>
      <w:r>
        <w:rPr>
          <w:sz w:val="21"/>
          <w:szCs w:val="21"/>
        </w:rPr>
        <w:t xml:space="preserve">De los 14 660 procesos activos quedaron fuera 812 (5,5 %) por datos faltantes: 508 sin ítems en ninguna de las dos rutas posibles y 304 sin provincia del comprador, imprescindible para la distancia geográfica. No se imputó ningún valor.</w:t>
      </w:r>
    </w:p>
    <w:p>
      <w:pPr>
        <w:pBdr>
          <w:left w:val="single" w:color="1F4E79" w:sz="12" w:space="10"/>
        </w:pBdr>
        <w:spacing w:after="160" w:before="60"/>
        <w:ind w:left="180"/>
      </w:pPr>
      <w:r>
        <w:rPr>
          <w:i/>
          <w:iCs/>
          <w:color w:val="444444"/>
          <w:sz w:val="19"/>
          <w:szCs w:val="19"/>
        </w:rPr>
        <w:t xml:space="preserve">El historial del proveedor consultante se construyó únicamente con procesos en estado "complete", para no filtrar información desde las mismas filas que después se agrupan. El proveedor es ROCHE ECUADOR S.A., con 87 procesos adjudicados, 24 códigos CPC distintos y sede en PICHINCHA.</w:t>
      </w:r>
    </w:p>
    <w:p>
      <w:pPr>
        <w:spacing w:after="110"/>
      </w:pPr>
      <w:r>
        <w:rPr>
          <w:sz w:val="21"/>
          <w:szCs w:val="21"/>
        </w:rPr>
        <w:t xml:space="preserve">Un hallazgo del corte que conviene registrar: la categoría «Catálogo Electrónico» no aparece entre los procesos activos — los convenios de catálogo están todos en estado "complete". La regla de colapsar los convenios en una sola categoría quedó aplicada, pero resulta inocua sobre esta matriz.</w:t>
      </w:r>
    </w:p>
    <w:p>
      <w:pPr>
        <w:pStyle w:val="Heading1"/>
        <w:spacing w:after="120" w:before="260"/>
      </w:pPr>
      <w:r>
        <w:rPr>
          <w:b/>
          <w:bCs/>
          <w:color w:val="1F4E79"/>
        </w:rPr>
        <w:t xml:space="preserve">3. Protocolo de comparación</w:t>
      </w:r>
    </w:p>
    <w:p>
      <w:pPr>
        <w:spacing w:after="110"/>
      </w:pPr>
      <w:r>
        <w:rPr>
          <w:sz w:val="21"/>
          <w:szCs w:val="21"/>
        </w:rPr>
        <w:t xml:space="preserve">Los seis algoritmos reciben exactamente la misma matriz y el mismo pre-procesamiento: log(1+x) sobre los montos —incorporado en la desviación de presupuesto, que es log1p del monto del proceso menos log1p de la mediana histórica del proveedor— y estandarización z-score de las cinco numéricas. La modalidad es la única categórica.</w:t>
      </w:r>
    </w:p>
    <w:p>
      <w:pPr>
        <w:spacing w:after="110"/>
      </w:pPr>
      <w:r>
        <w:rPr>
          <w:sz w:val="21"/>
          <w:szCs w:val="21"/>
        </w:rPr>
        <w:t xml:space="preserve">El árbitro es único: </w:t>
      </w:r>
      <w:r>
        <w:rPr>
          <w:b/>
          <w:bCs/>
          <w:sz w:val="21"/>
          <w:szCs w:val="21"/>
        </w:rPr>
        <w:t xml:space="preserve">se calcula una sola matriz de distancias de Gower y se comparte. La silueta se evalúa siempre sobre ella con metric='precomputed', aunque cada algoritmo se ajuste en el espacio que le corresponde.</w:t>
      </w:r>
      <w:r>
        <w:rPr>
          <w:sz w:val="21"/>
          <w:szCs w:val="21"/>
        </w:rPr>
        <w:t xml:space="preserve"> Sin ese árbitro común las siluetas no serían comparables entre un método que trabaja sobre one-hot y otro que trabaja sobre la matriz de distancias.</w:t>
      </w:r>
    </w:p>
    <w:p>
      <w:pPr>
        <w:spacing w:after="110"/>
      </w:pPr>
      <w:r>
        <w:rPr>
          <w:sz w:val="21"/>
          <w:szCs w:val="21"/>
        </w:rPr>
        <w:t xml:space="preserve">Davies-Bouldin y Calinski-Harabasz se calculan sobre la matriz codificada porque sus implementaciones asumen distancia euclidiana y no aceptan una matriz precalculada. Quedan explícitamente etiquetados como criterio secundario.</w:t>
      </w:r>
    </w:p>
    <w:tbl>
      <w:tblPr>
        <w:tblW w:type="dxa" w:w="9360"/>
        <w:tblBorders>
          <w:top w:val="single" w:color="AAAAAA" w:sz="4"/>
          <w:left w:val="none"/>
          <w:bottom w:val="single" w:color="AAAAAA" w:sz="4"/>
          <w:right w:val="none"/>
          <w:insideH w:val="single" w:color="DDDDDD" w:sz="2"/>
          <w:insideV w:val="none"/>
        </w:tblBorders>
      </w:tblPr>
      <w:tblGrid>
        <w:gridCol w:w="2500"/>
        <w:gridCol w:w="6860"/>
      </w:tblGrid>
      <w:tr>
        <w:trPr>
          <w:tblHeader/>
        </w:trPr>
        <w:tc>
          <w:tcPr>
            <w:tcW w:type="dxa" w:w="2500"/>
            <w:shd w:fill="DCE6F1" w:color="auto" w:val="clear"/>
            <w:tcMar>
              <w:top w:type="dxa" w:w="55"/>
              <w:left w:type="dxa" w:w="85"/>
              <w:bottom w:type="dxa" w:w="55"/>
              <w:right w:type="dxa" w:w="85"/>
            </w:tcMar>
          </w:tcPr>
          <w:p>
            <w:pPr>
              <w:spacing w:after="0"/>
              <w:jc w:val="left"/>
            </w:pPr>
            <w:r>
              <w:rPr>
                <w:b/>
                <w:bCs/>
                <w:sz w:val="18"/>
                <w:szCs w:val="18"/>
              </w:rPr>
              <w:t xml:space="preserve">Candidato</w:t>
            </w:r>
          </w:p>
        </w:tc>
        <w:tc>
          <w:tcPr>
            <w:tcW w:type="dxa" w:w="6860"/>
            <w:shd w:fill="DCE6F1" w:color="auto" w:val="clear"/>
            <w:tcMar>
              <w:top w:type="dxa" w:w="55"/>
              <w:left w:type="dxa" w:w="85"/>
              <w:bottom w:type="dxa" w:w="55"/>
              <w:right w:type="dxa" w:w="85"/>
            </w:tcMar>
          </w:tcPr>
          <w:p>
            <w:pPr>
              <w:spacing w:after="0"/>
              <w:jc w:val="left"/>
            </w:pPr>
            <w:r>
              <w:rPr>
                <w:b/>
                <w:bCs/>
                <w:sz w:val="18"/>
                <w:szCs w:val="18"/>
              </w:rPr>
              <w:t xml:space="preserve">Configuración</w:t>
            </w:r>
          </w:p>
        </w:tc>
      </w:tr>
      <w:tr>
        <w:tc>
          <w:tcPr>
            <w:tcW w:type="dxa" w:w="2500"/>
            <w:tcMar>
              <w:top w:type="dxa" w:w="55"/>
              <w:left w:type="dxa" w:w="85"/>
              <w:bottom w:type="dxa" w:w="55"/>
              <w:right w:type="dxa" w:w="85"/>
            </w:tcMar>
          </w:tcPr>
          <w:p>
            <w:pPr>
              <w:spacing w:after="0"/>
              <w:jc w:val="left"/>
            </w:pPr>
            <w:r>
              <w:rPr>
                <w:sz w:val="18"/>
                <w:szCs w:val="18"/>
              </w:rPr>
              <w:t xml:space="preserve">K-Prototypes</w:t>
            </w:r>
          </w:p>
        </w:tc>
        <w:tc>
          <w:tcPr>
            <w:tcW w:type="dxa" w:w="6860"/>
            <w:tcMar>
              <w:top w:type="dxa" w:w="55"/>
              <w:left w:type="dxa" w:w="85"/>
              <w:bottom w:type="dxa" w:w="55"/>
              <w:right w:type="dxa" w:w="85"/>
            </w:tcMar>
          </w:tcPr>
          <w:p>
            <w:pPr>
              <w:spacing w:after="0"/>
              <w:jc w:val="left"/>
            </w:pPr>
            <w:r>
              <w:rPr>
                <w:sz w:val="18"/>
                <w:szCs w:val="18"/>
              </w:rPr>
              <w:t xml:space="preserve">kmodes; gamma automático; init='Cao'; n_init=10; barrido k = 3–10</w:t>
            </w:r>
          </w:p>
        </w:tc>
      </w:tr>
      <w:tr>
        <w:tc>
          <w:tcPr>
            <w:tcW w:type="dxa" w:w="2500"/>
            <w:tcMar>
              <w:top w:type="dxa" w:w="55"/>
              <w:left w:type="dxa" w:w="85"/>
              <w:bottom w:type="dxa" w:w="55"/>
              <w:right w:type="dxa" w:w="85"/>
            </w:tcMar>
          </w:tcPr>
          <w:p>
            <w:pPr>
              <w:spacing w:after="0"/>
              <w:jc w:val="left"/>
            </w:pPr>
            <w:r>
              <w:rPr>
                <w:sz w:val="18"/>
                <w:szCs w:val="18"/>
              </w:rPr>
              <w:t xml:space="preserve">K-Means</w:t>
            </w:r>
          </w:p>
        </w:tc>
        <w:tc>
          <w:tcPr>
            <w:tcW w:type="dxa" w:w="6860"/>
            <w:tcMar>
              <w:top w:type="dxa" w:w="55"/>
              <w:left w:type="dxa" w:w="85"/>
              <w:bottom w:type="dxa" w:w="55"/>
              <w:right w:type="dxa" w:w="85"/>
            </w:tcMar>
          </w:tcPr>
          <w:p>
            <w:pPr>
              <w:spacing w:after="0"/>
              <w:jc w:val="left"/>
            </w:pPr>
            <w:r>
              <w:rPr>
                <w:sz w:val="18"/>
                <w:szCs w:val="18"/>
              </w:rPr>
              <w:t xml:space="preserve">one-hot de la modalidad; k-means++; n_init=10; barrido k = 3–10</w:t>
            </w:r>
          </w:p>
        </w:tc>
      </w:tr>
      <w:tr>
        <w:tc>
          <w:tcPr>
            <w:tcW w:type="dxa" w:w="2500"/>
            <w:tcMar>
              <w:top w:type="dxa" w:w="55"/>
              <w:left w:type="dxa" w:w="85"/>
              <w:bottom w:type="dxa" w:w="55"/>
              <w:right w:type="dxa" w:w="85"/>
            </w:tcMar>
          </w:tcPr>
          <w:p>
            <w:pPr>
              <w:spacing w:after="0"/>
              <w:jc w:val="left"/>
            </w:pPr>
            <w:r>
              <w:rPr>
                <w:sz w:val="18"/>
                <w:szCs w:val="18"/>
              </w:rPr>
              <w:t xml:space="preserve">Jerárquico</w:t>
            </w:r>
          </w:p>
        </w:tc>
        <w:tc>
          <w:tcPr>
            <w:tcW w:type="dxa" w:w="6860"/>
            <w:tcMar>
              <w:top w:type="dxa" w:w="55"/>
              <w:left w:type="dxa" w:w="85"/>
              <w:bottom w:type="dxa" w:w="55"/>
              <w:right w:type="dxa" w:w="85"/>
            </w:tcMar>
          </w:tcPr>
          <w:p>
            <w:pPr>
              <w:spacing w:after="0"/>
              <w:jc w:val="left"/>
            </w:pPr>
            <w:r>
              <w:rPr>
                <w:sz w:val="18"/>
                <w:szCs w:val="18"/>
              </w:rPr>
              <w:t xml:space="preserve">sobre Gower precalculada; enlace promedio; barrido k = 3–10</w:t>
            </w:r>
          </w:p>
        </w:tc>
      </w:tr>
      <w:tr>
        <w:tc>
          <w:tcPr>
            <w:tcW w:type="dxa" w:w="2500"/>
            <w:tcMar>
              <w:top w:type="dxa" w:w="55"/>
              <w:left w:type="dxa" w:w="85"/>
              <w:bottom w:type="dxa" w:w="55"/>
              <w:right w:type="dxa" w:w="85"/>
            </w:tcMar>
          </w:tcPr>
          <w:p>
            <w:pPr>
              <w:spacing w:after="0"/>
              <w:jc w:val="left"/>
            </w:pPr>
            <w:r>
              <w:rPr>
                <w:sz w:val="18"/>
                <w:szCs w:val="18"/>
              </w:rPr>
              <w:t xml:space="preserve">K-Medoids / PAM</w:t>
            </w:r>
          </w:p>
        </w:tc>
        <w:tc>
          <w:tcPr>
            <w:tcW w:type="dxa" w:w="6860"/>
            <w:tcMar>
              <w:top w:type="dxa" w:w="55"/>
              <w:left w:type="dxa" w:w="85"/>
              <w:bottom w:type="dxa" w:w="55"/>
              <w:right w:type="dxa" w:w="85"/>
            </w:tcMar>
          </w:tcPr>
          <w:p>
            <w:pPr>
              <w:spacing w:after="0"/>
              <w:jc w:val="left"/>
            </w:pPr>
            <w:r>
              <w:rPr>
                <w:sz w:val="18"/>
                <w:szCs w:val="18"/>
              </w:rPr>
              <w:t xml:space="preserve">sobre Gower precalculada; medoides = procesos reales; barrido k = 3–10</w:t>
            </w:r>
          </w:p>
        </w:tc>
      </w:tr>
      <w:tr>
        <w:tc>
          <w:tcPr>
            <w:tcW w:type="dxa" w:w="2500"/>
            <w:tcMar>
              <w:top w:type="dxa" w:w="55"/>
              <w:left w:type="dxa" w:w="85"/>
              <w:bottom w:type="dxa" w:w="55"/>
              <w:right w:type="dxa" w:w="85"/>
            </w:tcMar>
          </w:tcPr>
          <w:p>
            <w:pPr>
              <w:spacing w:after="0"/>
              <w:jc w:val="left"/>
            </w:pPr>
            <w:r>
              <w:rPr>
                <w:sz w:val="18"/>
                <w:szCs w:val="18"/>
              </w:rPr>
              <w:t xml:space="preserve">DBSCAN</w:t>
            </w:r>
          </w:p>
        </w:tc>
        <w:tc>
          <w:tcPr>
            <w:tcW w:type="dxa" w:w="6860"/>
            <w:tcMar>
              <w:top w:type="dxa" w:w="55"/>
              <w:left w:type="dxa" w:w="85"/>
              <w:bottom w:type="dxa" w:w="55"/>
              <w:right w:type="dxa" w:w="85"/>
            </w:tcMar>
          </w:tcPr>
          <w:p>
            <w:pPr>
              <w:spacing w:after="0"/>
              <w:jc w:val="left"/>
            </w:pPr>
            <w:r>
              <w:rPr>
                <w:sz w:val="18"/>
                <w:szCs w:val="18"/>
              </w:rPr>
              <w:t xml:space="preserve">sobre Gower; eps del gráfico de k-distancias; el nº de grupos es SALIDA</w:t>
            </w:r>
          </w:p>
        </w:tc>
      </w:tr>
      <w:tr>
        <w:tc>
          <w:tcPr>
            <w:tcW w:type="dxa" w:w="2500"/>
            <w:tcMar>
              <w:top w:type="dxa" w:w="55"/>
              <w:left w:type="dxa" w:w="85"/>
              <w:bottom w:type="dxa" w:w="55"/>
              <w:right w:type="dxa" w:w="85"/>
            </w:tcMar>
          </w:tcPr>
          <w:p>
            <w:pPr>
              <w:spacing w:after="0"/>
              <w:jc w:val="left"/>
            </w:pPr>
            <w:r>
              <w:rPr>
                <w:sz w:val="18"/>
                <w:szCs w:val="18"/>
              </w:rPr>
              <w:t xml:space="preserve">GMM</w:t>
            </w:r>
          </w:p>
        </w:tc>
        <w:tc>
          <w:tcPr>
            <w:tcW w:type="dxa" w:w="6860"/>
            <w:tcMar>
              <w:top w:type="dxa" w:w="55"/>
              <w:left w:type="dxa" w:w="85"/>
              <w:bottom w:type="dxa" w:w="55"/>
              <w:right w:type="dxa" w:w="85"/>
            </w:tcMar>
          </w:tcPr>
          <w:p>
            <w:pPr>
              <w:spacing w:after="0"/>
              <w:jc w:val="left"/>
            </w:pPr>
            <w:r>
              <w:rPr>
                <w:sz w:val="18"/>
                <w:szCs w:val="18"/>
              </w:rPr>
              <w:t xml:space="preserve">covarianza completa; selección de k por BIC</w:t>
            </w:r>
          </w:p>
        </w:tc>
      </w:tr>
    </w:tbl>
    <w:p>
      <w:r>
        <w:br w:type="page"/>
      </w:r>
    </w:p>
    <w:p>
      <w:pPr>
        <w:pStyle w:val="Heading1"/>
        <w:spacing w:after="120" w:before="260"/>
      </w:pPr>
      <w:r>
        <w:rPr>
          <w:b/>
          <w:bCs/>
          <w:color w:val="1F4E79"/>
        </w:rPr>
        <w:t xml:space="preserve">4. Resultados</w:t>
      </w:r>
    </w:p>
    <w:p>
      <w:pPr>
        <w:pStyle w:val="Heading2"/>
        <w:spacing w:after="120" w:before="260"/>
      </w:pPr>
      <w:r>
        <w:rPr>
          <w:b/>
          <w:bCs/>
          <w:color w:val="1F4E79"/>
        </w:rPr>
        <w:t xml:space="preserve">4.1 Tabla 6 — Comparación de los seis candidatos</w:t>
      </w:r>
    </w:p>
    <w:tbl>
      <w:tblPr>
        <w:tblW w:type="dxa" w:w="9360"/>
        <w:tblBorders>
          <w:top w:val="single" w:color="AAAAAA" w:sz="4"/>
          <w:left w:val="none"/>
          <w:bottom w:val="single" w:color="AAAAAA" w:sz="4"/>
          <w:right w:val="none"/>
          <w:insideH w:val="single" w:color="DDDDDD" w:sz="2"/>
          <w:insideV w:val="none"/>
        </w:tblBorders>
      </w:tblPr>
      <w:tblGrid>
        <w:gridCol w:w="2000"/>
        <w:gridCol w:w="520"/>
        <w:gridCol w:w="1240"/>
        <w:gridCol w:w="1240"/>
        <w:gridCol w:w="1180"/>
        <w:gridCol w:w="1100"/>
        <w:gridCol w:w="1080"/>
        <w:gridCol w:w="1000"/>
      </w:tblGrid>
      <w:tr>
        <w:trPr>
          <w:tblHeader/>
        </w:trPr>
        <w:tc>
          <w:tcPr>
            <w:tcW w:type="dxa" w:w="2000"/>
            <w:shd w:fill="DCE6F1" w:color="auto" w:val="clear"/>
            <w:tcMar>
              <w:top w:type="dxa" w:w="55"/>
              <w:left w:type="dxa" w:w="85"/>
              <w:bottom w:type="dxa" w:w="55"/>
              <w:right w:type="dxa" w:w="85"/>
            </w:tcMar>
          </w:tcPr>
          <w:p>
            <w:pPr>
              <w:spacing w:after="0"/>
              <w:jc w:val="left"/>
            </w:pPr>
            <w:r>
              <w:rPr>
                <w:b/>
                <w:bCs/>
                <w:sz w:val="18"/>
                <w:szCs w:val="18"/>
              </w:rPr>
              <w:t xml:space="preserve">Algoritmo</w:t>
            </w:r>
          </w:p>
        </w:tc>
        <w:tc>
          <w:tcPr>
            <w:tcW w:type="dxa" w:w="52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24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240"/>
            <w:shd w:fill="DCE6F1" w:color="auto" w:val="clear"/>
            <w:tcMar>
              <w:top w:type="dxa" w:w="55"/>
              <w:left w:type="dxa" w:w="85"/>
              <w:bottom w:type="dxa" w:w="55"/>
              <w:right w:type="dxa" w:w="85"/>
            </w:tcMar>
          </w:tcPr>
          <w:p>
            <w:pPr>
              <w:spacing w:after="0"/>
              <w:jc w:val="right"/>
            </w:pPr>
            <w:r>
              <w:rPr>
                <w:b/>
                <w:bCs/>
                <w:sz w:val="18"/>
                <w:szCs w:val="18"/>
              </w:rPr>
              <w:t xml:space="preserve">Davies-Bouldin</w:t>
            </w:r>
          </w:p>
        </w:tc>
        <w:tc>
          <w:tcPr>
            <w:tcW w:type="dxa" w:w="1180"/>
            <w:shd w:fill="DCE6F1" w:color="auto" w:val="clear"/>
            <w:tcMar>
              <w:top w:type="dxa" w:w="55"/>
              <w:left w:type="dxa" w:w="85"/>
              <w:bottom w:type="dxa" w:w="55"/>
              <w:right w:type="dxa" w:w="85"/>
            </w:tcMar>
          </w:tcPr>
          <w:p>
            <w:pPr>
              <w:spacing w:after="0"/>
              <w:jc w:val="right"/>
            </w:pPr>
            <w:r>
              <w:rPr>
                <w:b/>
                <w:bCs/>
                <w:sz w:val="18"/>
                <w:szCs w:val="18"/>
              </w:rPr>
              <w:t xml:space="preserve">Calinski-H.</w:t>
            </w:r>
          </w:p>
        </w:tc>
        <w:tc>
          <w:tcPr>
            <w:tcW w:type="dxa" w:w="11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080"/>
            <w:shd w:fill="DCE6F1" w:color="auto" w:val="clear"/>
            <w:tcMar>
              <w:top w:type="dxa" w:w="55"/>
              <w:left w:type="dxa" w:w="85"/>
              <w:bottom w:type="dxa" w:w="55"/>
              <w:right w:type="dxa" w:w="85"/>
            </w:tcMar>
          </w:tcPr>
          <w:p>
            <w:pPr>
              <w:spacing w:after="0"/>
              <w:jc w:val="right"/>
            </w:pPr>
            <w:r>
              <w:rPr>
                <w:b/>
                <w:bCs/>
                <w:sz w:val="18"/>
                <w:szCs w:val="18"/>
              </w:rPr>
              <w:t xml:space="preserve">ARI</w:t>
            </w:r>
          </w:p>
        </w:tc>
        <w:tc>
          <w:tcPr>
            <w:tcW w:type="dxa" w:w="1000"/>
            <w:shd w:fill="DCE6F1" w:color="auto" w:val="clear"/>
            <w:tcMar>
              <w:top w:type="dxa" w:w="55"/>
              <w:left w:type="dxa" w:w="85"/>
              <w:bottom w:type="dxa" w:w="55"/>
              <w:right w:type="dxa" w:w="85"/>
            </w:tcMar>
          </w:tcPr>
          <w:p>
            <w:pPr>
              <w:spacing w:after="0"/>
              <w:jc w:val="right"/>
            </w:pPr>
            <w:r>
              <w:rPr>
                <w:b/>
                <w:bCs/>
                <w:sz w:val="18"/>
                <w:szCs w:val="18"/>
              </w:rPr>
              <w:t xml:space="preserve">± desv.</w:t>
            </w:r>
          </w:p>
        </w:tc>
      </w:tr>
      <w:tr>
        <w:tc>
          <w:tcPr>
            <w:tcW w:type="dxa" w:w="2000"/>
            <w:shd w:fill="E2F0D9" w:color="auto" w:val="clear"/>
            <w:tcMar>
              <w:top w:type="dxa" w:w="55"/>
              <w:left w:type="dxa" w:w="85"/>
              <w:bottom w:type="dxa" w:w="55"/>
              <w:right w:type="dxa" w:w="85"/>
            </w:tcMar>
          </w:tcPr>
          <w:p>
            <w:pPr>
              <w:spacing w:after="0"/>
              <w:jc w:val="left"/>
            </w:pPr>
            <w:r>
              <w:rPr>
                <w:sz w:val="18"/>
                <w:szCs w:val="18"/>
              </w:rPr>
              <w:t xml:space="preserve">K-Medoids (PAM)</w:t>
            </w:r>
          </w:p>
        </w:tc>
        <w:tc>
          <w:tcPr>
            <w:tcW w:type="dxa" w:w="520"/>
            <w:shd w:fill="E2F0D9" w:color="auto" w:val="clear"/>
            <w:tcMar>
              <w:top w:type="dxa" w:w="55"/>
              <w:left w:type="dxa" w:w="85"/>
              <w:bottom w:type="dxa" w:w="55"/>
              <w:right w:type="dxa" w:w="85"/>
            </w:tcMar>
          </w:tcPr>
          <w:p>
            <w:pPr>
              <w:spacing w:after="0"/>
              <w:jc w:val="right"/>
            </w:pPr>
            <w:r>
              <w:rPr>
                <w:sz w:val="18"/>
                <w:szCs w:val="18"/>
              </w:rPr>
              <w:t xml:space="preserve">10</w:t>
            </w:r>
          </w:p>
        </w:tc>
        <w:tc>
          <w:tcPr>
            <w:tcW w:type="dxa" w:w="1240"/>
            <w:shd w:fill="E2F0D9" w:color="auto" w:val="clear"/>
            <w:tcMar>
              <w:top w:type="dxa" w:w="55"/>
              <w:left w:type="dxa" w:w="85"/>
              <w:bottom w:type="dxa" w:w="55"/>
              <w:right w:type="dxa" w:w="85"/>
            </w:tcMar>
          </w:tcPr>
          <w:p>
            <w:pPr>
              <w:spacing w:after="0"/>
              <w:jc w:val="right"/>
            </w:pPr>
            <w:r>
              <w:rPr>
                <w:sz w:val="18"/>
                <w:szCs w:val="18"/>
              </w:rPr>
              <w:t xml:space="preserve">0,5202</w:t>
            </w:r>
          </w:p>
        </w:tc>
        <w:tc>
          <w:tcPr>
            <w:tcW w:type="dxa" w:w="1240"/>
            <w:shd w:fill="E2F0D9" w:color="auto" w:val="clear"/>
            <w:tcMar>
              <w:top w:type="dxa" w:w="55"/>
              <w:left w:type="dxa" w:w="85"/>
              <w:bottom w:type="dxa" w:w="55"/>
              <w:right w:type="dxa" w:w="85"/>
            </w:tcMar>
          </w:tcPr>
          <w:p>
            <w:pPr>
              <w:spacing w:after="0"/>
              <w:jc w:val="right"/>
            </w:pPr>
            <w:r>
              <w:rPr>
                <w:sz w:val="18"/>
                <w:szCs w:val="18"/>
              </w:rPr>
              <w:t xml:space="preserve">2,255</w:t>
            </w:r>
          </w:p>
        </w:tc>
        <w:tc>
          <w:tcPr>
            <w:tcW w:type="dxa" w:w="1180"/>
            <w:shd w:fill="E2F0D9" w:color="auto" w:val="clear"/>
            <w:tcMar>
              <w:top w:type="dxa" w:w="55"/>
              <w:left w:type="dxa" w:w="85"/>
              <w:bottom w:type="dxa" w:w="55"/>
              <w:right w:type="dxa" w:w="85"/>
            </w:tcMar>
          </w:tcPr>
          <w:p>
            <w:pPr>
              <w:spacing w:after="0"/>
              <w:jc w:val="right"/>
            </w:pPr>
            <w:r>
              <w:rPr>
                <w:sz w:val="18"/>
                <w:szCs w:val="18"/>
              </w:rPr>
              <w:t xml:space="preserve">1 159</w:t>
            </w:r>
          </w:p>
        </w:tc>
        <w:tc>
          <w:tcPr>
            <w:tcW w:type="dxa" w:w="1100"/>
            <w:shd w:fill="E2F0D9" w:color="auto" w:val="clear"/>
            <w:tcMar>
              <w:top w:type="dxa" w:w="55"/>
              <w:left w:type="dxa" w:w="85"/>
              <w:bottom w:type="dxa" w:w="55"/>
              <w:right w:type="dxa" w:w="85"/>
            </w:tcMar>
          </w:tcPr>
          <w:p>
            <w:pPr>
              <w:spacing w:after="0"/>
              <w:jc w:val="right"/>
            </w:pPr>
            <w:r>
              <w:rPr>
                <w:sz w:val="18"/>
                <w:szCs w:val="18"/>
              </w:rPr>
              <w:t xml:space="preserve">100,00 %</w:t>
            </w:r>
          </w:p>
        </w:tc>
        <w:tc>
          <w:tcPr>
            <w:tcW w:type="dxa" w:w="1080"/>
            <w:shd w:fill="E2F0D9" w:color="auto" w:val="clear"/>
            <w:tcMar>
              <w:top w:type="dxa" w:w="55"/>
              <w:left w:type="dxa" w:w="85"/>
              <w:bottom w:type="dxa" w:w="55"/>
              <w:right w:type="dxa" w:w="85"/>
            </w:tcMar>
          </w:tcPr>
          <w:p>
            <w:pPr>
              <w:spacing w:after="0"/>
              <w:jc w:val="right"/>
            </w:pPr>
            <w:r>
              <w:rPr>
                <w:sz w:val="18"/>
                <w:szCs w:val="18"/>
              </w:rPr>
              <w:t xml:space="preserve">0,992</w:t>
            </w:r>
          </w:p>
        </w:tc>
        <w:tc>
          <w:tcPr>
            <w:tcW w:type="dxa" w:w="1000"/>
            <w:shd w:fill="E2F0D9" w:color="auto" w:val="clear"/>
            <w:tcMar>
              <w:top w:type="dxa" w:w="55"/>
              <w:left w:type="dxa" w:w="85"/>
              <w:bottom w:type="dxa" w:w="55"/>
              <w:right w:type="dxa" w:w="85"/>
            </w:tcMar>
          </w:tcPr>
          <w:p>
            <w:pPr>
              <w:spacing w:after="0"/>
              <w:jc w:val="right"/>
            </w:pPr>
            <w:r>
              <w:rPr>
                <w:sz w:val="18"/>
                <w:szCs w:val="18"/>
              </w:rPr>
              <w:t xml:space="preserve">0,004</w:t>
            </w:r>
          </w:p>
        </w:tc>
      </w:tr>
      <w:tr>
        <w:tc>
          <w:tcPr>
            <w:tcW w:type="dxa" w:w="2000"/>
            <w:shd w:fill="FBE4E4" w:color="auto" w:val="clear"/>
            <w:tcMar>
              <w:top w:type="dxa" w:w="55"/>
              <w:left w:type="dxa" w:w="85"/>
              <w:bottom w:type="dxa" w:w="55"/>
              <w:right w:type="dxa" w:w="85"/>
            </w:tcMar>
          </w:tcPr>
          <w:p>
            <w:pPr>
              <w:spacing w:after="0"/>
              <w:jc w:val="left"/>
            </w:pPr>
            <w:r>
              <w:rPr>
                <w:sz w:val="18"/>
                <w:szCs w:val="18"/>
              </w:rPr>
              <w:t xml:space="preserve">DBSCAN</w:t>
            </w:r>
          </w:p>
        </w:tc>
        <w:tc>
          <w:tcPr>
            <w:tcW w:type="dxa" w:w="520"/>
            <w:shd w:fill="FBE4E4" w:color="auto" w:val="clear"/>
            <w:tcMar>
              <w:top w:type="dxa" w:w="55"/>
              <w:left w:type="dxa" w:w="85"/>
              <w:bottom w:type="dxa" w:w="55"/>
              <w:right w:type="dxa" w:w="85"/>
            </w:tcMar>
          </w:tcPr>
          <w:p>
            <w:pPr>
              <w:spacing w:after="0"/>
              <w:jc w:val="right"/>
            </w:pPr>
            <w:r>
              <w:rPr>
                <w:sz w:val="18"/>
                <w:szCs w:val="18"/>
              </w:rPr>
              <w:t xml:space="preserve">17</w:t>
            </w:r>
          </w:p>
        </w:tc>
        <w:tc>
          <w:tcPr>
            <w:tcW w:type="dxa" w:w="1240"/>
            <w:shd w:fill="FBE4E4" w:color="auto" w:val="clear"/>
            <w:tcMar>
              <w:top w:type="dxa" w:w="55"/>
              <w:left w:type="dxa" w:w="85"/>
              <w:bottom w:type="dxa" w:w="55"/>
              <w:right w:type="dxa" w:w="85"/>
            </w:tcMar>
          </w:tcPr>
          <w:p>
            <w:pPr>
              <w:spacing w:after="0"/>
              <w:jc w:val="right"/>
            </w:pPr>
            <w:r>
              <w:rPr>
                <w:sz w:val="18"/>
                <w:szCs w:val="18"/>
              </w:rPr>
              <w:t xml:space="preserve">0,5807</w:t>
            </w:r>
          </w:p>
        </w:tc>
        <w:tc>
          <w:tcPr>
            <w:tcW w:type="dxa" w:w="1240"/>
            <w:shd w:fill="FBE4E4" w:color="auto" w:val="clear"/>
            <w:tcMar>
              <w:top w:type="dxa" w:w="55"/>
              <w:left w:type="dxa" w:w="85"/>
              <w:bottom w:type="dxa" w:w="55"/>
              <w:right w:type="dxa" w:w="85"/>
            </w:tcMar>
          </w:tcPr>
          <w:p>
            <w:pPr>
              <w:spacing w:after="0"/>
              <w:jc w:val="right"/>
            </w:pPr>
            <w:r>
              <w:rPr>
                <w:sz w:val="18"/>
                <w:szCs w:val="18"/>
              </w:rPr>
              <w:t xml:space="preserve">1,687</w:t>
            </w:r>
          </w:p>
        </w:tc>
        <w:tc>
          <w:tcPr>
            <w:tcW w:type="dxa" w:w="1180"/>
            <w:shd w:fill="FBE4E4" w:color="auto" w:val="clear"/>
            <w:tcMar>
              <w:top w:type="dxa" w:w="55"/>
              <w:left w:type="dxa" w:w="85"/>
              <w:bottom w:type="dxa" w:w="55"/>
              <w:right w:type="dxa" w:w="85"/>
            </w:tcMar>
          </w:tcPr>
          <w:p>
            <w:pPr>
              <w:spacing w:after="0"/>
              <w:jc w:val="right"/>
            </w:pPr>
            <w:r>
              <w:rPr>
                <w:sz w:val="18"/>
                <w:szCs w:val="18"/>
              </w:rPr>
              <w:t xml:space="preserve">1 124</w:t>
            </w:r>
          </w:p>
        </w:tc>
        <w:tc>
          <w:tcPr>
            <w:tcW w:type="dxa" w:w="1100"/>
            <w:shd w:fill="FBE4E4" w:color="auto" w:val="clear"/>
            <w:tcMar>
              <w:top w:type="dxa" w:w="55"/>
              <w:left w:type="dxa" w:w="85"/>
              <w:bottom w:type="dxa" w:w="55"/>
              <w:right w:type="dxa" w:w="85"/>
            </w:tcMar>
          </w:tcPr>
          <w:p>
            <w:pPr>
              <w:spacing w:after="0"/>
              <w:jc w:val="right"/>
            </w:pPr>
            <w:r>
              <w:rPr>
                <w:sz w:val="18"/>
                <w:szCs w:val="18"/>
              </w:rPr>
              <w:t xml:space="preserve">84,50 %</w:t>
            </w:r>
          </w:p>
        </w:tc>
        <w:tc>
          <w:tcPr>
            <w:tcW w:type="dxa" w:w="1080"/>
            <w:shd w:fill="FBE4E4" w:color="auto" w:val="clear"/>
            <w:tcMar>
              <w:top w:type="dxa" w:w="55"/>
              <w:left w:type="dxa" w:w="85"/>
              <w:bottom w:type="dxa" w:w="55"/>
              <w:right w:type="dxa" w:w="85"/>
            </w:tcMar>
          </w:tcPr>
          <w:p>
            <w:pPr>
              <w:spacing w:after="0"/>
              <w:jc w:val="right"/>
            </w:pPr>
            <w:r>
              <w:rPr>
                <w:sz w:val="18"/>
                <w:szCs w:val="18"/>
              </w:rPr>
              <w:t xml:space="preserve">0,957</w:t>
            </w:r>
          </w:p>
        </w:tc>
        <w:tc>
          <w:tcPr>
            <w:tcW w:type="dxa" w:w="1000"/>
            <w:shd w:fill="FBE4E4" w:color="auto" w:val="clear"/>
            <w:tcMar>
              <w:top w:type="dxa" w:w="55"/>
              <w:left w:type="dxa" w:w="85"/>
              <w:bottom w:type="dxa" w:w="55"/>
              <w:right w:type="dxa" w:w="85"/>
            </w:tcMar>
          </w:tcPr>
          <w:p>
            <w:pPr>
              <w:spacing w:after="0"/>
              <w:jc w:val="right"/>
            </w:pPr>
            <w:r>
              <w:rPr>
                <w:sz w:val="18"/>
                <w:szCs w:val="18"/>
              </w:rPr>
              <w:t xml:space="preserve">0,004</w:t>
            </w:r>
          </w:p>
        </w:tc>
      </w:tr>
      <w:tr>
        <w:tc>
          <w:tcPr>
            <w:tcW w:type="dxa" w:w="2000"/>
            <w:tcMar>
              <w:top w:type="dxa" w:w="55"/>
              <w:left w:type="dxa" w:w="85"/>
              <w:bottom w:type="dxa" w:w="55"/>
              <w:right w:type="dxa" w:w="85"/>
            </w:tcMar>
          </w:tcPr>
          <w:p>
            <w:pPr>
              <w:spacing w:after="0"/>
              <w:jc w:val="left"/>
            </w:pPr>
            <w:r>
              <w:rPr>
                <w:sz w:val="18"/>
                <w:szCs w:val="18"/>
              </w:rPr>
              <w:t xml:space="preserve">GMM</w:t>
            </w:r>
          </w:p>
        </w:tc>
        <w:tc>
          <w:tcPr>
            <w:tcW w:type="dxa" w:w="520"/>
            <w:tcMar>
              <w:top w:type="dxa" w:w="55"/>
              <w:left w:type="dxa" w:w="85"/>
              <w:bottom w:type="dxa" w:w="55"/>
              <w:right w:type="dxa" w:w="85"/>
            </w:tcMar>
          </w:tcPr>
          <w:p>
            <w:pPr>
              <w:spacing w:after="0"/>
              <w:jc w:val="right"/>
            </w:pPr>
            <w:r>
              <w:rPr>
                <w:sz w:val="18"/>
                <w:szCs w:val="18"/>
              </w:rPr>
              <w:t xml:space="preserve">10</w:t>
            </w:r>
          </w:p>
        </w:tc>
        <w:tc>
          <w:tcPr>
            <w:tcW w:type="dxa" w:w="1240"/>
            <w:tcMar>
              <w:top w:type="dxa" w:w="55"/>
              <w:left w:type="dxa" w:w="85"/>
              <w:bottom w:type="dxa" w:w="55"/>
              <w:right w:type="dxa" w:w="85"/>
            </w:tcMar>
          </w:tcPr>
          <w:p>
            <w:pPr>
              <w:spacing w:after="0"/>
              <w:jc w:val="right"/>
            </w:pPr>
            <w:r>
              <w:rPr>
                <w:sz w:val="18"/>
                <w:szCs w:val="18"/>
              </w:rPr>
              <w:t xml:space="preserve">0,4439</w:t>
            </w:r>
          </w:p>
        </w:tc>
        <w:tc>
          <w:tcPr>
            <w:tcW w:type="dxa" w:w="1240"/>
            <w:tcMar>
              <w:top w:type="dxa" w:w="55"/>
              <w:left w:type="dxa" w:w="85"/>
              <w:bottom w:type="dxa" w:w="55"/>
              <w:right w:type="dxa" w:w="85"/>
            </w:tcMar>
          </w:tcPr>
          <w:p>
            <w:pPr>
              <w:spacing w:after="0"/>
              <w:jc w:val="right"/>
            </w:pPr>
            <w:r>
              <w:rPr>
                <w:sz w:val="18"/>
                <w:szCs w:val="18"/>
              </w:rPr>
              <w:t xml:space="preserve">2,194</w:t>
            </w:r>
          </w:p>
        </w:tc>
        <w:tc>
          <w:tcPr>
            <w:tcW w:type="dxa" w:w="1180"/>
            <w:tcMar>
              <w:top w:type="dxa" w:w="55"/>
              <w:left w:type="dxa" w:w="85"/>
              <w:bottom w:type="dxa" w:w="55"/>
              <w:right w:type="dxa" w:w="85"/>
            </w:tcMar>
          </w:tcPr>
          <w:p>
            <w:pPr>
              <w:spacing w:after="0"/>
              <w:jc w:val="right"/>
            </w:pPr>
            <w:r>
              <w:rPr>
                <w:sz w:val="18"/>
                <w:szCs w:val="18"/>
              </w:rPr>
              <w:t xml:space="preserve">1 875</w:t>
            </w:r>
          </w:p>
        </w:tc>
        <w:tc>
          <w:tcPr>
            <w:tcW w:type="dxa" w:w="1100"/>
            <w:tcMar>
              <w:top w:type="dxa" w:w="55"/>
              <w:left w:type="dxa" w:w="85"/>
              <w:bottom w:type="dxa" w:w="55"/>
              <w:right w:type="dxa" w:w="85"/>
            </w:tcMar>
          </w:tcPr>
          <w:p>
            <w:pPr>
              <w:spacing w:after="0"/>
              <w:jc w:val="right"/>
            </w:pPr>
            <w:r>
              <w:rPr>
                <w:sz w:val="18"/>
                <w:szCs w:val="18"/>
              </w:rPr>
              <w:t xml:space="preserve">100,00 %</w:t>
            </w:r>
          </w:p>
        </w:tc>
        <w:tc>
          <w:tcPr>
            <w:tcW w:type="dxa" w:w="1080"/>
            <w:tcMar>
              <w:top w:type="dxa" w:w="55"/>
              <w:left w:type="dxa" w:w="85"/>
              <w:bottom w:type="dxa" w:w="55"/>
              <w:right w:type="dxa" w:w="85"/>
            </w:tcMar>
          </w:tcPr>
          <w:p>
            <w:pPr>
              <w:spacing w:after="0"/>
              <w:jc w:val="right"/>
            </w:pPr>
            <w:r>
              <w:rPr>
                <w:sz w:val="18"/>
                <w:szCs w:val="18"/>
              </w:rPr>
              <w:t xml:space="preserve">0,787</w:t>
            </w:r>
          </w:p>
        </w:tc>
        <w:tc>
          <w:tcPr>
            <w:tcW w:type="dxa" w:w="1000"/>
            <w:tcMar>
              <w:top w:type="dxa" w:w="55"/>
              <w:left w:type="dxa" w:w="85"/>
              <w:bottom w:type="dxa" w:w="55"/>
              <w:right w:type="dxa" w:w="85"/>
            </w:tcMar>
          </w:tcPr>
          <w:p>
            <w:pPr>
              <w:spacing w:after="0"/>
              <w:jc w:val="right"/>
            </w:pPr>
            <w:r>
              <w:rPr>
                <w:sz w:val="18"/>
                <w:szCs w:val="18"/>
              </w:rPr>
              <w:t xml:space="preserve">0,068</w:t>
            </w:r>
          </w:p>
        </w:tc>
      </w:tr>
      <w:tr>
        <w:tc>
          <w:tcPr>
            <w:tcW w:type="dxa" w:w="2000"/>
            <w:tcMar>
              <w:top w:type="dxa" w:w="55"/>
              <w:left w:type="dxa" w:w="85"/>
              <w:bottom w:type="dxa" w:w="55"/>
              <w:right w:type="dxa" w:w="85"/>
            </w:tcMar>
          </w:tcPr>
          <w:p>
            <w:pPr>
              <w:spacing w:after="0"/>
              <w:jc w:val="left"/>
            </w:pPr>
            <w:r>
              <w:rPr>
                <w:sz w:val="18"/>
                <w:szCs w:val="18"/>
              </w:rPr>
              <w:t xml:space="preserve">Jerárquico (promedio)</w:t>
            </w:r>
          </w:p>
        </w:tc>
        <w:tc>
          <w:tcPr>
            <w:tcW w:type="dxa" w:w="520"/>
            <w:tcMar>
              <w:top w:type="dxa" w:w="55"/>
              <w:left w:type="dxa" w:w="85"/>
              <w:bottom w:type="dxa" w:w="55"/>
              <w:right w:type="dxa" w:w="85"/>
            </w:tcMar>
          </w:tcPr>
          <w:p>
            <w:pPr>
              <w:spacing w:after="0"/>
              <w:jc w:val="right"/>
            </w:pPr>
            <w:r>
              <w:rPr>
                <w:sz w:val="18"/>
                <w:szCs w:val="18"/>
              </w:rPr>
              <w:t xml:space="preserve">3</w:t>
            </w:r>
          </w:p>
        </w:tc>
        <w:tc>
          <w:tcPr>
            <w:tcW w:type="dxa" w:w="1240"/>
            <w:tcMar>
              <w:top w:type="dxa" w:w="55"/>
              <w:left w:type="dxa" w:w="85"/>
              <w:bottom w:type="dxa" w:w="55"/>
              <w:right w:type="dxa" w:w="85"/>
            </w:tcMar>
          </w:tcPr>
          <w:p>
            <w:pPr>
              <w:spacing w:after="0"/>
              <w:jc w:val="right"/>
            </w:pPr>
            <w:r>
              <w:rPr>
                <w:sz w:val="18"/>
                <w:szCs w:val="18"/>
              </w:rPr>
              <w:t xml:space="preserve">0,3987</w:t>
            </w:r>
          </w:p>
        </w:tc>
        <w:tc>
          <w:tcPr>
            <w:tcW w:type="dxa" w:w="1240"/>
            <w:tcMar>
              <w:top w:type="dxa" w:w="55"/>
              <w:left w:type="dxa" w:w="85"/>
              <w:bottom w:type="dxa" w:w="55"/>
              <w:right w:type="dxa" w:w="85"/>
            </w:tcMar>
          </w:tcPr>
          <w:p>
            <w:pPr>
              <w:spacing w:after="0"/>
              <w:jc w:val="right"/>
            </w:pPr>
            <w:r>
              <w:rPr>
                <w:sz w:val="18"/>
                <w:szCs w:val="18"/>
              </w:rPr>
              <w:t xml:space="preserve">1,016</w:t>
            </w:r>
          </w:p>
        </w:tc>
        <w:tc>
          <w:tcPr>
            <w:tcW w:type="dxa" w:w="1180"/>
            <w:tcMar>
              <w:top w:type="dxa" w:w="55"/>
              <w:left w:type="dxa" w:w="85"/>
              <w:bottom w:type="dxa" w:w="55"/>
              <w:right w:type="dxa" w:w="85"/>
            </w:tcMar>
          </w:tcPr>
          <w:p>
            <w:pPr>
              <w:spacing w:after="0"/>
              <w:jc w:val="right"/>
            </w:pPr>
            <w:r>
              <w:rPr>
                <w:sz w:val="18"/>
                <w:szCs w:val="18"/>
              </w:rPr>
              <w:t xml:space="preserve">860</w:t>
            </w:r>
          </w:p>
        </w:tc>
        <w:tc>
          <w:tcPr>
            <w:tcW w:type="dxa" w:w="1100"/>
            <w:tcMar>
              <w:top w:type="dxa" w:w="55"/>
              <w:left w:type="dxa" w:w="85"/>
              <w:bottom w:type="dxa" w:w="55"/>
              <w:right w:type="dxa" w:w="85"/>
            </w:tcMar>
          </w:tcPr>
          <w:p>
            <w:pPr>
              <w:spacing w:after="0"/>
              <w:jc w:val="right"/>
            </w:pPr>
            <w:r>
              <w:rPr>
                <w:sz w:val="18"/>
                <w:szCs w:val="18"/>
              </w:rPr>
              <w:t xml:space="preserve">100,00 %</w:t>
            </w:r>
          </w:p>
        </w:tc>
        <w:tc>
          <w:tcPr>
            <w:tcW w:type="dxa" w:w="1080"/>
            <w:tcMar>
              <w:top w:type="dxa" w:w="55"/>
              <w:left w:type="dxa" w:w="85"/>
              <w:bottom w:type="dxa" w:w="55"/>
              <w:right w:type="dxa" w:w="85"/>
            </w:tcMar>
          </w:tcPr>
          <w:p>
            <w:pPr>
              <w:spacing w:after="0"/>
              <w:jc w:val="right"/>
            </w:pPr>
            <w:r>
              <w:rPr>
                <w:sz w:val="18"/>
                <w:szCs w:val="18"/>
              </w:rPr>
              <w:t xml:space="preserve">1,000</w:t>
            </w:r>
          </w:p>
        </w:tc>
        <w:tc>
          <w:tcPr>
            <w:tcW w:type="dxa" w:w="1000"/>
            <w:tcMar>
              <w:top w:type="dxa" w:w="55"/>
              <w:left w:type="dxa" w:w="85"/>
              <w:bottom w:type="dxa" w:w="55"/>
              <w:right w:type="dxa" w:w="85"/>
            </w:tcMar>
          </w:tcPr>
          <w:p>
            <w:pPr>
              <w:spacing w:after="0"/>
              <w:jc w:val="right"/>
            </w:pPr>
            <w:r>
              <w:rPr>
                <w:sz w:val="18"/>
                <w:szCs w:val="18"/>
              </w:rPr>
              <w:t xml:space="preserve">0,001</w:t>
            </w:r>
          </w:p>
        </w:tc>
      </w:tr>
      <w:tr>
        <w:tc>
          <w:tcPr>
            <w:tcW w:type="dxa" w:w="2000"/>
            <w:tcMar>
              <w:top w:type="dxa" w:w="55"/>
              <w:left w:type="dxa" w:w="85"/>
              <w:bottom w:type="dxa" w:w="55"/>
              <w:right w:type="dxa" w:w="85"/>
            </w:tcMar>
          </w:tcPr>
          <w:p>
            <w:pPr>
              <w:spacing w:after="0"/>
              <w:jc w:val="left"/>
            </w:pPr>
            <w:r>
              <w:rPr>
                <w:sz w:val="18"/>
                <w:szCs w:val="18"/>
              </w:rPr>
              <w:t xml:space="preserve">K-Means</w:t>
            </w:r>
          </w:p>
        </w:tc>
        <w:tc>
          <w:tcPr>
            <w:tcW w:type="dxa" w:w="520"/>
            <w:tcMar>
              <w:top w:type="dxa" w:w="55"/>
              <w:left w:type="dxa" w:w="85"/>
              <w:bottom w:type="dxa" w:w="55"/>
              <w:right w:type="dxa" w:w="85"/>
            </w:tcMar>
          </w:tcPr>
          <w:p>
            <w:pPr>
              <w:spacing w:after="0"/>
              <w:jc w:val="right"/>
            </w:pPr>
            <w:r>
              <w:rPr>
                <w:sz w:val="18"/>
                <w:szCs w:val="18"/>
              </w:rPr>
              <w:t xml:space="preserve">5</w:t>
            </w:r>
          </w:p>
        </w:tc>
        <w:tc>
          <w:tcPr>
            <w:tcW w:type="dxa" w:w="1240"/>
            <w:tcMar>
              <w:top w:type="dxa" w:w="55"/>
              <w:left w:type="dxa" w:w="85"/>
              <w:bottom w:type="dxa" w:w="55"/>
              <w:right w:type="dxa" w:w="85"/>
            </w:tcMar>
          </w:tcPr>
          <w:p>
            <w:pPr>
              <w:spacing w:after="0"/>
              <w:jc w:val="right"/>
            </w:pPr>
            <w:r>
              <w:rPr>
                <w:sz w:val="18"/>
                <w:szCs w:val="18"/>
              </w:rPr>
              <w:t xml:space="preserve">0,2156</w:t>
            </w:r>
          </w:p>
        </w:tc>
        <w:tc>
          <w:tcPr>
            <w:tcW w:type="dxa" w:w="1240"/>
            <w:tcMar>
              <w:top w:type="dxa" w:w="55"/>
              <w:left w:type="dxa" w:w="85"/>
              <w:bottom w:type="dxa" w:w="55"/>
              <w:right w:type="dxa" w:w="85"/>
            </w:tcMar>
          </w:tcPr>
          <w:p>
            <w:pPr>
              <w:spacing w:after="0"/>
              <w:jc w:val="right"/>
            </w:pPr>
            <w:r>
              <w:rPr>
                <w:sz w:val="18"/>
                <w:szCs w:val="18"/>
              </w:rPr>
              <w:t xml:space="preserve">1,010</w:t>
            </w:r>
          </w:p>
        </w:tc>
        <w:tc>
          <w:tcPr>
            <w:tcW w:type="dxa" w:w="1180"/>
            <w:tcMar>
              <w:top w:type="dxa" w:w="55"/>
              <w:left w:type="dxa" w:w="85"/>
              <w:bottom w:type="dxa" w:w="55"/>
              <w:right w:type="dxa" w:w="85"/>
            </w:tcMar>
          </w:tcPr>
          <w:p>
            <w:pPr>
              <w:spacing w:after="0"/>
              <w:jc w:val="right"/>
            </w:pPr>
            <w:r>
              <w:rPr>
                <w:sz w:val="18"/>
                <w:szCs w:val="18"/>
              </w:rPr>
              <w:t xml:space="preserve">3 902</w:t>
            </w:r>
          </w:p>
        </w:tc>
        <w:tc>
          <w:tcPr>
            <w:tcW w:type="dxa" w:w="1100"/>
            <w:tcMar>
              <w:top w:type="dxa" w:w="55"/>
              <w:left w:type="dxa" w:w="85"/>
              <w:bottom w:type="dxa" w:w="55"/>
              <w:right w:type="dxa" w:w="85"/>
            </w:tcMar>
          </w:tcPr>
          <w:p>
            <w:pPr>
              <w:spacing w:after="0"/>
              <w:jc w:val="right"/>
            </w:pPr>
            <w:r>
              <w:rPr>
                <w:sz w:val="18"/>
                <w:szCs w:val="18"/>
              </w:rPr>
              <w:t xml:space="preserve">100,00 %</w:t>
            </w:r>
          </w:p>
        </w:tc>
        <w:tc>
          <w:tcPr>
            <w:tcW w:type="dxa" w:w="1080"/>
            <w:tcMar>
              <w:top w:type="dxa" w:w="55"/>
              <w:left w:type="dxa" w:w="85"/>
              <w:bottom w:type="dxa" w:w="55"/>
              <w:right w:type="dxa" w:w="85"/>
            </w:tcMar>
          </w:tcPr>
          <w:p>
            <w:pPr>
              <w:spacing w:after="0"/>
              <w:jc w:val="right"/>
            </w:pPr>
            <w:r>
              <w:rPr>
                <w:sz w:val="18"/>
                <w:szCs w:val="18"/>
              </w:rPr>
              <w:t xml:space="preserve">0,738</w:t>
            </w:r>
          </w:p>
        </w:tc>
        <w:tc>
          <w:tcPr>
            <w:tcW w:type="dxa" w:w="1000"/>
            <w:tcMar>
              <w:top w:type="dxa" w:w="55"/>
              <w:left w:type="dxa" w:w="85"/>
              <w:bottom w:type="dxa" w:w="55"/>
              <w:right w:type="dxa" w:w="85"/>
            </w:tcMar>
          </w:tcPr>
          <w:p>
            <w:pPr>
              <w:spacing w:after="0"/>
              <w:jc w:val="right"/>
            </w:pPr>
            <w:r>
              <w:rPr>
                <w:sz w:val="18"/>
                <w:szCs w:val="18"/>
              </w:rPr>
              <w:t xml:space="preserve">0,222</w:t>
            </w:r>
          </w:p>
        </w:tc>
      </w:tr>
      <w:tr>
        <w:tc>
          <w:tcPr>
            <w:tcW w:type="dxa" w:w="2000"/>
            <w:tcMar>
              <w:top w:type="dxa" w:w="55"/>
              <w:left w:type="dxa" w:w="85"/>
              <w:bottom w:type="dxa" w:w="55"/>
              <w:right w:type="dxa" w:w="85"/>
            </w:tcMar>
          </w:tcPr>
          <w:p>
            <w:pPr>
              <w:spacing w:after="0"/>
              <w:jc w:val="left"/>
            </w:pPr>
            <w:r>
              <w:rPr>
                <w:sz w:val="18"/>
                <w:szCs w:val="18"/>
              </w:rPr>
              <w:t xml:space="preserve">K-Prototypes</w:t>
            </w:r>
          </w:p>
        </w:tc>
        <w:tc>
          <w:tcPr>
            <w:tcW w:type="dxa" w:w="520"/>
            <w:tcMar>
              <w:top w:type="dxa" w:w="55"/>
              <w:left w:type="dxa" w:w="85"/>
              <w:bottom w:type="dxa" w:w="55"/>
              <w:right w:type="dxa" w:w="85"/>
            </w:tcMar>
          </w:tcPr>
          <w:p>
            <w:pPr>
              <w:spacing w:after="0"/>
              <w:jc w:val="right"/>
            </w:pPr>
            <w:r>
              <w:rPr>
                <w:sz w:val="18"/>
                <w:szCs w:val="18"/>
              </w:rPr>
              <w:t xml:space="preserve">3</w:t>
            </w:r>
          </w:p>
        </w:tc>
        <w:tc>
          <w:tcPr>
            <w:tcW w:type="dxa" w:w="1240"/>
            <w:tcMar>
              <w:top w:type="dxa" w:w="55"/>
              <w:left w:type="dxa" w:w="85"/>
              <w:bottom w:type="dxa" w:w="55"/>
              <w:right w:type="dxa" w:w="85"/>
            </w:tcMar>
          </w:tcPr>
          <w:p>
            <w:pPr>
              <w:spacing w:after="0"/>
              <w:jc w:val="right"/>
            </w:pPr>
            <w:r>
              <w:rPr>
                <w:sz w:val="18"/>
                <w:szCs w:val="18"/>
              </w:rPr>
              <w:t xml:space="preserve">0,2022</w:t>
            </w:r>
          </w:p>
        </w:tc>
        <w:tc>
          <w:tcPr>
            <w:tcW w:type="dxa" w:w="1240"/>
            <w:tcMar>
              <w:top w:type="dxa" w:w="55"/>
              <w:left w:type="dxa" w:w="85"/>
              <w:bottom w:type="dxa" w:w="55"/>
              <w:right w:type="dxa" w:w="85"/>
            </w:tcMar>
          </w:tcPr>
          <w:p>
            <w:pPr>
              <w:spacing w:after="0"/>
              <w:jc w:val="right"/>
            </w:pPr>
            <w:r>
              <w:rPr>
                <w:sz w:val="18"/>
                <w:szCs w:val="18"/>
              </w:rPr>
              <w:t xml:space="preserve">1,475</w:t>
            </w:r>
          </w:p>
        </w:tc>
        <w:tc>
          <w:tcPr>
            <w:tcW w:type="dxa" w:w="1180"/>
            <w:tcMar>
              <w:top w:type="dxa" w:w="55"/>
              <w:left w:type="dxa" w:w="85"/>
              <w:bottom w:type="dxa" w:w="55"/>
              <w:right w:type="dxa" w:w="85"/>
            </w:tcMar>
          </w:tcPr>
          <w:p>
            <w:pPr>
              <w:spacing w:after="0"/>
              <w:jc w:val="right"/>
            </w:pPr>
            <w:r>
              <w:rPr>
                <w:sz w:val="18"/>
                <w:szCs w:val="18"/>
              </w:rPr>
              <w:t xml:space="preserve">4 253</w:t>
            </w:r>
          </w:p>
        </w:tc>
        <w:tc>
          <w:tcPr>
            <w:tcW w:type="dxa" w:w="1100"/>
            <w:tcMar>
              <w:top w:type="dxa" w:w="55"/>
              <w:left w:type="dxa" w:w="85"/>
              <w:bottom w:type="dxa" w:w="55"/>
              <w:right w:type="dxa" w:w="85"/>
            </w:tcMar>
          </w:tcPr>
          <w:p>
            <w:pPr>
              <w:spacing w:after="0"/>
              <w:jc w:val="right"/>
            </w:pPr>
            <w:r>
              <w:rPr>
                <w:sz w:val="18"/>
                <w:szCs w:val="18"/>
              </w:rPr>
              <w:t xml:space="preserve">100,00 %</w:t>
            </w:r>
          </w:p>
        </w:tc>
        <w:tc>
          <w:tcPr>
            <w:tcW w:type="dxa" w:w="1080"/>
            <w:tcMar>
              <w:top w:type="dxa" w:w="55"/>
              <w:left w:type="dxa" w:w="85"/>
              <w:bottom w:type="dxa" w:w="55"/>
              <w:right w:type="dxa" w:w="85"/>
            </w:tcMar>
          </w:tcPr>
          <w:p>
            <w:pPr>
              <w:spacing w:after="0"/>
              <w:jc w:val="right"/>
            </w:pPr>
            <w:r>
              <w:rPr>
                <w:sz w:val="18"/>
                <w:szCs w:val="18"/>
              </w:rPr>
              <w:t xml:space="preserve">0,988</w:t>
            </w:r>
          </w:p>
        </w:tc>
        <w:tc>
          <w:tcPr>
            <w:tcW w:type="dxa" w:w="1000"/>
            <w:tcMar>
              <w:top w:type="dxa" w:w="55"/>
              <w:left w:type="dxa" w:w="85"/>
              <w:bottom w:type="dxa" w:w="55"/>
              <w:right w:type="dxa" w:w="85"/>
            </w:tcMar>
          </w:tcPr>
          <w:p>
            <w:pPr>
              <w:spacing w:after="0"/>
              <w:jc w:val="right"/>
            </w:pPr>
            <w:r>
              <w:rPr>
                <w:sz w:val="18"/>
                <w:szCs w:val="18"/>
              </w:rPr>
              <w:t xml:space="preserve">0,005</w:t>
            </w:r>
          </w:p>
        </w:tc>
      </w:tr>
    </w:tbl>
    <w:p>
      <w:pPr>
        <w:pBdr>
          <w:left w:val="single" w:color="1F4E79" w:sz="12" w:space="10"/>
        </w:pBdr>
        <w:spacing w:after="160" w:before="60"/>
        <w:ind w:left="180"/>
      </w:pPr>
      <w:r>
        <w:rPr>
          <w:i/>
          <w:iCs/>
          <w:color w:val="444444"/>
          <w:sz w:val="19"/>
          <w:szCs w:val="19"/>
        </w:rPr>
        <w:t xml:space="preserve">Fila verde: ganador. Fila roja: descartado por la regla de decisión. Davies-Bouldin y Calinski-Harabasz están calculados sobre la matriz codificada (euclidiana), no sobre Gower — criterio secundario.</w:t>
      </w:r>
    </w:p>
    <w:p>
      <w:pPr>
        <w:pStyle w:val="Heading2"/>
        <w:spacing w:after="120" w:before="260"/>
      </w:pPr>
      <w:r>
        <w:rPr>
          <w:b/>
          <w:bCs/>
          <w:color w:val="1F4E79"/>
        </w:rPr>
        <w:t xml:space="preserve">4.2 Tabla 7 — Líneas base de control</w:t>
      </w:r>
    </w:p>
    <w:tbl>
      <w:tblPr>
        <w:tblW w:type="dxa" w:w="9360"/>
        <w:tblBorders>
          <w:top w:val="single" w:color="AAAAAA" w:sz="4"/>
          <w:left w:val="none"/>
          <w:bottom w:val="single" w:color="AAAAAA" w:sz="4"/>
          <w:right w:val="none"/>
          <w:insideH w:val="single" w:color="DDDDDD" w:sz="2"/>
          <w:insideV w:val="none"/>
        </w:tblBorders>
      </w:tblPr>
      <w:tblGrid>
        <w:gridCol w:w="2600"/>
        <w:gridCol w:w="560"/>
        <w:gridCol w:w="1400"/>
        <w:gridCol w:w="1400"/>
        <w:gridCol w:w="1300"/>
        <w:gridCol w:w="1100"/>
        <w:gridCol w:w="1000"/>
      </w:tblGrid>
      <w:tr>
        <w:trPr>
          <w:tblHeader/>
        </w:trPr>
        <w:tc>
          <w:tcPr>
            <w:tcW w:type="dxa" w:w="2600"/>
            <w:shd w:fill="DCE6F1" w:color="auto" w:val="clear"/>
            <w:tcMar>
              <w:top w:type="dxa" w:w="55"/>
              <w:left w:type="dxa" w:w="85"/>
              <w:bottom w:type="dxa" w:w="55"/>
              <w:right w:type="dxa" w:w="85"/>
            </w:tcMar>
          </w:tcPr>
          <w:p>
            <w:pPr>
              <w:spacing w:after="0"/>
              <w:jc w:val="left"/>
            </w:pPr>
            <w:r>
              <w:rPr>
                <w:b/>
                <w:bCs/>
                <w:sz w:val="18"/>
                <w:szCs w:val="18"/>
              </w:rPr>
              <w:t xml:space="preserve">Referencia</w:t>
            </w:r>
          </w:p>
        </w:tc>
        <w:tc>
          <w:tcPr>
            <w:tcW w:type="dxa" w:w="56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Davies-Bouldin</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Calinski-H.</w:t>
            </w:r>
          </w:p>
        </w:tc>
        <w:tc>
          <w:tcPr>
            <w:tcW w:type="dxa" w:w="11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000"/>
            <w:shd w:fill="DCE6F1" w:color="auto" w:val="clear"/>
            <w:tcMar>
              <w:top w:type="dxa" w:w="55"/>
              <w:left w:type="dxa" w:w="85"/>
              <w:bottom w:type="dxa" w:w="55"/>
              <w:right w:type="dxa" w:w="85"/>
            </w:tcMar>
          </w:tcPr>
          <w:p>
            <w:pPr>
              <w:spacing w:after="0"/>
              <w:jc w:val="right"/>
            </w:pPr>
            <w:r>
              <w:rPr>
                <w:b/>
                <w:bCs/>
                <w:sz w:val="18"/>
                <w:szCs w:val="18"/>
              </w:rPr>
              <w:t xml:space="preserve">ARI</w:t>
            </w:r>
          </w:p>
        </w:tc>
      </w:tr>
      <w:tr>
        <w:tc>
          <w:tcPr>
            <w:tcW w:type="dxa" w:w="2600"/>
            <w:tcMar>
              <w:top w:type="dxa" w:w="55"/>
              <w:left w:type="dxa" w:w="85"/>
              <w:bottom w:type="dxa" w:w="55"/>
              <w:right w:type="dxa" w:w="85"/>
            </w:tcMar>
          </w:tcPr>
          <w:p>
            <w:pPr>
              <w:spacing w:after="0"/>
              <w:jc w:val="left"/>
            </w:pPr>
            <w:r>
              <w:rPr>
                <w:sz w:val="18"/>
                <w:szCs w:val="18"/>
              </w:rPr>
              <w:t xml:space="preserve">LÍNEA BASE: aleatoria</w:t>
            </w:r>
          </w:p>
        </w:tc>
        <w:tc>
          <w:tcPr>
            <w:tcW w:type="dxa" w:w="560"/>
            <w:tcMar>
              <w:top w:type="dxa" w:w="55"/>
              <w:left w:type="dxa" w:w="85"/>
              <w:bottom w:type="dxa" w:w="55"/>
              <w:right w:type="dxa" w:w="85"/>
            </w:tcMar>
          </w:tcPr>
          <w:p>
            <w:pPr>
              <w:spacing w:after="0"/>
              <w:jc w:val="right"/>
            </w:pPr>
            <w:r>
              <w:rPr>
                <w:sz w:val="18"/>
                <w:szCs w:val="18"/>
              </w:rPr>
              <w:t xml:space="preserve">5</w:t>
            </w:r>
          </w:p>
        </w:tc>
        <w:tc>
          <w:tcPr>
            <w:tcW w:type="dxa" w:w="1400"/>
            <w:tcMar>
              <w:top w:type="dxa" w:w="55"/>
              <w:left w:type="dxa" w:w="85"/>
              <w:bottom w:type="dxa" w:w="55"/>
              <w:right w:type="dxa" w:w="85"/>
            </w:tcMar>
          </w:tcPr>
          <w:p>
            <w:pPr>
              <w:spacing w:after="0"/>
              <w:jc w:val="right"/>
            </w:pPr>
            <w:r>
              <w:rPr>
                <w:sz w:val="18"/>
                <w:szCs w:val="18"/>
              </w:rPr>
              <w:t xml:space="preserve">-0,0088</w:t>
            </w:r>
          </w:p>
        </w:tc>
        <w:tc>
          <w:tcPr>
            <w:tcW w:type="dxa" w:w="1400"/>
            <w:tcMar>
              <w:top w:type="dxa" w:w="55"/>
              <w:left w:type="dxa" w:w="85"/>
              <w:bottom w:type="dxa" w:w="55"/>
              <w:right w:type="dxa" w:w="85"/>
            </w:tcMar>
          </w:tcPr>
          <w:p>
            <w:pPr>
              <w:spacing w:after="0"/>
              <w:jc w:val="right"/>
            </w:pPr>
            <w:r>
              <w:rPr>
                <w:sz w:val="18"/>
                <w:szCs w:val="18"/>
              </w:rPr>
              <w:t xml:space="preserve">110,988</w:t>
            </w:r>
          </w:p>
        </w:tc>
        <w:tc>
          <w:tcPr>
            <w:tcW w:type="dxa" w:w="1300"/>
            <w:tcMar>
              <w:top w:type="dxa" w:w="55"/>
              <w:left w:type="dxa" w:w="85"/>
              <w:bottom w:type="dxa" w:w="55"/>
              <w:right w:type="dxa" w:w="85"/>
            </w:tcMar>
          </w:tcPr>
          <w:p>
            <w:pPr>
              <w:spacing w:after="0"/>
              <w:jc w:val="right"/>
            </w:pPr>
            <w:r>
              <w:rPr>
                <w:sz w:val="18"/>
                <w:szCs w:val="18"/>
              </w:rPr>
              <w:t xml:space="preserve">0,6</w:t>
            </w:r>
          </w:p>
        </w:tc>
        <w:tc>
          <w:tcPr>
            <w:tcW w:type="dxa" w:w="1100"/>
            <w:tcMar>
              <w:top w:type="dxa" w:w="55"/>
              <w:left w:type="dxa" w:w="85"/>
              <w:bottom w:type="dxa" w:w="55"/>
              <w:right w:type="dxa" w:w="85"/>
            </w:tcMar>
          </w:tcPr>
          <w:p>
            <w:pPr>
              <w:spacing w:after="0"/>
              <w:jc w:val="right"/>
            </w:pPr>
            <w:r>
              <w:rPr>
                <w:sz w:val="18"/>
                <w:szCs w:val="18"/>
              </w:rPr>
              <w:t xml:space="preserve">100,00 %</w:t>
            </w:r>
          </w:p>
        </w:tc>
        <w:tc>
          <w:tcPr>
            <w:tcW w:type="dxa" w:w="1000"/>
            <w:tcMar>
              <w:top w:type="dxa" w:w="55"/>
              <w:left w:type="dxa" w:w="85"/>
              <w:bottom w:type="dxa" w:w="55"/>
              <w:right w:type="dxa" w:w="85"/>
            </w:tcMar>
          </w:tcPr>
          <w:p>
            <w:pPr>
              <w:spacing w:after="0"/>
              <w:jc w:val="right"/>
            </w:pPr>
            <w:r>
              <w:rPr>
                <w:sz w:val="18"/>
                <w:szCs w:val="18"/>
              </w:rPr>
              <w:t xml:space="preserve">0,000</w:t>
            </w:r>
          </w:p>
        </w:tc>
      </w:tr>
      <w:tr>
        <w:tc>
          <w:tcPr>
            <w:tcW w:type="dxa" w:w="2600"/>
            <w:tcMar>
              <w:top w:type="dxa" w:w="55"/>
              <w:left w:type="dxa" w:w="85"/>
              <w:bottom w:type="dxa" w:w="55"/>
              <w:right w:type="dxa" w:w="85"/>
            </w:tcMar>
          </w:tcPr>
          <w:p>
            <w:pPr>
              <w:spacing w:after="0"/>
              <w:jc w:val="left"/>
            </w:pPr>
            <w:r>
              <w:rPr>
                <w:sz w:val="18"/>
                <w:szCs w:val="18"/>
              </w:rPr>
              <w:t xml:space="preserve">LÍNEA BASE: por modalidad</w:t>
            </w:r>
          </w:p>
        </w:tc>
        <w:tc>
          <w:tcPr>
            <w:tcW w:type="dxa" w:w="560"/>
            <w:tcMar>
              <w:top w:type="dxa" w:w="55"/>
              <w:left w:type="dxa" w:w="85"/>
              <w:bottom w:type="dxa" w:w="55"/>
              <w:right w:type="dxa" w:w="85"/>
            </w:tcMar>
          </w:tcPr>
          <w:p>
            <w:pPr>
              <w:spacing w:after="0"/>
              <w:jc w:val="right"/>
            </w:pPr>
            <w:r>
              <w:rPr>
                <w:sz w:val="18"/>
                <w:szCs w:val="18"/>
              </w:rPr>
              <w:t xml:space="preserve">19</w:t>
            </w:r>
          </w:p>
        </w:tc>
        <w:tc>
          <w:tcPr>
            <w:tcW w:type="dxa" w:w="1400"/>
            <w:tcMar>
              <w:top w:type="dxa" w:w="55"/>
              <w:left w:type="dxa" w:w="85"/>
              <w:bottom w:type="dxa" w:w="55"/>
              <w:right w:type="dxa" w:w="85"/>
            </w:tcMar>
          </w:tcPr>
          <w:p>
            <w:pPr>
              <w:spacing w:after="0"/>
              <w:jc w:val="right"/>
            </w:pPr>
            <w:r>
              <w:rPr>
                <w:sz w:val="18"/>
                <w:szCs w:val="18"/>
              </w:rPr>
              <w:t xml:space="preserve">0,6055</w:t>
            </w:r>
          </w:p>
        </w:tc>
        <w:tc>
          <w:tcPr>
            <w:tcW w:type="dxa" w:w="1400"/>
            <w:tcMar>
              <w:top w:type="dxa" w:w="55"/>
              <w:left w:type="dxa" w:w="85"/>
              <w:bottom w:type="dxa" w:w="55"/>
              <w:right w:type="dxa" w:w="85"/>
            </w:tcMar>
          </w:tcPr>
          <w:p>
            <w:pPr>
              <w:spacing w:after="0"/>
              <w:jc w:val="right"/>
            </w:pPr>
            <w:r>
              <w:rPr>
                <w:sz w:val="18"/>
                <w:szCs w:val="18"/>
              </w:rPr>
              <w:t xml:space="preserve">1,818</w:t>
            </w:r>
          </w:p>
        </w:tc>
        <w:tc>
          <w:tcPr>
            <w:tcW w:type="dxa" w:w="1300"/>
            <w:tcMar>
              <w:top w:type="dxa" w:w="55"/>
              <w:left w:type="dxa" w:w="85"/>
              <w:bottom w:type="dxa" w:w="55"/>
              <w:right w:type="dxa" w:w="85"/>
            </w:tcMar>
          </w:tcPr>
          <w:p>
            <w:pPr>
              <w:spacing w:after="0"/>
              <w:jc w:val="right"/>
            </w:pPr>
            <w:r>
              <w:rPr>
                <w:sz w:val="18"/>
                <w:szCs w:val="18"/>
              </w:rPr>
              <w:t xml:space="preserve">224,6</w:t>
            </w:r>
          </w:p>
        </w:tc>
        <w:tc>
          <w:tcPr>
            <w:tcW w:type="dxa" w:w="1100"/>
            <w:tcMar>
              <w:top w:type="dxa" w:w="55"/>
              <w:left w:type="dxa" w:w="85"/>
              <w:bottom w:type="dxa" w:w="55"/>
              <w:right w:type="dxa" w:w="85"/>
            </w:tcMar>
          </w:tcPr>
          <w:p>
            <w:pPr>
              <w:spacing w:after="0"/>
              <w:jc w:val="right"/>
            </w:pPr>
            <w:r>
              <w:rPr>
                <w:sz w:val="18"/>
                <w:szCs w:val="18"/>
              </w:rPr>
              <w:t xml:space="preserve">100,00 %</w:t>
            </w:r>
          </w:p>
        </w:tc>
        <w:tc>
          <w:tcPr>
            <w:tcW w:type="dxa" w:w="1000"/>
            <w:tcMar>
              <w:top w:type="dxa" w:w="55"/>
              <w:left w:type="dxa" w:w="85"/>
              <w:bottom w:type="dxa" w:w="55"/>
              <w:right w:type="dxa" w:w="85"/>
            </w:tcMar>
          </w:tcPr>
          <w:p>
            <w:pPr>
              <w:spacing w:after="0"/>
              <w:jc w:val="right"/>
            </w:pPr>
            <w:r>
              <w:rPr>
                <w:sz w:val="18"/>
                <w:szCs w:val="18"/>
              </w:rPr>
              <w:t xml:space="preserve">1,000</w:t>
            </w:r>
          </w:p>
        </w:tc>
      </w:tr>
    </w:tbl>
    <w:p>
      <w:pPr>
        <w:spacing w:after="110"/>
      </w:pPr>
      <w:r>
        <w:rPr>
          <w:sz w:val="21"/>
          <w:szCs w:val="21"/>
        </w:rPr>
        <w:t xml:space="preserve">La línea base por modalidad alcanza una silueta de </w:t>
      </w:r>
      <w:r>
        <w:rPr>
          <w:b/>
          <w:bCs/>
          <w:sz w:val="21"/>
          <w:szCs w:val="21"/>
        </w:rPr>
        <w:t xml:space="preserve">0,6055</w:t>
      </w:r>
      <w:r>
        <w:rPr>
          <w:sz w:val="21"/>
          <w:szCs w:val="21"/>
        </w:rPr>
        <w:t xml:space="preserve">, superior a la del ganador (0,5202) y a la de los seis algoritmos. </w:t>
      </w:r>
      <w:r>
        <w:rPr>
          <w:b/>
          <w:bCs/>
          <w:sz w:val="21"/>
          <w:szCs w:val="21"/>
        </w:rPr>
        <w:t xml:space="preserve">Ningún candidato supera esta referencia trivial.</w:t>
      </w:r>
      <w:r>
        <w:rPr>
          <w:sz w:val="21"/>
          <w:szCs w:val="21"/>
        </w:rPr>
        <w:t xml:space="preserve"> Hay dos razones que lo explican sin excusarlo: la modalidad pesa un sexto en la distancia de Gower, y agrupar por ella anula ese componente dentro de cada grupo; y las modalidades ya vienen correlacionadas con el monto y el tipo de ítem, de modo que arrastran parte de la señal de las otras variables.</w:t>
      </w:r>
    </w:p>
    <w:p>
      <w:pPr>
        <w:spacing w:after="140"/>
      </w:pPr>
      <w:r>
        <w:rPr>
          <w:sz w:val="21"/>
          <w:szCs w:val="21"/>
        </w:rPr>
        <w:t xml:space="preserve">Su ARI de 1,000 es trivial: la partición por modalidad es determinista y no depende de la submuestra, así que no indica calidad alguna.</w:t>
      </w:r>
    </w:p>
    <w:p>
      <w:pPr>
        <w:pStyle w:val="Heading1"/>
        <w:spacing w:after="120" w:before="260"/>
      </w:pPr>
      <w:r>
        <w:rPr>
          <w:b/>
          <w:bCs/>
          <w:color w:val="1F4E79"/>
        </w:rPr>
        <w:t xml:space="preserve">5. Aplicación de la regla de decisión</w:t>
      </w:r>
    </w:p>
    <w:p>
      <w:pPr>
        <w:spacing w:after="110"/>
      </w:pPr>
      <w:r>
        <w:rPr>
          <w:sz w:val="21"/>
          <w:szCs w:val="21"/>
        </w:rPr>
        <w:t xml:space="preserve">La regla se fijó antes de ver los resultados: se descarta todo candidato con cobertura inferior al 90 % o ARI de estabilidad inferior a 0,60; entre los que pasan gana la mayor silueta sobre Gower; una diferencia menor a 0,02 entre los dos mejores constituye empate técnico.</w:t>
      </w:r>
    </w:p>
    <w:p>
      <w:pPr>
        <w:spacing w:after="110"/>
      </w:pPr>
      <w:r>
        <w:rPr>
          <w:b/>
          <w:bCs/>
          <w:color w:val="C00000"/>
          <w:sz w:val="21"/>
          <w:szCs w:val="21"/>
        </w:rPr>
        <w:t xml:space="preserve">DESCARTADO — </w:t>
      </w:r>
      <w:r>
        <w:rPr>
          <w:sz w:val="21"/>
          <w:szCs w:val="21"/>
        </w:rPr>
        <w:t xml:space="preserve">DBSCAN: cobertura 84,50 %, por debajo del mínimo de 90 %.</w:t>
      </w:r>
    </w:p>
    <w:p>
      <w:pPr>
        <w:spacing w:after="90" w:before="140"/>
      </w:pPr>
      <w:r>
        <w:rPr>
          <w:sz w:val="21"/>
          <w:szCs w:val="21"/>
        </w:rPr>
        <w:t xml:space="preserve">Admitidos, ordenados por silueta sobre Gower:</w:t>
      </w:r>
    </w:p>
    <w:p>
      <w:pPr>
        <w:pStyle w:val="ListParagraph"/>
        <w:numPr>
          <w:ilvl w:val="0"/>
          <w:numId w:val="2"/>
        </w:numPr>
        <w:spacing w:after="70"/>
      </w:pPr>
      <w:r>
        <w:rPr>
          <w:sz w:val="21"/>
          <w:szCs w:val="21"/>
        </w:rPr>
        <w:t xml:space="preserve">K-Medoids (PAM) — silueta 0,5202, cobertura 100,00 %, ARI 0,992  ← GANADOR</w:t>
      </w:r>
    </w:p>
    <w:p>
      <w:pPr>
        <w:pStyle w:val="ListParagraph"/>
        <w:numPr>
          <w:ilvl w:val="0"/>
          <w:numId w:val="2"/>
        </w:numPr>
        <w:spacing w:after="70"/>
      </w:pPr>
      <w:r>
        <w:rPr>
          <w:sz w:val="21"/>
          <w:szCs w:val="21"/>
        </w:rPr>
        <w:t xml:space="preserve">GMM — silueta 0,4439, cobertura 100,00 %, ARI 0,787</w:t>
      </w:r>
    </w:p>
    <w:p>
      <w:pPr>
        <w:pStyle w:val="ListParagraph"/>
        <w:numPr>
          <w:ilvl w:val="0"/>
          <w:numId w:val="2"/>
        </w:numPr>
        <w:spacing w:after="70"/>
      </w:pPr>
      <w:r>
        <w:rPr>
          <w:sz w:val="21"/>
          <w:szCs w:val="21"/>
        </w:rPr>
        <w:t xml:space="preserve">Jerárquico (promedio) — silueta 0,3987, cobertura 100,00 %, ARI 1,000</w:t>
      </w:r>
    </w:p>
    <w:p>
      <w:pPr>
        <w:pStyle w:val="ListParagraph"/>
        <w:numPr>
          <w:ilvl w:val="0"/>
          <w:numId w:val="2"/>
        </w:numPr>
        <w:spacing w:after="70"/>
      </w:pPr>
      <w:r>
        <w:rPr>
          <w:sz w:val="21"/>
          <w:szCs w:val="21"/>
        </w:rPr>
        <w:t xml:space="preserve">K-Means — silueta 0,2156, cobertura 100,00 %, ARI 0,738</w:t>
      </w:r>
    </w:p>
    <w:p>
      <w:pPr>
        <w:pStyle w:val="ListParagraph"/>
        <w:numPr>
          <w:ilvl w:val="0"/>
          <w:numId w:val="2"/>
        </w:numPr>
        <w:spacing w:after="70"/>
      </w:pPr>
      <w:r>
        <w:rPr>
          <w:sz w:val="21"/>
          <w:szCs w:val="21"/>
        </w:rPr>
        <w:t xml:space="preserve">K-Prototypes — silueta 0,2022, cobertura 100,00 %, ARI 0,988</w:t>
      </w:r>
    </w:p>
    <w:p>
      <w:pPr>
        <w:spacing w:after="140" w:before="140"/>
      </w:pPr>
      <w:r>
        <w:rPr>
          <w:sz w:val="21"/>
          <w:szCs w:val="21"/>
        </w:rPr>
        <w:t xml:space="preserve">La diferencia entre los dos mejores admitidos es 0,0763, por encima del umbral de 0,02: </w:t>
      </w:r>
      <w:r>
        <w:rPr>
          <w:b/>
          <w:bCs/>
          <w:sz w:val="21"/>
          <w:szCs w:val="21"/>
        </w:rPr>
        <w:t xml:space="preserve">no hay empate técnico</w:t>
      </w:r>
      <w:r>
        <w:rPr>
          <w:sz w:val="21"/>
          <w:szCs w:val="21"/>
        </w:rPr>
        <w:t xml:space="preserve"> y el veredicto se resuelve directamente por silueta, sin recurrir a la interpretabilidad de los centroides.</w:t>
      </w:r>
    </w:p>
    <w:p>
      <w:pPr>
        <w:pStyle w:val="Heading1"/>
        <w:spacing w:after="120" w:before="260"/>
      </w:pPr>
      <w:r>
        <w:rPr>
          <w:b/>
          <w:bCs/>
          <w:color w:val="1F4E79"/>
        </w:rPr>
        <w:t xml:space="preserve">6. Diagnóstico por modelo</w:t>
      </w:r>
    </w:p>
    <w:p>
      <w:pPr>
        <w:spacing w:after="110"/>
      </w:pPr>
      <w:r>
        <w:rPr>
          <w:sz w:val="21"/>
          <w:szCs w:val="21"/>
        </w:rPr>
        <w:t xml:space="preserve">Cada modelo se presenta con tres paneles: su proyección sobre la matriz de Gower, la distribución de la silueta dentro de cada grupo, y el tamaño de los grupos. La proyección MDS es la misma incrustación en los seis, calculada una sola vez sobre una submuestra estratificada de 2 000 procesos, de modo que las seis imágenes son directamente comparables entre sí: lo único que cambia de una a otra es el color, es decir, la partición.</w:t>
      </w:r>
    </w:p>
    <w:p>
      <w:pPr>
        <w:pStyle w:val="Heading2"/>
        <w:spacing w:after="120" w:before="260"/>
      </w:pPr>
      <w:r>
        <w:rPr>
          <w:b/>
          <w:bCs/>
          <w:color w:val="1F4E79"/>
        </w:rPr>
        <w:t xml:space="preserve">6.1 K-Medoids (PAM)</w:t>
      </w:r>
    </w:p>
    <w:tbl>
      <w:tblPr>
        <w:tblW w:type="dxa" w:w="9360"/>
        <w:tblBorders>
          <w:top w:val="single" w:color="AAAAAA" w:sz="4"/>
          <w:left w:val="none"/>
          <w:bottom w:val="single" w:color="AAAAAA" w:sz="4"/>
          <w:right w:val="none"/>
          <w:insideH w:val="single" w:color="DDDDDD" w:sz="2"/>
          <w:insideV w:val="none"/>
        </w:tblBorders>
      </w:tblPr>
      <w:tblGrid>
        <w:gridCol w:w="700"/>
        <w:gridCol w:w="1600"/>
        <w:gridCol w:w="1400"/>
        <w:gridCol w:w="1800"/>
        <w:gridCol w:w="1500"/>
        <w:gridCol w:w="1300"/>
        <w:gridCol w:w="1060"/>
      </w:tblGrid>
      <w:tr>
        <w:trPr>
          <w:tblHeader/>
        </w:trPr>
        <w:tc>
          <w:tcPr>
            <w:tcW w:type="dxa" w:w="70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6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800"/>
            <w:shd w:fill="DCE6F1" w:color="auto" w:val="clear"/>
            <w:tcMar>
              <w:top w:type="dxa" w:w="55"/>
              <w:left w:type="dxa" w:w="85"/>
              <w:bottom w:type="dxa" w:w="55"/>
              <w:right w:type="dxa" w:w="85"/>
            </w:tcMar>
          </w:tcPr>
          <w:p>
            <w:pPr>
              <w:spacing w:after="0"/>
              <w:jc w:val="right"/>
            </w:pPr>
            <w:r>
              <w:rPr>
                <w:b/>
                <w:bCs/>
                <w:sz w:val="18"/>
                <w:szCs w:val="18"/>
              </w:rPr>
              <w:t xml:space="preserve">ARI ± desv.</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Grupo mayor</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 menor</w:t>
            </w:r>
          </w:p>
        </w:tc>
        <w:tc>
          <w:tcPr>
            <w:tcW w:type="dxa" w:w="10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700"/>
            <w:tcMar>
              <w:top w:type="dxa" w:w="55"/>
              <w:left w:type="dxa" w:w="85"/>
              <w:bottom w:type="dxa" w:w="55"/>
              <w:right w:type="dxa" w:w="85"/>
            </w:tcMar>
          </w:tcPr>
          <w:p>
            <w:pPr>
              <w:spacing w:after="0"/>
              <w:jc w:val="right"/>
            </w:pPr>
            <w:r>
              <w:rPr>
                <w:sz w:val="18"/>
                <w:szCs w:val="18"/>
              </w:rPr>
              <w:t xml:space="preserve">10</w:t>
            </w:r>
          </w:p>
        </w:tc>
        <w:tc>
          <w:tcPr>
            <w:tcW w:type="dxa" w:w="1600"/>
            <w:tcMar>
              <w:top w:type="dxa" w:w="55"/>
              <w:left w:type="dxa" w:w="85"/>
              <w:bottom w:type="dxa" w:w="55"/>
              <w:right w:type="dxa" w:w="85"/>
            </w:tcMar>
          </w:tcPr>
          <w:p>
            <w:pPr>
              <w:spacing w:after="0"/>
              <w:jc w:val="right"/>
            </w:pPr>
            <w:r>
              <w:rPr>
                <w:sz w:val="18"/>
                <w:szCs w:val="18"/>
              </w:rPr>
              <w:t xml:space="preserve">0,5202</w:t>
            </w:r>
          </w:p>
        </w:tc>
        <w:tc>
          <w:tcPr>
            <w:tcW w:type="dxa" w:w="1400"/>
            <w:tcMar>
              <w:top w:type="dxa" w:w="55"/>
              <w:left w:type="dxa" w:w="85"/>
              <w:bottom w:type="dxa" w:w="55"/>
              <w:right w:type="dxa" w:w="85"/>
            </w:tcMar>
          </w:tcPr>
          <w:p>
            <w:pPr>
              <w:spacing w:after="0"/>
              <w:jc w:val="right"/>
            </w:pPr>
            <w:r>
              <w:rPr>
                <w:sz w:val="18"/>
                <w:szCs w:val="18"/>
              </w:rPr>
              <w:t xml:space="preserve">100,00 %</w:t>
            </w:r>
          </w:p>
        </w:tc>
        <w:tc>
          <w:tcPr>
            <w:tcW w:type="dxa" w:w="1800"/>
            <w:tcMar>
              <w:top w:type="dxa" w:w="55"/>
              <w:left w:type="dxa" w:w="85"/>
              <w:bottom w:type="dxa" w:w="55"/>
              <w:right w:type="dxa" w:w="85"/>
            </w:tcMar>
          </w:tcPr>
          <w:p>
            <w:pPr>
              <w:spacing w:after="0"/>
              <w:jc w:val="right"/>
            </w:pPr>
            <w:r>
              <w:rPr>
                <w:sz w:val="18"/>
                <w:szCs w:val="18"/>
              </w:rPr>
              <w:t xml:space="preserve">0,992 ± 0,004</w:t>
            </w:r>
          </w:p>
        </w:tc>
        <w:tc>
          <w:tcPr>
            <w:tcW w:type="dxa" w:w="1500"/>
            <w:tcMar>
              <w:top w:type="dxa" w:w="55"/>
              <w:left w:type="dxa" w:w="85"/>
              <w:bottom w:type="dxa" w:w="55"/>
              <w:right w:type="dxa" w:w="85"/>
            </w:tcMar>
          </w:tcPr>
          <w:p>
            <w:pPr>
              <w:spacing w:after="0"/>
              <w:jc w:val="right"/>
            </w:pPr>
            <w:r>
              <w:rPr>
                <w:sz w:val="18"/>
                <w:szCs w:val="18"/>
              </w:rPr>
              <w:t xml:space="preserve">21.6 %</w:t>
            </w:r>
          </w:p>
        </w:tc>
        <w:tc>
          <w:tcPr>
            <w:tcW w:type="dxa" w:w="1300"/>
            <w:tcMar>
              <w:top w:type="dxa" w:w="55"/>
              <w:left w:type="dxa" w:w="85"/>
              <w:bottom w:type="dxa" w:w="55"/>
              <w:right w:type="dxa" w:w="85"/>
            </w:tcMar>
          </w:tcPr>
          <w:p>
            <w:pPr>
              <w:spacing w:after="0"/>
              <w:jc w:val="right"/>
            </w:pPr>
            <w:r>
              <w:rPr>
                <w:sz w:val="18"/>
                <w:szCs w:val="18"/>
              </w:rPr>
              <w:t xml:space="preserve">351</w:t>
            </w:r>
          </w:p>
        </w:tc>
        <w:tc>
          <w:tcPr>
            <w:tcW w:type="dxa" w:w="1060"/>
            <w:tcMar>
              <w:top w:type="dxa" w:w="55"/>
              <w:left w:type="dxa" w:w="85"/>
              <w:bottom w:type="dxa" w:w="55"/>
              <w:right w:type="dxa" w:w="85"/>
            </w:tcMar>
          </w:tcPr>
          <w:p>
            <w:pPr>
              <w:spacing w:after="0"/>
              <w:jc w:val="right"/>
            </w:pPr>
            <w:r>
              <w:rPr>
                <w:sz w:val="18"/>
                <w:szCs w:val="18"/>
              </w:rPr>
              <w:t xml:space="preserve">0,884</w:t>
            </w:r>
          </w:p>
        </w:tc>
      </w:tr>
    </w:tbl>
    <w:p>
      <w:pPr>
        <w:spacing w:after="120" w:before="140"/>
      </w:pPr>
      <w:r>
        <w:rPr>
          <w:sz w:val="21"/>
          <w:szCs w:val="21"/>
        </w:rPr>
        <w:t xml:space="preserve">Es el ganador. Produce la mayor silueta entre los admitidos y, a diferencia del jerárquico, reparte los procesos de forma equilibrada: ningún grupo baja del 2,5 % ni supera el 21,6 %. Sus medoides son procesos reales del conjunto, lo que hace directa la asignación de un proveedor nuevo y facilita explicar cada grupo señalando un expediente concreto. Nota de cautela: su silueta seguía subiendo en k = 10, el borde del barrido fijado en 3–10, así que el óptimo podría estar más allá y no se exploró.</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55"/>
          <w:sz w:val="17"/>
          <w:szCs w:val="17"/>
        </w:rPr>
        <w:t xml:space="preserve">K-Medoids (PAM) — proyección MDS sobre Gower, silueta por grupo y tamaño de los grupos.</w:t>
      </w:r>
    </w:p>
    <w:p>
      <w:r>
        <w:br w:type="page"/>
      </w:r>
    </w:p>
    <w:p>
      <w:pPr>
        <w:pStyle w:val="Heading2"/>
        <w:spacing w:after="120" w:before="260"/>
      </w:pPr>
      <w:r>
        <w:rPr>
          <w:b/>
          <w:bCs/>
          <w:color w:val="1F4E79"/>
        </w:rPr>
        <w:t xml:space="preserve">6.2 DBSCAN</w:t>
      </w:r>
    </w:p>
    <w:tbl>
      <w:tblPr>
        <w:tblW w:type="dxa" w:w="9360"/>
        <w:tblBorders>
          <w:top w:val="single" w:color="AAAAAA" w:sz="4"/>
          <w:left w:val="none"/>
          <w:bottom w:val="single" w:color="AAAAAA" w:sz="4"/>
          <w:right w:val="none"/>
          <w:insideH w:val="single" w:color="DDDDDD" w:sz="2"/>
          <w:insideV w:val="none"/>
        </w:tblBorders>
      </w:tblPr>
      <w:tblGrid>
        <w:gridCol w:w="700"/>
        <w:gridCol w:w="1600"/>
        <w:gridCol w:w="1400"/>
        <w:gridCol w:w="1800"/>
        <w:gridCol w:w="1500"/>
        <w:gridCol w:w="1300"/>
        <w:gridCol w:w="1060"/>
      </w:tblGrid>
      <w:tr>
        <w:trPr>
          <w:tblHeader/>
        </w:trPr>
        <w:tc>
          <w:tcPr>
            <w:tcW w:type="dxa" w:w="70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6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800"/>
            <w:shd w:fill="DCE6F1" w:color="auto" w:val="clear"/>
            <w:tcMar>
              <w:top w:type="dxa" w:w="55"/>
              <w:left w:type="dxa" w:w="85"/>
              <w:bottom w:type="dxa" w:w="55"/>
              <w:right w:type="dxa" w:w="85"/>
            </w:tcMar>
          </w:tcPr>
          <w:p>
            <w:pPr>
              <w:spacing w:after="0"/>
              <w:jc w:val="right"/>
            </w:pPr>
            <w:r>
              <w:rPr>
                <w:b/>
                <w:bCs/>
                <w:sz w:val="18"/>
                <w:szCs w:val="18"/>
              </w:rPr>
              <w:t xml:space="preserve">ARI ± desv.</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Grupo mayor</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 menor</w:t>
            </w:r>
          </w:p>
        </w:tc>
        <w:tc>
          <w:tcPr>
            <w:tcW w:type="dxa" w:w="10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700"/>
            <w:tcMar>
              <w:top w:type="dxa" w:w="55"/>
              <w:left w:type="dxa" w:w="85"/>
              <w:bottom w:type="dxa" w:w="55"/>
              <w:right w:type="dxa" w:w="85"/>
            </w:tcMar>
          </w:tcPr>
          <w:p>
            <w:pPr>
              <w:spacing w:after="0"/>
              <w:jc w:val="right"/>
            </w:pPr>
            <w:r>
              <w:rPr>
                <w:sz w:val="18"/>
                <w:szCs w:val="18"/>
              </w:rPr>
              <w:t xml:space="preserve">17</w:t>
            </w:r>
          </w:p>
        </w:tc>
        <w:tc>
          <w:tcPr>
            <w:tcW w:type="dxa" w:w="1600"/>
            <w:tcMar>
              <w:top w:type="dxa" w:w="55"/>
              <w:left w:type="dxa" w:w="85"/>
              <w:bottom w:type="dxa" w:w="55"/>
              <w:right w:type="dxa" w:w="85"/>
            </w:tcMar>
          </w:tcPr>
          <w:p>
            <w:pPr>
              <w:spacing w:after="0"/>
              <w:jc w:val="right"/>
            </w:pPr>
            <w:r>
              <w:rPr>
                <w:sz w:val="18"/>
                <w:szCs w:val="18"/>
              </w:rPr>
              <w:t xml:space="preserve">0,5807</w:t>
            </w:r>
          </w:p>
        </w:tc>
        <w:tc>
          <w:tcPr>
            <w:tcW w:type="dxa" w:w="1400"/>
            <w:tcMar>
              <w:top w:type="dxa" w:w="55"/>
              <w:left w:type="dxa" w:w="85"/>
              <w:bottom w:type="dxa" w:w="55"/>
              <w:right w:type="dxa" w:w="85"/>
            </w:tcMar>
          </w:tcPr>
          <w:p>
            <w:pPr>
              <w:spacing w:after="0"/>
              <w:jc w:val="right"/>
            </w:pPr>
            <w:r>
              <w:rPr>
                <w:sz w:val="18"/>
                <w:szCs w:val="18"/>
              </w:rPr>
              <w:t xml:space="preserve">84,50 %</w:t>
            </w:r>
          </w:p>
        </w:tc>
        <w:tc>
          <w:tcPr>
            <w:tcW w:type="dxa" w:w="1800"/>
            <w:tcMar>
              <w:top w:type="dxa" w:w="55"/>
              <w:left w:type="dxa" w:w="85"/>
              <w:bottom w:type="dxa" w:w="55"/>
              <w:right w:type="dxa" w:w="85"/>
            </w:tcMar>
          </w:tcPr>
          <w:p>
            <w:pPr>
              <w:spacing w:after="0"/>
              <w:jc w:val="right"/>
            </w:pPr>
            <w:r>
              <w:rPr>
                <w:sz w:val="18"/>
                <w:szCs w:val="18"/>
              </w:rPr>
              <w:t xml:space="preserve">0,957 ± 0,004</w:t>
            </w:r>
          </w:p>
        </w:tc>
        <w:tc>
          <w:tcPr>
            <w:tcW w:type="dxa" w:w="1500"/>
            <w:tcMar>
              <w:top w:type="dxa" w:w="55"/>
              <w:left w:type="dxa" w:w="85"/>
              <w:bottom w:type="dxa" w:w="55"/>
              <w:right w:type="dxa" w:w="85"/>
            </w:tcMar>
          </w:tcPr>
          <w:p>
            <w:pPr>
              <w:spacing w:after="0"/>
              <w:jc w:val="right"/>
            </w:pPr>
            <w:r>
              <w:rPr>
                <w:sz w:val="18"/>
                <w:szCs w:val="18"/>
              </w:rPr>
              <w:t xml:space="preserve">24.4 %</w:t>
            </w:r>
          </w:p>
        </w:tc>
        <w:tc>
          <w:tcPr>
            <w:tcW w:type="dxa" w:w="1300"/>
            <w:tcMar>
              <w:top w:type="dxa" w:w="55"/>
              <w:left w:type="dxa" w:w="85"/>
              <w:bottom w:type="dxa" w:w="55"/>
              <w:right w:type="dxa" w:w="85"/>
            </w:tcMar>
          </w:tcPr>
          <w:p>
            <w:pPr>
              <w:spacing w:after="0"/>
              <w:jc w:val="right"/>
            </w:pPr>
            <w:r>
              <w:rPr>
                <w:sz w:val="18"/>
                <w:szCs w:val="18"/>
              </w:rPr>
              <w:t xml:space="preserve">20</w:t>
            </w:r>
          </w:p>
        </w:tc>
        <w:tc>
          <w:tcPr>
            <w:tcW w:type="dxa" w:w="1060"/>
            <w:tcMar>
              <w:top w:type="dxa" w:w="55"/>
              <w:left w:type="dxa" w:w="85"/>
              <w:bottom w:type="dxa" w:w="55"/>
              <w:right w:type="dxa" w:w="85"/>
            </w:tcMar>
          </w:tcPr>
          <w:p>
            <w:pPr>
              <w:spacing w:after="0"/>
              <w:jc w:val="right"/>
            </w:pPr>
            <w:r>
              <w:rPr>
                <w:sz w:val="18"/>
                <w:szCs w:val="18"/>
              </w:rPr>
              <w:t xml:space="preserve">0,778</w:t>
            </w:r>
          </w:p>
        </w:tc>
      </w:tr>
    </w:tbl>
    <w:p>
      <w:pPr>
        <w:spacing w:after="120" w:before="140"/>
      </w:pPr>
      <w:r>
        <w:rPr>
          <w:sz w:val="21"/>
          <w:szCs w:val="21"/>
        </w:rPr>
        <w:t xml:space="preserve">Obtuvo la mejor silueta de los seis (0,5807) pero queda DESCARTADO por la regla de decisión: dejó el 15,50 % de los procesos como ruido, por debajo del mínimo de 90 % de cobertura. Su ventaja en silueta es en parte consecuencia de eso mismo — al descartar los puntos fronterizos, los grupos que quedan se ven más limpios de lo que son. Además fragmenta: de sus 17 grupos, 5 reúnen menos del 1 % de los procesos cada uno y el menor tiene 20.</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55"/>
          <w:sz w:val="17"/>
          <w:szCs w:val="17"/>
        </w:rPr>
        <w:t xml:space="preserve">DBSCAN — proyección MDS sobre Gower, silueta por grupo y tamaño de los grupos.</w:t>
      </w:r>
    </w:p>
    <w:p>
      <w:r>
        <w:br w:type="page"/>
      </w:r>
    </w:p>
    <w:p>
      <w:pPr>
        <w:pStyle w:val="Heading2"/>
        <w:spacing w:after="120" w:before="260"/>
      </w:pPr>
      <w:r>
        <w:rPr>
          <w:b/>
          <w:bCs/>
          <w:color w:val="1F4E79"/>
        </w:rPr>
        <w:t xml:space="preserve">6.3 GMM</w:t>
      </w:r>
    </w:p>
    <w:tbl>
      <w:tblPr>
        <w:tblW w:type="dxa" w:w="9360"/>
        <w:tblBorders>
          <w:top w:val="single" w:color="AAAAAA" w:sz="4"/>
          <w:left w:val="none"/>
          <w:bottom w:val="single" w:color="AAAAAA" w:sz="4"/>
          <w:right w:val="none"/>
          <w:insideH w:val="single" w:color="DDDDDD" w:sz="2"/>
          <w:insideV w:val="none"/>
        </w:tblBorders>
      </w:tblPr>
      <w:tblGrid>
        <w:gridCol w:w="700"/>
        <w:gridCol w:w="1600"/>
        <w:gridCol w:w="1400"/>
        <w:gridCol w:w="1800"/>
        <w:gridCol w:w="1500"/>
        <w:gridCol w:w="1300"/>
        <w:gridCol w:w="1060"/>
      </w:tblGrid>
      <w:tr>
        <w:trPr>
          <w:tblHeader/>
        </w:trPr>
        <w:tc>
          <w:tcPr>
            <w:tcW w:type="dxa" w:w="70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6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800"/>
            <w:shd w:fill="DCE6F1" w:color="auto" w:val="clear"/>
            <w:tcMar>
              <w:top w:type="dxa" w:w="55"/>
              <w:left w:type="dxa" w:w="85"/>
              <w:bottom w:type="dxa" w:w="55"/>
              <w:right w:type="dxa" w:w="85"/>
            </w:tcMar>
          </w:tcPr>
          <w:p>
            <w:pPr>
              <w:spacing w:after="0"/>
              <w:jc w:val="right"/>
            </w:pPr>
            <w:r>
              <w:rPr>
                <w:b/>
                <w:bCs/>
                <w:sz w:val="18"/>
                <w:szCs w:val="18"/>
              </w:rPr>
              <w:t xml:space="preserve">ARI ± desv.</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Grupo mayor</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 menor</w:t>
            </w:r>
          </w:p>
        </w:tc>
        <w:tc>
          <w:tcPr>
            <w:tcW w:type="dxa" w:w="10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700"/>
            <w:tcMar>
              <w:top w:type="dxa" w:w="55"/>
              <w:left w:type="dxa" w:w="85"/>
              <w:bottom w:type="dxa" w:w="55"/>
              <w:right w:type="dxa" w:w="85"/>
            </w:tcMar>
          </w:tcPr>
          <w:p>
            <w:pPr>
              <w:spacing w:after="0"/>
              <w:jc w:val="right"/>
            </w:pPr>
            <w:r>
              <w:rPr>
                <w:sz w:val="18"/>
                <w:szCs w:val="18"/>
              </w:rPr>
              <w:t xml:space="preserve">10</w:t>
            </w:r>
          </w:p>
        </w:tc>
        <w:tc>
          <w:tcPr>
            <w:tcW w:type="dxa" w:w="1600"/>
            <w:tcMar>
              <w:top w:type="dxa" w:w="55"/>
              <w:left w:type="dxa" w:w="85"/>
              <w:bottom w:type="dxa" w:w="55"/>
              <w:right w:type="dxa" w:w="85"/>
            </w:tcMar>
          </w:tcPr>
          <w:p>
            <w:pPr>
              <w:spacing w:after="0"/>
              <w:jc w:val="right"/>
            </w:pPr>
            <w:r>
              <w:rPr>
                <w:sz w:val="18"/>
                <w:szCs w:val="18"/>
              </w:rPr>
              <w:t xml:space="preserve">0,4439</w:t>
            </w:r>
          </w:p>
        </w:tc>
        <w:tc>
          <w:tcPr>
            <w:tcW w:type="dxa" w:w="1400"/>
            <w:tcMar>
              <w:top w:type="dxa" w:w="55"/>
              <w:left w:type="dxa" w:w="85"/>
              <w:bottom w:type="dxa" w:w="55"/>
              <w:right w:type="dxa" w:w="85"/>
            </w:tcMar>
          </w:tcPr>
          <w:p>
            <w:pPr>
              <w:spacing w:after="0"/>
              <w:jc w:val="right"/>
            </w:pPr>
            <w:r>
              <w:rPr>
                <w:sz w:val="18"/>
                <w:szCs w:val="18"/>
              </w:rPr>
              <w:t xml:space="preserve">100,00 %</w:t>
            </w:r>
          </w:p>
        </w:tc>
        <w:tc>
          <w:tcPr>
            <w:tcW w:type="dxa" w:w="1800"/>
            <w:tcMar>
              <w:top w:type="dxa" w:w="55"/>
              <w:left w:type="dxa" w:w="85"/>
              <w:bottom w:type="dxa" w:w="55"/>
              <w:right w:type="dxa" w:w="85"/>
            </w:tcMar>
          </w:tcPr>
          <w:p>
            <w:pPr>
              <w:spacing w:after="0"/>
              <w:jc w:val="right"/>
            </w:pPr>
            <w:r>
              <w:rPr>
                <w:sz w:val="18"/>
                <w:szCs w:val="18"/>
              </w:rPr>
              <w:t xml:space="preserve">0,787 ± 0,068</w:t>
            </w:r>
          </w:p>
        </w:tc>
        <w:tc>
          <w:tcPr>
            <w:tcW w:type="dxa" w:w="1500"/>
            <w:tcMar>
              <w:top w:type="dxa" w:w="55"/>
              <w:left w:type="dxa" w:w="85"/>
              <w:bottom w:type="dxa" w:w="55"/>
              <w:right w:type="dxa" w:w="85"/>
            </w:tcMar>
          </w:tcPr>
          <w:p>
            <w:pPr>
              <w:spacing w:after="0"/>
              <w:jc w:val="right"/>
            </w:pPr>
            <w:r>
              <w:rPr>
                <w:sz w:val="18"/>
                <w:szCs w:val="18"/>
              </w:rPr>
              <w:t xml:space="preserve">36.5 %</w:t>
            </w:r>
          </w:p>
        </w:tc>
        <w:tc>
          <w:tcPr>
            <w:tcW w:type="dxa" w:w="1300"/>
            <w:tcMar>
              <w:top w:type="dxa" w:w="55"/>
              <w:left w:type="dxa" w:w="85"/>
              <w:bottom w:type="dxa" w:w="55"/>
              <w:right w:type="dxa" w:w="85"/>
            </w:tcMar>
          </w:tcPr>
          <w:p>
            <w:pPr>
              <w:spacing w:after="0"/>
              <w:jc w:val="right"/>
            </w:pPr>
            <w:r>
              <w:rPr>
                <w:sz w:val="18"/>
                <w:szCs w:val="18"/>
              </w:rPr>
              <w:t xml:space="preserve">49</w:t>
            </w:r>
          </w:p>
        </w:tc>
        <w:tc>
          <w:tcPr>
            <w:tcW w:type="dxa" w:w="1060"/>
            <w:tcMar>
              <w:top w:type="dxa" w:w="55"/>
              <w:left w:type="dxa" w:w="85"/>
              <w:bottom w:type="dxa" w:w="55"/>
              <w:right w:type="dxa" w:w="85"/>
            </w:tcMar>
          </w:tcPr>
          <w:p>
            <w:pPr>
              <w:spacing w:after="0"/>
              <w:jc w:val="right"/>
            </w:pPr>
            <w:r>
              <w:rPr>
                <w:sz w:val="18"/>
                <w:szCs w:val="18"/>
              </w:rPr>
              <w:t xml:space="preserve">0,785</w:t>
            </w:r>
          </w:p>
        </w:tc>
      </w:tr>
    </w:tbl>
    <w:p>
      <w:pPr>
        <w:spacing w:after="120" w:before="140"/>
      </w:pPr>
      <w:r>
        <w:rPr>
          <w:sz w:val="21"/>
          <w:szCs w:val="21"/>
        </w:rPr>
        <w:t xml:space="preserve">Segundo admitido, con silueta 0,4439. El k = 10 lo fija el BIC, según manda el protocolo, no la silueta; de haberse elegido por silueta habría sido k = 7. Reparte peor que PAM: su grupo mayor concentra el 36,5 % y tres grupos quedan por debajo del 1 %. Su estabilidad (ARI 0,787) es la segunda más baja de los admitidos.</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55"/>
          <w:sz w:val="17"/>
          <w:szCs w:val="17"/>
        </w:rPr>
        <w:t xml:space="preserve">GMM — proyección MDS sobre Gower, silueta por grupo y tamaño de los grupos.</w:t>
      </w:r>
    </w:p>
    <w:p>
      <w:r>
        <w:br w:type="page"/>
      </w:r>
    </w:p>
    <w:p>
      <w:pPr>
        <w:pStyle w:val="Heading2"/>
        <w:spacing w:after="120" w:before="260"/>
      </w:pPr>
      <w:r>
        <w:rPr>
          <w:b/>
          <w:bCs/>
          <w:color w:val="1F4E79"/>
        </w:rPr>
        <w:t xml:space="preserve">6.4 Jerárquico (promedio)</w:t>
      </w:r>
    </w:p>
    <w:tbl>
      <w:tblPr>
        <w:tblW w:type="dxa" w:w="9360"/>
        <w:tblBorders>
          <w:top w:val="single" w:color="AAAAAA" w:sz="4"/>
          <w:left w:val="none"/>
          <w:bottom w:val="single" w:color="AAAAAA" w:sz="4"/>
          <w:right w:val="none"/>
          <w:insideH w:val="single" w:color="DDDDDD" w:sz="2"/>
          <w:insideV w:val="none"/>
        </w:tblBorders>
      </w:tblPr>
      <w:tblGrid>
        <w:gridCol w:w="700"/>
        <w:gridCol w:w="1600"/>
        <w:gridCol w:w="1400"/>
        <w:gridCol w:w="1800"/>
        <w:gridCol w:w="1500"/>
        <w:gridCol w:w="1300"/>
        <w:gridCol w:w="1060"/>
      </w:tblGrid>
      <w:tr>
        <w:trPr>
          <w:tblHeader/>
        </w:trPr>
        <w:tc>
          <w:tcPr>
            <w:tcW w:type="dxa" w:w="70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6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800"/>
            <w:shd w:fill="DCE6F1" w:color="auto" w:val="clear"/>
            <w:tcMar>
              <w:top w:type="dxa" w:w="55"/>
              <w:left w:type="dxa" w:w="85"/>
              <w:bottom w:type="dxa" w:w="55"/>
              <w:right w:type="dxa" w:w="85"/>
            </w:tcMar>
          </w:tcPr>
          <w:p>
            <w:pPr>
              <w:spacing w:after="0"/>
              <w:jc w:val="right"/>
            </w:pPr>
            <w:r>
              <w:rPr>
                <w:b/>
                <w:bCs/>
                <w:sz w:val="18"/>
                <w:szCs w:val="18"/>
              </w:rPr>
              <w:t xml:space="preserve">ARI ± desv.</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Grupo mayor</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 menor</w:t>
            </w:r>
          </w:p>
        </w:tc>
        <w:tc>
          <w:tcPr>
            <w:tcW w:type="dxa" w:w="10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700"/>
            <w:tcMar>
              <w:top w:type="dxa" w:w="55"/>
              <w:left w:type="dxa" w:w="85"/>
              <w:bottom w:type="dxa" w:w="55"/>
              <w:right w:type="dxa" w:w="85"/>
            </w:tcMar>
          </w:tcPr>
          <w:p>
            <w:pPr>
              <w:spacing w:after="0"/>
              <w:jc w:val="right"/>
            </w:pPr>
            <w:r>
              <w:rPr>
                <w:sz w:val="18"/>
                <w:szCs w:val="18"/>
              </w:rPr>
              <w:t xml:space="preserve">3</w:t>
            </w:r>
          </w:p>
        </w:tc>
        <w:tc>
          <w:tcPr>
            <w:tcW w:type="dxa" w:w="1600"/>
            <w:tcMar>
              <w:top w:type="dxa" w:w="55"/>
              <w:left w:type="dxa" w:w="85"/>
              <w:bottom w:type="dxa" w:w="55"/>
              <w:right w:type="dxa" w:w="85"/>
            </w:tcMar>
          </w:tcPr>
          <w:p>
            <w:pPr>
              <w:spacing w:after="0"/>
              <w:jc w:val="right"/>
            </w:pPr>
            <w:r>
              <w:rPr>
                <w:sz w:val="18"/>
                <w:szCs w:val="18"/>
              </w:rPr>
              <w:t xml:space="preserve">0,3987</w:t>
            </w:r>
          </w:p>
        </w:tc>
        <w:tc>
          <w:tcPr>
            <w:tcW w:type="dxa" w:w="1400"/>
            <w:tcMar>
              <w:top w:type="dxa" w:w="55"/>
              <w:left w:type="dxa" w:w="85"/>
              <w:bottom w:type="dxa" w:w="55"/>
              <w:right w:type="dxa" w:w="85"/>
            </w:tcMar>
          </w:tcPr>
          <w:p>
            <w:pPr>
              <w:spacing w:after="0"/>
              <w:jc w:val="right"/>
            </w:pPr>
            <w:r>
              <w:rPr>
                <w:sz w:val="18"/>
                <w:szCs w:val="18"/>
              </w:rPr>
              <w:t xml:space="preserve">100,00 %</w:t>
            </w:r>
          </w:p>
        </w:tc>
        <w:tc>
          <w:tcPr>
            <w:tcW w:type="dxa" w:w="1800"/>
            <w:tcMar>
              <w:top w:type="dxa" w:w="55"/>
              <w:left w:type="dxa" w:w="85"/>
              <w:bottom w:type="dxa" w:w="55"/>
              <w:right w:type="dxa" w:w="85"/>
            </w:tcMar>
          </w:tcPr>
          <w:p>
            <w:pPr>
              <w:spacing w:after="0"/>
              <w:jc w:val="right"/>
            </w:pPr>
            <w:r>
              <w:rPr>
                <w:sz w:val="18"/>
                <w:szCs w:val="18"/>
              </w:rPr>
              <w:t xml:space="preserve">1,000 ± 0,001</w:t>
            </w:r>
          </w:p>
        </w:tc>
        <w:tc>
          <w:tcPr>
            <w:tcW w:type="dxa" w:w="1500"/>
            <w:tcMar>
              <w:top w:type="dxa" w:w="55"/>
              <w:left w:type="dxa" w:w="85"/>
              <w:bottom w:type="dxa" w:w="55"/>
              <w:right w:type="dxa" w:w="85"/>
            </w:tcMar>
          </w:tcPr>
          <w:p>
            <w:pPr>
              <w:spacing w:after="0"/>
              <w:jc w:val="right"/>
            </w:pPr>
            <w:r>
              <w:rPr>
                <w:sz w:val="18"/>
                <w:szCs w:val="18"/>
              </w:rPr>
              <w:t xml:space="preserve">99.2 %</w:t>
            </w:r>
          </w:p>
        </w:tc>
        <w:tc>
          <w:tcPr>
            <w:tcW w:type="dxa" w:w="1300"/>
            <w:tcMar>
              <w:top w:type="dxa" w:w="55"/>
              <w:left w:type="dxa" w:w="85"/>
              <w:bottom w:type="dxa" w:w="55"/>
              <w:right w:type="dxa" w:w="85"/>
            </w:tcMar>
          </w:tcPr>
          <w:p>
            <w:pPr>
              <w:spacing w:after="0"/>
              <w:jc w:val="right"/>
            </w:pPr>
            <w:r>
              <w:rPr>
                <w:sz w:val="18"/>
                <w:szCs w:val="18"/>
              </w:rPr>
              <w:t xml:space="preserve">48</w:t>
            </w:r>
          </w:p>
        </w:tc>
        <w:tc>
          <w:tcPr>
            <w:tcW w:type="dxa" w:w="1060"/>
            <w:tcMar>
              <w:top w:type="dxa" w:w="55"/>
              <w:left w:type="dxa" w:w="85"/>
              <w:bottom w:type="dxa" w:w="55"/>
              <w:right w:type="dxa" w:w="85"/>
            </w:tcMar>
          </w:tcPr>
          <w:p>
            <w:pPr>
              <w:spacing w:after="0"/>
              <w:jc w:val="right"/>
            </w:pPr>
            <w:r>
              <w:rPr>
                <w:sz w:val="18"/>
                <w:szCs w:val="18"/>
              </w:rPr>
              <w:t xml:space="preserve">0,049</w:t>
            </w:r>
          </w:p>
        </w:tc>
      </w:tr>
    </w:tbl>
    <w:p>
      <w:pPr>
        <w:spacing w:after="120" w:before="140"/>
      </w:pPr>
      <w:r>
        <w:rPr>
          <w:sz w:val="21"/>
          <w:szCs w:val="21"/>
        </w:rPr>
        <w:t xml:space="preserve">ATENCIÓN: su resultado es engañoso. Con k = 3 el enlace promedio produce una partición degenerada — 13 732 procesos (99,2 %) en un solo grupo y dos grupos residuales de 48 y 68. Su ARI de 0,9997 no indica robustez sino que una partición casi constante es trivialmente estable, y su silueta de 0,3987 mide sobre todo lo compacto que es ese bloque único. La regla de decisión no incluye un filtro de balance, así que formalmente pasa los dos umbrales; en la práctica no segmenta nada. Es el efecto de encadenamiento clásico del enlace promedio sobre datos con densidad desigual.</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55"/>
          <w:sz w:val="17"/>
          <w:szCs w:val="17"/>
        </w:rPr>
        <w:t xml:space="preserve">Jerárquico (promedio) — proyección MDS sobre Gower, silueta por grupo y tamaño de los grupos.</w:t>
      </w:r>
    </w:p>
    <w:p>
      <w:r>
        <w:br w:type="page"/>
      </w:r>
    </w:p>
    <w:p>
      <w:pPr>
        <w:pStyle w:val="Heading2"/>
        <w:spacing w:after="120" w:before="260"/>
      </w:pPr>
      <w:r>
        <w:rPr>
          <w:b/>
          <w:bCs/>
          <w:color w:val="1F4E79"/>
        </w:rPr>
        <w:t xml:space="preserve">6.5 K-Means</w:t>
      </w:r>
    </w:p>
    <w:tbl>
      <w:tblPr>
        <w:tblW w:type="dxa" w:w="9360"/>
        <w:tblBorders>
          <w:top w:val="single" w:color="AAAAAA" w:sz="4"/>
          <w:left w:val="none"/>
          <w:bottom w:val="single" w:color="AAAAAA" w:sz="4"/>
          <w:right w:val="none"/>
          <w:insideH w:val="single" w:color="DDDDDD" w:sz="2"/>
          <w:insideV w:val="none"/>
        </w:tblBorders>
      </w:tblPr>
      <w:tblGrid>
        <w:gridCol w:w="700"/>
        <w:gridCol w:w="1600"/>
        <w:gridCol w:w="1400"/>
        <w:gridCol w:w="1800"/>
        <w:gridCol w:w="1500"/>
        <w:gridCol w:w="1300"/>
        <w:gridCol w:w="1060"/>
      </w:tblGrid>
      <w:tr>
        <w:trPr>
          <w:tblHeader/>
        </w:trPr>
        <w:tc>
          <w:tcPr>
            <w:tcW w:type="dxa" w:w="70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6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800"/>
            <w:shd w:fill="DCE6F1" w:color="auto" w:val="clear"/>
            <w:tcMar>
              <w:top w:type="dxa" w:w="55"/>
              <w:left w:type="dxa" w:w="85"/>
              <w:bottom w:type="dxa" w:w="55"/>
              <w:right w:type="dxa" w:w="85"/>
            </w:tcMar>
          </w:tcPr>
          <w:p>
            <w:pPr>
              <w:spacing w:after="0"/>
              <w:jc w:val="right"/>
            </w:pPr>
            <w:r>
              <w:rPr>
                <w:b/>
                <w:bCs/>
                <w:sz w:val="18"/>
                <w:szCs w:val="18"/>
              </w:rPr>
              <w:t xml:space="preserve">ARI ± desv.</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Grupo mayor</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 menor</w:t>
            </w:r>
          </w:p>
        </w:tc>
        <w:tc>
          <w:tcPr>
            <w:tcW w:type="dxa" w:w="10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700"/>
            <w:tcMar>
              <w:top w:type="dxa" w:w="55"/>
              <w:left w:type="dxa" w:w="85"/>
              <w:bottom w:type="dxa" w:w="55"/>
              <w:right w:type="dxa" w:w="85"/>
            </w:tcMar>
          </w:tcPr>
          <w:p>
            <w:pPr>
              <w:spacing w:after="0"/>
              <w:jc w:val="right"/>
            </w:pPr>
            <w:r>
              <w:rPr>
                <w:sz w:val="18"/>
                <w:szCs w:val="18"/>
              </w:rPr>
              <w:t xml:space="preserve">5</w:t>
            </w:r>
          </w:p>
        </w:tc>
        <w:tc>
          <w:tcPr>
            <w:tcW w:type="dxa" w:w="1600"/>
            <w:tcMar>
              <w:top w:type="dxa" w:w="55"/>
              <w:left w:type="dxa" w:w="85"/>
              <w:bottom w:type="dxa" w:w="55"/>
              <w:right w:type="dxa" w:w="85"/>
            </w:tcMar>
          </w:tcPr>
          <w:p>
            <w:pPr>
              <w:spacing w:after="0"/>
              <w:jc w:val="right"/>
            </w:pPr>
            <w:r>
              <w:rPr>
                <w:sz w:val="18"/>
                <w:szCs w:val="18"/>
              </w:rPr>
              <w:t xml:space="preserve">0,2156</w:t>
            </w:r>
          </w:p>
        </w:tc>
        <w:tc>
          <w:tcPr>
            <w:tcW w:type="dxa" w:w="1400"/>
            <w:tcMar>
              <w:top w:type="dxa" w:w="55"/>
              <w:left w:type="dxa" w:w="85"/>
              <w:bottom w:type="dxa" w:w="55"/>
              <w:right w:type="dxa" w:w="85"/>
            </w:tcMar>
          </w:tcPr>
          <w:p>
            <w:pPr>
              <w:spacing w:after="0"/>
              <w:jc w:val="right"/>
            </w:pPr>
            <w:r>
              <w:rPr>
                <w:sz w:val="18"/>
                <w:szCs w:val="18"/>
              </w:rPr>
              <w:t xml:space="preserve">100,00 %</w:t>
            </w:r>
          </w:p>
        </w:tc>
        <w:tc>
          <w:tcPr>
            <w:tcW w:type="dxa" w:w="1800"/>
            <w:tcMar>
              <w:top w:type="dxa" w:w="55"/>
              <w:left w:type="dxa" w:w="85"/>
              <w:bottom w:type="dxa" w:w="55"/>
              <w:right w:type="dxa" w:w="85"/>
            </w:tcMar>
          </w:tcPr>
          <w:p>
            <w:pPr>
              <w:spacing w:after="0"/>
              <w:jc w:val="right"/>
            </w:pPr>
            <w:r>
              <w:rPr>
                <w:sz w:val="18"/>
                <w:szCs w:val="18"/>
              </w:rPr>
              <w:t xml:space="preserve">0,738 ± 0,222</w:t>
            </w:r>
          </w:p>
        </w:tc>
        <w:tc>
          <w:tcPr>
            <w:tcW w:type="dxa" w:w="1500"/>
            <w:tcMar>
              <w:top w:type="dxa" w:w="55"/>
              <w:left w:type="dxa" w:w="85"/>
              <w:bottom w:type="dxa" w:w="55"/>
              <w:right w:type="dxa" w:w="85"/>
            </w:tcMar>
          </w:tcPr>
          <w:p>
            <w:pPr>
              <w:spacing w:after="0"/>
              <w:jc w:val="right"/>
            </w:pPr>
            <w:r>
              <w:rPr>
                <w:sz w:val="18"/>
                <w:szCs w:val="18"/>
              </w:rPr>
              <w:t xml:space="preserve">53.9 %</w:t>
            </w:r>
          </w:p>
        </w:tc>
        <w:tc>
          <w:tcPr>
            <w:tcW w:type="dxa" w:w="1300"/>
            <w:tcMar>
              <w:top w:type="dxa" w:w="55"/>
              <w:left w:type="dxa" w:w="85"/>
              <w:bottom w:type="dxa" w:w="55"/>
              <w:right w:type="dxa" w:w="85"/>
            </w:tcMar>
          </w:tcPr>
          <w:p>
            <w:pPr>
              <w:spacing w:after="0"/>
              <w:jc w:val="right"/>
            </w:pPr>
            <w:r>
              <w:rPr>
                <w:sz w:val="18"/>
                <w:szCs w:val="18"/>
              </w:rPr>
              <w:t xml:space="preserve">49</w:t>
            </w:r>
          </w:p>
        </w:tc>
        <w:tc>
          <w:tcPr>
            <w:tcW w:type="dxa" w:w="1060"/>
            <w:tcMar>
              <w:top w:type="dxa" w:w="55"/>
              <w:left w:type="dxa" w:w="85"/>
              <w:bottom w:type="dxa" w:w="55"/>
              <w:right w:type="dxa" w:w="85"/>
            </w:tcMar>
          </w:tcPr>
          <w:p>
            <w:pPr>
              <w:spacing w:after="0"/>
              <w:jc w:val="right"/>
            </w:pPr>
            <w:r>
              <w:rPr>
                <w:sz w:val="18"/>
                <w:szCs w:val="18"/>
              </w:rPr>
              <w:t xml:space="preserve">0,648</w:t>
            </w:r>
          </w:p>
        </w:tc>
      </w:tr>
    </w:tbl>
    <w:p>
      <w:pPr>
        <w:spacing w:after="120" w:before="140"/>
      </w:pPr>
      <w:r>
        <w:rPr>
          <w:sz w:val="21"/>
          <w:szCs w:val="21"/>
        </w:rPr>
        <w:t xml:space="preserve">La silueta más baja junto con K-Prototypes (0,2156) y, con diferencia, el menos estable de todos: ARI 0,738 con una desviación de 0,222, un orden de magnitud peor que PAM o el jerárquico. Trabaja sobre el espacio codificado con one-hot, donde la modalidad aporta 19 dimensiones binarias frente a 5 numéricas, y la distancia euclidiana no es la métrica que después lo juzga. Dos de sus cinco grupos son residuales (105 y 49 procesos).</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55"/>
          <w:sz w:val="17"/>
          <w:szCs w:val="17"/>
        </w:rPr>
        <w:t xml:space="preserve">K-Means — proyección MDS sobre Gower, silueta por grupo y tamaño de los grupos.</w:t>
      </w:r>
    </w:p>
    <w:p>
      <w:r>
        <w:br w:type="page"/>
      </w:r>
    </w:p>
    <w:p>
      <w:pPr>
        <w:pStyle w:val="Heading2"/>
        <w:spacing w:after="120" w:before="260"/>
      </w:pPr>
      <w:r>
        <w:rPr>
          <w:b/>
          <w:bCs/>
          <w:color w:val="1F4E79"/>
        </w:rPr>
        <w:t xml:space="preserve">6.6 K-Prototypes</w:t>
      </w:r>
    </w:p>
    <w:tbl>
      <w:tblPr>
        <w:tblW w:type="dxa" w:w="9360"/>
        <w:tblBorders>
          <w:top w:val="single" w:color="AAAAAA" w:sz="4"/>
          <w:left w:val="none"/>
          <w:bottom w:val="single" w:color="AAAAAA" w:sz="4"/>
          <w:right w:val="none"/>
          <w:insideH w:val="single" w:color="DDDDDD" w:sz="2"/>
          <w:insideV w:val="none"/>
        </w:tblBorders>
      </w:tblPr>
      <w:tblGrid>
        <w:gridCol w:w="700"/>
        <w:gridCol w:w="1600"/>
        <w:gridCol w:w="1400"/>
        <w:gridCol w:w="1800"/>
        <w:gridCol w:w="1500"/>
        <w:gridCol w:w="1300"/>
        <w:gridCol w:w="1060"/>
      </w:tblGrid>
      <w:tr>
        <w:trPr>
          <w:tblHeader/>
        </w:trPr>
        <w:tc>
          <w:tcPr>
            <w:tcW w:type="dxa" w:w="700"/>
            <w:shd w:fill="DCE6F1" w:color="auto" w:val="clear"/>
            <w:tcMar>
              <w:top w:type="dxa" w:w="55"/>
              <w:left w:type="dxa" w:w="85"/>
              <w:bottom w:type="dxa" w:w="55"/>
              <w:right w:type="dxa" w:w="85"/>
            </w:tcMar>
          </w:tcPr>
          <w:p>
            <w:pPr>
              <w:spacing w:after="0"/>
              <w:jc w:val="right"/>
            </w:pPr>
            <w:r>
              <w:rPr>
                <w:b/>
                <w:bCs/>
                <w:sz w:val="18"/>
                <w:szCs w:val="18"/>
              </w:rPr>
              <w:t xml:space="preserve">k</w:t>
            </w:r>
          </w:p>
        </w:tc>
        <w:tc>
          <w:tcPr>
            <w:tcW w:type="dxa" w:w="1600"/>
            <w:shd w:fill="DCE6F1" w:color="auto" w:val="clear"/>
            <w:tcMar>
              <w:top w:type="dxa" w:w="55"/>
              <w:left w:type="dxa" w:w="85"/>
              <w:bottom w:type="dxa" w:w="55"/>
              <w:right w:type="dxa" w:w="85"/>
            </w:tcMar>
          </w:tcPr>
          <w:p>
            <w:pPr>
              <w:spacing w:after="0"/>
              <w:jc w:val="right"/>
            </w:pPr>
            <w:r>
              <w:rPr>
                <w:b/>
                <w:bCs/>
                <w:sz w:val="18"/>
                <w:szCs w:val="18"/>
              </w:rPr>
              <w:t xml:space="preserve">Silueta (Gower)</w:t>
            </w:r>
          </w:p>
        </w:tc>
        <w:tc>
          <w:tcPr>
            <w:tcW w:type="dxa" w:w="1400"/>
            <w:shd w:fill="DCE6F1" w:color="auto" w:val="clear"/>
            <w:tcMar>
              <w:top w:type="dxa" w:w="55"/>
              <w:left w:type="dxa" w:w="85"/>
              <w:bottom w:type="dxa" w:w="55"/>
              <w:right w:type="dxa" w:w="85"/>
            </w:tcMar>
          </w:tcPr>
          <w:p>
            <w:pPr>
              <w:spacing w:after="0"/>
              <w:jc w:val="right"/>
            </w:pPr>
            <w:r>
              <w:rPr>
                <w:b/>
                <w:bCs/>
                <w:sz w:val="18"/>
                <w:szCs w:val="18"/>
              </w:rPr>
              <w:t xml:space="preserve">Cobertura</w:t>
            </w:r>
          </w:p>
        </w:tc>
        <w:tc>
          <w:tcPr>
            <w:tcW w:type="dxa" w:w="1800"/>
            <w:shd w:fill="DCE6F1" w:color="auto" w:val="clear"/>
            <w:tcMar>
              <w:top w:type="dxa" w:w="55"/>
              <w:left w:type="dxa" w:w="85"/>
              <w:bottom w:type="dxa" w:w="55"/>
              <w:right w:type="dxa" w:w="85"/>
            </w:tcMar>
          </w:tcPr>
          <w:p>
            <w:pPr>
              <w:spacing w:after="0"/>
              <w:jc w:val="right"/>
            </w:pPr>
            <w:r>
              <w:rPr>
                <w:b/>
                <w:bCs/>
                <w:sz w:val="18"/>
                <w:szCs w:val="18"/>
              </w:rPr>
              <w:t xml:space="preserve">ARI ± desv.</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Grupo mayor</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 menor</w:t>
            </w:r>
          </w:p>
        </w:tc>
        <w:tc>
          <w:tcPr>
            <w:tcW w:type="dxa" w:w="10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700"/>
            <w:tcMar>
              <w:top w:type="dxa" w:w="55"/>
              <w:left w:type="dxa" w:w="85"/>
              <w:bottom w:type="dxa" w:w="55"/>
              <w:right w:type="dxa" w:w="85"/>
            </w:tcMar>
          </w:tcPr>
          <w:p>
            <w:pPr>
              <w:spacing w:after="0"/>
              <w:jc w:val="right"/>
            </w:pPr>
            <w:r>
              <w:rPr>
                <w:sz w:val="18"/>
                <w:szCs w:val="18"/>
              </w:rPr>
              <w:t xml:space="preserve">3</w:t>
            </w:r>
          </w:p>
        </w:tc>
        <w:tc>
          <w:tcPr>
            <w:tcW w:type="dxa" w:w="1600"/>
            <w:tcMar>
              <w:top w:type="dxa" w:w="55"/>
              <w:left w:type="dxa" w:w="85"/>
              <w:bottom w:type="dxa" w:w="55"/>
              <w:right w:type="dxa" w:w="85"/>
            </w:tcMar>
          </w:tcPr>
          <w:p>
            <w:pPr>
              <w:spacing w:after="0"/>
              <w:jc w:val="right"/>
            </w:pPr>
            <w:r>
              <w:rPr>
                <w:sz w:val="18"/>
                <w:szCs w:val="18"/>
              </w:rPr>
              <w:t xml:space="preserve">0,2022</w:t>
            </w:r>
          </w:p>
        </w:tc>
        <w:tc>
          <w:tcPr>
            <w:tcW w:type="dxa" w:w="1400"/>
            <w:tcMar>
              <w:top w:type="dxa" w:w="55"/>
              <w:left w:type="dxa" w:w="85"/>
              <w:bottom w:type="dxa" w:w="55"/>
              <w:right w:type="dxa" w:w="85"/>
            </w:tcMar>
          </w:tcPr>
          <w:p>
            <w:pPr>
              <w:spacing w:after="0"/>
              <w:jc w:val="right"/>
            </w:pPr>
            <w:r>
              <w:rPr>
                <w:sz w:val="18"/>
                <w:szCs w:val="18"/>
              </w:rPr>
              <w:t xml:space="preserve">100,00 %</w:t>
            </w:r>
          </w:p>
        </w:tc>
        <w:tc>
          <w:tcPr>
            <w:tcW w:type="dxa" w:w="1800"/>
            <w:tcMar>
              <w:top w:type="dxa" w:w="55"/>
              <w:left w:type="dxa" w:w="85"/>
              <w:bottom w:type="dxa" w:w="55"/>
              <w:right w:type="dxa" w:w="85"/>
            </w:tcMar>
          </w:tcPr>
          <w:p>
            <w:pPr>
              <w:spacing w:after="0"/>
              <w:jc w:val="right"/>
            </w:pPr>
            <w:r>
              <w:rPr>
                <w:sz w:val="18"/>
                <w:szCs w:val="18"/>
              </w:rPr>
              <w:t xml:space="preserve">0,988 ± 0,005</w:t>
            </w:r>
          </w:p>
        </w:tc>
        <w:tc>
          <w:tcPr>
            <w:tcW w:type="dxa" w:w="1500"/>
            <w:tcMar>
              <w:top w:type="dxa" w:w="55"/>
              <w:left w:type="dxa" w:w="85"/>
              <w:bottom w:type="dxa" w:w="55"/>
              <w:right w:type="dxa" w:w="85"/>
            </w:tcMar>
          </w:tcPr>
          <w:p>
            <w:pPr>
              <w:spacing w:after="0"/>
              <w:jc w:val="right"/>
            </w:pPr>
            <w:r>
              <w:rPr>
                <w:sz w:val="18"/>
                <w:szCs w:val="18"/>
              </w:rPr>
              <w:t xml:space="preserve">52.3 %</w:t>
            </w:r>
          </w:p>
        </w:tc>
        <w:tc>
          <w:tcPr>
            <w:tcW w:type="dxa" w:w="1300"/>
            <w:tcMar>
              <w:top w:type="dxa" w:w="55"/>
              <w:left w:type="dxa" w:w="85"/>
              <w:bottom w:type="dxa" w:w="55"/>
              <w:right w:type="dxa" w:w="85"/>
            </w:tcMar>
          </w:tcPr>
          <w:p>
            <w:pPr>
              <w:spacing w:after="0"/>
              <w:jc w:val="right"/>
            </w:pPr>
            <w:r>
              <w:rPr>
                <w:sz w:val="18"/>
                <w:szCs w:val="18"/>
              </w:rPr>
              <w:t xml:space="preserve">2 268</w:t>
            </w:r>
          </w:p>
        </w:tc>
        <w:tc>
          <w:tcPr>
            <w:tcW w:type="dxa" w:w="1060"/>
            <w:tcMar>
              <w:top w:type="dxa" w:w="55"/>
              <w:left w:type="dxa" w:w="85"/>
              <w:bottom w:type="dxa" w:w="55"/>
              <w:right w:type="dxa" w:w="85"/>
            </w:tcMar>
          </w:tcPr>
          <w:p>
            <w:pPr>
              <w:spacing w:after="0"/>
              <w:jc w:val="right"/>
            </w:pPr>
            <w:r>
              <w:rPr>
                <w:sz w:val="18"/>
                <w:szCs w:val="18"/>
              </w:rPr>
              <w:t xml:space="preserve">0,909</w:t>
            </w:r>
          </w:p>
        </w:tc>
      </w:tr>
    </w:tbl>
    <w:p>
      <w:pPr>
        <w:spacing w:after="120" w:before="140"/>
      </w:pPr>
      <w:r>
        <w:rPr>
          <w:sz w:val="21"/>
          <w:szCs w:val="21"/>
        </w:rPr>
        <w:t xml:space="preserve">Comparte con K-Means la peor silueta (0,2022), pese a ser el algoritmo teóricamente más apropiado: trata la modalidad como categórica nativa en vez de expandirla en one-hot. Su virtud es el equilibrio — es la partición mejor repartida de las seis (entropía 0,909, ningún grupo por debajo de 2 268 procesos) — pero con k = 3 la segmentación es demasiado gruesa para ser útil. Fue además el más caro: 732 s en el barrido de k, frente a 53 s de PAM.</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55555"/>
          <w:sz w:val="17"/>
          <w:szCs w:val="17"/>
        </w:rPr>
        <w:t xml:space="preserve">K-Prototypes — proyección MDS sobre Gower, silueta por grupo y tamaño de los grupos.</w:t>
      </w:r>
    </w:p>
    <w:p>
      <w:r>
        <w:br w:type="page"/>
      </w:r>
    </w:p>
    <w:p>
      <w:pPr>
        <w:pStyle w:val="Heading1"/>
        <w:spacing w:after="120" w:before="260"/>
      </w:pPr>
      <w:r>
        <w:rPr>
          <w:b/>
          <w:bCs/>
          <w:color w:val="1F4E79"/>
        </w:rPr>
        <w:t xml:space="preserve">7. Los seis modelos en el mismo espacio</w:t>
      </w:r>
    </w:p>
    <w:p>
      <w:pPr>
        <w:spacing w:after="60" w:before="120"/>
        <w:jc w:val="center"/>
      </w:pPr>
      <w:r>
        <w:drawing>
          <wp:inline distT="0" distB="0" distL="0" distR="0">
            <wp:extent cx="5905500" cy="771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715250"/>
                    </a:xfrm>
                    <a:prstGeom prst="rect">
                      <a:avLst/>
                    </a:prstGeom>
                  </pic:spPr>
                </pic:pic>
              </a:graphicData>
            </a:graphic>
          </wp:inline>
        </w:drawing>
      </w:r>
    </w:p>
    <w:p>
      <w:pPr>
        <w:spacing w:after="200"/>
        <w:jc w:val="center"/>
      </w:pPr>
      <w:r>
        <w:rPr>
          <w:i/>
          <w:iCs/>
          <w:color w:val="555555"/>
          <w:sz w:val="17"/>
          <w:szCs w:val="17"/>
        </w:rPr>
        <w:t xml:space="preserve">Los seis modelos sobre la misma proyección MDS de la matriz de Gower. Sólo cambia el color: la geometría de los puntos es idéntica en los seis paneles.</w:t>
      </w:r>
    </w:p>
    <w:p>
      <w:pPr>
        <w:spacing w:after="110"/>
      </w:pPr>
      <w:r>
        <w:rPr>
          <w:sz w:val="21"/>
          <w:szCs w:val="21"/>
        </w:rPr>
        <w:t xml:space="preserve">La estructura en bandas que se aprecia en los seis paneles corresponde en buena medida a la modalidad de contratación, que es la variable categórica y aporta un sexto de la distancia de Gower. Esto es coherente con el hecho de que la línea base por modalidad obtenga la mejor silueta de todo el estudio.</w:t>
      </w:r>
    </w:p>
    <w:p>
      <w:pPr>
        <w:pStyle w:val="Heading2"/>
        <w:spacing w:after="120" w:before="260"/>
      </w:pPr>
      <w:r>
        <w:rPr>
          <w:b/>
          <w:bCs/>
          <w:color w:val="1F4E79"/>
        </w:rPr>
        <w:t xml:space="preserve">7.1 Balance de los grupos</w:t>
      </w:r>
    </w:p>
    <w:p>
      <w:pPr>
        <w:spacing w:after="110"/>
      </w:pPr>
      <w:r>
        <w:rPr>
          <w:sz w:val="21"/>
          <w:szCs w:val="21"/>
        </w:rPr>
        <w:t xml:space="preserve">El protocolo no incluye un criterio de balance, pero sin él la Tabla 6 se puede leer mal. La entropía normalizada vale 1 cuando todos los grupos tienen el mismo tamaño y tiende a 0 cuando uno concentra casi todo.</w:t>
      </w:r>
    </w:p>
    <w:tbl>
      <w:tblPr>
        <w:tblW w:type="dxa" w:w="9360"/>
        <w:tblBorders>
          <w:top w:val="single" w:color="AAAAAA" w:sz="4"/>
          <w:left w:val="none"/>
          <w:bottom w:val="single" w:color="AAAAAA" w:sz="4"/>
          <w:right w:val="none"/>
          <w:insideH w:val="single" w:color="DDDDDD" w:sz="2"/>
          <w:insideV w:val="none"/>
        </w:tblBorders>
      </w:tblPr>
      <w:tblGrid>
        <w:gridCol w:w="2400"/>
        <w:gridCol w:w="800"/>
        <w:gridCol w:w="1100"/>
        <w:gridCol w:w="1500"/>
        <w:gridCol w:w="1100"/>
        <w:gridCol w:w="1300"/>
        <w:gridCol w:w="1160"/>
      </w:tblGrid>
      <w:tr>
        <w:trPr>
          <w:tblHeader/>
        </w:trPr>
        <w:tc>
          <w:tcPr>
            <w:tcW w:type="dxa" w:w="2400"/>
            <w:shd w:fill="DCE6F1" w:color="auto" w:val="clear"/>
            <w:tcMar>
              <w:top w:type="dxa" w:w="55"/>
              <w:left w:type="dxa" w:w="85"/>
              <w:bottom w:type="dxa" w:w="55"/>
              <w:right w:type="dxa" w:w="85"/>
            </w:tcMar>
          </w:tcPr>
          <w:p>
            <w:pPr>
              <w:spacing w:after="0"/>
              <w:jc w:val="left"/>
            </w:pPr>
            <w:r>
              <w:rPr>
                <w:b/>
                <w:bCs/>
                <w:sz w:val="18"/>
                <w:szCs w:val="18"/>
              </w:rPr>
              <w:t xml:space="preserve">Modelo</w:t>
            </w:r>
          </w:p>
        </w:tc>
        <w:tc>
          <w:tcPr>
            <w:tcW w:type="dxa" w:w="800"/>
            <w:shd w:fill="DCE6F1" w:color="auto" w:val="clear"/>
            <w:tcMar>
              <w:top w:type="dxa" w:w="55"/>
              <w:left w:type="dxa" w:w="85"/>
              <w:bottom w:type="dxa" w:w="55"/>
              <w:right w:type="dxa" w:w="85"/>
            </w:tcMar>
          </w:tcPr>
          <w:p>
            <w:pPr>
              <w:spacing w:after="0"/>
              <w:jc w:val="right"/>
            </w:pPr>
            <w:r>
              <w:rPr>
                <w:b/>
                <w:bCs/>
                <w:sz w:val="18"/>
                <w:szCs w:val="18"/>
              </w:rPr>
              <w:t xml:space="preserve">Grupos</w:t>
            </w:r>
          </w:p>
        </w:tc>
        <w:tc>
          <w:tcPr>
            <w:tcW w:type="dxa" w:w="1100"/>
            <w:shd w:fill="DCE6F1" w:color="auto" w:val="clear"/>
            <w:tcMar>
              <w:top w:type="dxa" w:w="55"/>
              <w:left w:type="dxa" w:w="85"/>
              <w:bottom w:type="dxa" w:w="55"/>
              <w:right w:type="dxa" w:w="85"/>
            </w:tcMar>
          </w:tcPr>
          <w:p>
            <w:pPr>
              <w:spacing w:after="0"/>
              <w:jc w:val="right"/>
            </w:pPr>
            <w:r>
              <w:rPr>
                <w:b/>
                <w:bCs/>
                <w:sz w:val="18"/>
                <w:szCs w:val="18"/>
              </w:rPr>
              <w:t xml:space="preserve">Mayor (%)</w:t>
            </w:r>
          </w:p>
        </w:tc>
        <w:tc>
          <w:tcPr>
            <w:tcW w:type="dxa" w:w="1500"/>
            <w:shd w:fill="DCE6F1" w:color="auto" w:val="clear"/>
            <w:tcMar>
              <w:top w:type="dxa" w:w="55"/>
              <w:left w:type="dxa" w:w="85"/>
              <w:bottom w:type="dxa" w:w="55"/>
              <w:right w:type="dxa" w:w="85"/>
            </w:tcMar>
          </w:tcPr>
          <w:p>
            <w:pPr>
              <w:spacing w:after="0"/>
              <w:jc w:val="right"/>
            </w:pPr>
            <w:r>
              <w:rPr>
                <w:b/>
                <w:bCs/>
                <w:sz w:val="18"/>
                <w:szCs w:val="18"/>
              </w:rPr>
              <w:t xml:space="preserve">2 mayores (%)</w:t>
            </w:r>
          </w:p>
        </w:tc>
        <w:tc>
          <w:tcPr>
            <w:tcW w:type="dxa" w:w="1100"/>
            <w:shd w:fill="DCE6F1" w:color="auto" w:val="clear"/>
            <w:tcMar>
              <w:top w:type="dxa" w:w="55"/>
              <w:left w:type="dxa" w:w="85"/>
              <w:bottom w:type="dxa" w:w="55"/>
              <w:right w:type="dxa" w:w="85"/>
            </w:tcMar>
          </w:tcPr>
          <w:p>
            <w:pPr>
              <w:spacing w:after="0"/>
              <w:jc w:val="right"/>
            </w:pPr>
            <w:r>
              <w:rPr>
                <w:b/>
                <w:bCs/>
                <w:sz w:val="18"/>
                <w:szCs w:val="18"/>
              </w:rPr>
              <w:t xml:space="preserve">Menor (n)</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Grupos &lt;1 %</w:t>
            </w:r>
          </w:p>
        </w:tc>
        <w:tc>
          <w:tcPr>
            <w:tcW w:type="dxa" w:w="1160"/>
            <w:shd w:fill="DCE6F1" w:color="auto" w:val="clear"/>
            <w:tcMar>
              <w:top w:type="dxa" w:w="55"/>
              <w:left w:type="dxa" w:w="85"/>
              <w:bottom w:type="dxa" w:w="55"/>
              <w:right w:type="dxa" w:w="85"/>
            </w:tcMar>
          </w:tcPr>
          <w:p>
            <w:pPr>
              <w:spacing w:after="0"/>
              <w:jc w:val="right"/>
            </w:pPr>
            <w:r>
              <w:rPr>
                <w:b/>
                <w:bCs/>
                <w:sz w:val="18"/>
                <w:szCs w:val="18"/>
              </w:rPr>
              <w:t xml:space="preserve">Entropía</w:t>
            </w:r>
          </w:p>
        </w:tc>
      </w:tr>
      <w:tr>
        <w:tc>
          <w:tcPr>
            <w:tcW w:type="dxa" w:w="2400"/>
            <w:shd w:fill="E2F0D9" w:color="auto" w:val="clear"/>
            <w:tcMar>
              <w:top w:type="dxa" w:w="55"/>
              <w:left w:type="dxa" w:w="85"/>
              <w:bottom w:type="dxa" w:w="55"/>
              <w:right w:type="dxa" w:w="85"/>
            </w:tcMar>
          </w:tcPr>
          <w:p>
            <w:pPr>
              <w:spacing w:after="0"/>
              <w:jc w:val="left"/>
            </w:pPr>
            <w:r>
              <w:rPr>
                <w:sz w:val="18"/>
                <w:szCs w:val="18"/>
              </w:rPr>
              <w:t xml:space="preserve">K-Medoids (PAM)</w:t>
            </w:r>
          </w:p>
        </w:tc>
        <w:tc>
          <w:tcPr>
            <w:tcW w:type="dxa" w:w="800"/>
            <w:shd w:fill="E2F0D9" w:color="auto" w:val="clear"/>
            <w:tcMar>
              <w:top w:type="dxa" w:w="55"/>
              <w:left w:type="dxa" w:w="85"/>
              <w:bottom w:type="dxa" w:w="55"/>
              <w:right w:type="dxa" w:w="85"/>
            </w:tcMar>
          </w:tcPr>
          <w:p>
            <w:pPr>
              <w:spacing w:after="0"/>
              <w:jc w:val="right"/>
            </w:pPr>
            <w:r>
              <w:rPr>
                <w:sz w:val="18"/>
                <w:szCs w:val="18"/>
              </w:rPr>
              <w:t xml:space="preserve">10</w:t>
            </w:r>
          </w:p>
        </w:tc>
        <w:tc>
          <w:tcPr>
            <w:tcW w:type="dxa" w:w="1100"/>
            <w:shd w:fill="E2F0D9" w:color="auto" w:val="clear"/>
            <w:tcMar>
              <w:top w:type="dxa" w:w="55"/>
              <w:left w:type="dxa" w:w="85"/>
              <w:bottom w:type="dxa" w:w="55"/>
              <w:right w:type="dxa" w:w="85"/>
            </w:tcMar>
          </w:tcPr>
          <w:p>
            <w:pPr>
              <w:spacing w:after="0"/>
              <w:jc w:val="right"/>
            </w:pPr>
            <w:r>
              <w:rPr>
                <w:sz w:val="18"/>
                <w:szCs w:val="18"/>
              </w:rPr>
              <w:t xml:space="preserve">21,6</w:t>
            </w:r>
          </w:p>
        </w:tc>
        <w:tc>
          <w:tcPr>
            <w:tcW w:type="dxa" w:w="1500"/>
            <w:shd w:fill="E2F0D9" w:color="auto" w:val="clear"/>
            <w:tcMar>
              <w:top w:type="dxa" w:w="55"/>
              <w:left w:type="dxa" w:w="85"/>
              <w:bottom w:type="dxa" w:w="55"/>
              <w:right w:type="dxa" w:w="85"/>
            </w:tcMar>
          </w:tcPr>
          <w:p>
            <w:pPr>
              <w:spacing w:after="0"/>
              <w:jc w:val="right"/>
            </w:pPr>
            <w:r>
              <w:rPr>
                <w:sz w:val="18"/>
                <w:szCs w:val="18"/>
              </w:rPr>
              <w:t xml:space="preserve">42,9</w:t>
            </w:r>
          </w:p>
        </w:tc>
        <w:tc>
          <w:tcPr>
            <w:tcW w:type="dxa" w:w="1100"/>
            <w:shd w:fill="E2F0D9" w:color="auto" w:val="clear"/>
            <w:tcMar>
              <w:top w:type="dxa" w:w="55"/>
              <w:left w:type="dxa" w:w="85"/>
              <w:bottom w:type="dxa" w:w="55"/>
              <w:right w:type="dxa" w:w="85"/>
            </w:tcMar>
          </w:tcPr>
          <w:p>
            <w:pPr>
              <w:spacing w:after="0"/>
              <w:jc w:val="right"/>
            </w:pPr>
            <w:r>
              <w:rPr>
                <w:sz w:val="18"/>
                <w:szCs w:val="18"/>
              </w:rPr>
              <w:t xml:space="preserve">351</w:t>
            </w:r>
          </w:p>
        </w:tc>
        <w:tc>
          <w:tcPr>
            <w:tcW w:type="dxa" w:w="1300"/>
            <w:shd w:fill="E2F0D9" w:color="auto" w:val="clear"/>
            <w:tcMar>
              <w:top w:type="dxa" w:w="55"/>
              <w:left w:type="dxa" w:w="85"/>
              <w:bottom w:type="dxa" w:w="55"/>
              <w:right w:type="dxa" w:w="85"/>
            </w:tcMar>
          </w:tcPr>
          <w:p>
            <w:pPr>
              <w:spacing w:after="0"/>
              <w:jc w:val="right"/>
            </w:pPr>
            <w:r>
              <w:rPr>
                <w:sz w:val="18"/>
                <w:szCs w:val="18"/>
              </w:rPr>
              <w:t xml:space="preserve">0</w:t>
            </w:r>
          </w:p>
        </w:tc>
        <w:tc>
          <w:tcPr>
            <w:tcW w:type="dxa" w:w="1160"/>
            <w:shd w:fill="E2F0D9" w:color="auto" w:val="clear"/>
            <w:tcMar>
              <w:top w:type="dxa" w:w="55"/>
              <w:left w:type="dxa" w:w="85"/>
              <w:bottom w:type="dxa" w:w="55"/>
              <w:right w:type="dxa" w:w="85"/>
            </w:tcMar>
          </w:tcPr>
          <w:p>
            <w:pPr>
              <w:spacing w:after="0"/>
              <w:jc w:val="right"/>
            </w:pPr>
            <w:r>
              <w:rPr>
                <w:sz w:val="18"/>
                <w:szCs w:val="18"/>
              </w:rPr>
              <w:t xml:space="preserve">0,884</w:t>
            </w:r>
          </w:p>
        </w:tc>
      </w:tr>
      <w:tr>
        <w:tc>
          <w:tcPr>
            <w:tcW w:type="dxa" w:w="2400"/>
            <w:tcMar>
              <w:top w:type="dxa" w:w="55"/>
              <w:left w:type="dxa" w:w="85"/>
              <w:bottom w:type="dxa" w:w="55"/>
              <w:right w:type="dxa" w:w="85"/>
            </w:tcMar>
          </w:tcPr>
          <w:p>
            <w:pPr>
              <w:spacing w:after="0"/>
              <w:jc w:val="left"/>
            </w:pPr>
            <w:r>
              <w:rPr>
                <w:sz w:val="18"/>
                <w:szCs w:val="18"/>
              </w:rPr>
              <w:t xml:space="preserve">DBSCAN</w:t>
            </w:r>
          </w:p>
        </w:tc>
        <w:tc>
          <w:tcPr>
            <w:tcW w:type="dxa" w:w="800"/>
            <w:tcMar>
              <w:top w:type="dxa" w:w="55"/>
              <w:left w:type="dxa" w:w="85"/>
              <w:bottom w:type="dxa" w:w="55"/>
              <w:right w:type="dxa" w:w="85"/>
            </w:tcMar>
          </w:tcPr>
          <w:p>
            <w:pPr>
              <w:spacing w:after="0"/>
              <w:jc w:val="right"/>
            </w:pPr>
            <w:r>
              <w:rPr>
                <w:sz w:val="18"/>
                <w:szCs w:val="18"/>
              </w:rPr>
              <w:t xml:space="preserve">17</w:t>
            </w:r>
          </w:p>
        </w:tc>
        <w:tc>
          <w:tcPr>
            <w:tcW w:type="dxa" w:w="1100"/>
            <w:tcMar>
              <w:top w:type="dxa" w:w="55"/>
              <w:left w:type="dxa" w:w="85"/>
              <w:bottom w:type="dxa" w:w="55"/>
              <w:right w:type="dxa" w:w="85"/>
            </w:tcMar>
          </w:tcPr>
          <w:p>
            <w:pPr>
              <w:spacing w:after="0"/>
              <w:jc w:val="right"/>
            </w:pPr>
            <w:r>
              <w:rPr>
                <w:sz w:val="18"/>
                <w:szCs w:val="18"/>
              </w:rPr>
              <w:t xml:space="preserve">24,4</w:t>
            </w:r>
          </w:p>
        </w:tc>
        <w:tc>
          <w:tcPr>
            <w:tcW w:type="dxa" w:w="1500"/>
            <w:tcMar>
              <w:top w:type="dxa" w:w="55"/>
              <w:left w:type="dxa" w:w="85"/>
              <w:bottom w:type="dxa" w:w="55"/>
              <w:right w:type="dxa" w:w="85"/>
            </w:tcMar>
          </w:tcPr>
          <w:p>
            <w:pPr>
              <w:spacing w:after="0"/>
              <w:jc w:val="right"/>
            </w:pPr>
            <w:r>
              <w:rPr>
                <w:sz w:val="18"/>
                <w:szCs w:val="18"/>
              </w:rPr>
              <w:t xml:space="preserve">42,0</w:t>
            </w:r>
          </w:p>
        </w:tc>
        <w:tc>
          <w:tcPr>
            <w:tcW w:type="dxa" w:w="1100"/>
            <w:tcMar>
              <w:top w:type="dxa" w:w="55"/>
              <w:left w:type="dxa" w:w="85"/>
              <w:bottom w:type="dxa" w:w="55"/>
              <w:right w:type="dxa" w:w="85"/>
            </w:tcMar>
          </w:tcPr>
          <w:p>
            <w:pPr>
              <w:spacing w:after="0"/>
              <w:jc w:val="right"/>
            </w:pPr>
            <w:r>
              <w:rPr>
                <w:sz w:val="18"/>
                <w:szCs w:val="18"/>
              </w:rPr>
              <w:t xml:space="preserve">20</w:t>
            </w:r>
          </w:p>
        </w:tc>
        <w:tc>
          <w:tcPr>
            <w:tcW w:type="dxa" w:w="1300"/>
            <w:tcMar>
              <w:top w:type="dxa" w:w="55"/>
              <w:left w:type="dxa" w:w="85"/>
              <w:bottom w:type="dxa" w:w="55"/>
              <w:right w:type="dxa" w:w="85"/>
            </w:tcMar>
          </w:tcPr>
          <w:p>
            <w:pPr>
              <w:spacing w:after="0"/>
              <w:jc w:val="right"/>
            </w:pPr>
            <w:r>
              <w:rPr>
                <w:sz w:val="18"/>
                <w:szCs w:val="18"/>
              </w:rPr>
              <w:t xml:space="preserve">5</w:t>
            </w:r>
          </w:p>
        </w:tc>
        <w:tc>
          <w:tcPr>
            <w:tcW w:type="dxa" w:w="1160"/>
            <w:tcMar>
              <w:top w:type="dxa" w:w="55"/>
              <w:left w:type="dxa" w:w="85"/>
              <w:bottom w:type="dxa" w:w="55"/>
              <w:right w:type="dxa" w:w="85"/>
            </w:tcMar>
          </w:tcPr>
          <w:p>
            <w:pPr>
              <w:spacing w:after="0"/>
              <w:jc w:val="right"/>
            </w:pPr>
            <w:r>
              <w:rPr>
                <w:sz w:val="18"/>
                <w:szCs w:val="18"/>
              </w:rPr>
              <w:t xml:space="preserve">0,778</w:t>
            </w:r>
          </w:p>
        </w:tc>
      </w:tr>
      <w:tr>
        <w:tc>
          <w:tcPr>
            <w:tcW w:type="dxa" w:w="2400"/>
            <w:tcMar>
              <w:top w:type="dxa" w:w="55"/>
              <w:left w:type="dxa" w:w="85"/>
              <w:bottom w:type="dxa" w:w="55"/>
              <w:right w:type="dxa" w:w="85"/>
            </w:tcMar>
          </w:tcPr>
          <w:p>
            <w:pPr>
              <w:spacing w:after="0"/>
              <w:jc w:val="left"/>
            </w:pPr>
            <w:r>
              <w:rPr>
                <w:sz w:val="18"/>
                <w:szCs w:val="18"/>
              </w:rPr>
              <w:t xml:space="preserve">GMM</w:t>
            </w:r>
          </w:p>
        </w:tc>
        <w:tc>
          <w:tcPr>
            <w:tcW w:type="dxa" w:w="800"/>
            <w:tcMar>
              <w:top w:type="dxa" w:w="55"/>
              <w:left w:type="dxa" w:w="85"/>
              <w:bottom w:type="dxa" w:w="55"/>
              <w:right w:type="dxa" w:w="85"/>
            </w:tcMar>
          </w:tcPr>
          <w:p>
            <w:pPr>
              <w:spacing w:after="0"/>
              <w:jc w:val="right"/>
            </w:pPr>
            <w:r>
              <w:rPr>
                <w:sz w:val="18"/>
                <w:szCs w:val="18"/>
              </w:rPr>
              <w:t xml:space="preserve">10</w:t>
            </w:r>
          </w:p>
        </w:tc>
        <w:tc>
          <w:tcPr>
            <w:tcW w:type="dxa" w:w="1100"/>
            <w:tcMar>
              <w:top w:type="dxa" w:w="55"/>
              <w:left w:type="dxa" w:w="85"/>
              <w:bottom w:type="dxa" w:w="55"/>
              <w:right w:type="dxa" w:w="85"/>
            </w:tcMar>
          </w:tcPr>
          <w:p>
            <w:pPr>
              <w:spacing w:after="0"/>
              <w:jc w:val="right"/>
            </w:pPr>
            <w:r>
              <w:rPr>
                <w:sz w:val="18"/>
                <w:szCs w:val="18"/>
              </w:rPr>
              <w:t xml:space="preserve">36,5</w:t>
            </w:r>
          </w:p>
        </w:tc>
        <w:tc>
          <w:tcPr>
            <w:tcW w:type="dxa" w:w="1500"/>
            <w:tcMar>
              <w:top w:type="dxa" w:w="55"/>
              <w:left w:type="dxa" w:w="85"/>
              <w:bottom w:type="dxa" w:w="55"/>
              <w:right w:type="dxa" w:w="85"/>
            </w:tcMar>
          </w:tcPr>
          <w:p>
            <w:pPr>
              <w:spacing w:after="0"/>
              <w:jc w:val="right"/>
            </w:pPr>
            <w:r>
              <w:rPr>
                <w:sz w:val="18"/>
                <w:szCs w:val="18"/>
              </w:rPr>
              <w:t xml:space="preserve">51,7</w:t>
            </w:r>
          </w:p>
        </w:tc>
        <w:tc>
          <w:tcPr>
            <w:tcW w:type="dxa" w:w="1100"/>
            <w:tcMar>
              <w:top w:type="dxa" w:w="55"/>
              <w:left w:type="dxa" w:w="85"/>
              <w:bottom w:type="dxa" w:w="55"/>
              <w:right w:type="dxa" w:w="85"/>
            </w:tcMar>
          </w:tcPr>
          <w:p>
            <w:pPr>
              <w:spacing w:after="0"/>
              <w:jc w:val="right"/>
            </w:pPr>
            <w:r>
              <w:rPr>
                <w:sz w:val="18"/>
                <w:szCs w:val="18"/>
              </w:rPr>
              <w:t xml:space="preserve">49</w:t>
            </w:r>
          </w:p>
        </w:tc>
        <w:tc>
          <w:tcPr>
            <w:tcW w:type="dxa" w:w="1300"/>
            <w:tcMar>
              <w:top w:type="dxa" w:w="55"/>
              <w:left w:type="dxa" w:w="85"/>
              <w:bottom w:type="dxa" w:w="55"/>
              <w:right w:type="dxa" w:w="85"/>
            </w:tcMar>
          </w:tcPr>
          <w:p>
            <w:pPr>
              <w:spacing w:after="0"/>
              <w:jc w:val="right"/>
            </w:pPr>
            <w:r>
              <w:rPr>
                <w:sz w:val="18"/>
                <w:szCs w:val="18"/>
              </w:rPr>
              <w:t xml:space="preserve">3</w:t>
            </w:r>
          </w:p>
        </w:tc>
        <w:tc>
          <w:tcPr>
            <w:tcW w:type="dxa" w:w="1160"/>
            <w:tcMar>
              <w:top w:type="dxa" w:w="55"/>
              <w:left w:type="dxa" w:w="85"/>
              <w:bottom w:type="dxa" w:w="55"/>
              <w:right w:type="dxa" w:w="85"/>
            </w:tcMar>
          </w:tcPr>
          <w:p>
            <w:pPr>
              <w:spacing w:after="0"/>
              <w:jc w:val="right"/>
            </w:pPr>
            <w:r>
              <w:rPr>
                <w:sz w:val="18"/>
                <w:szCs w:val="18"/>
              </w:rPr>
              <w:t xml:space="preserve">0,785</w:t>
            </w:r>
          </w:p>
        </w:tc>
      </w:tr>
      <w:tr>
        <w:tc>
          <w:tcPr>
            <w:tcW w:type="dxa" w:w="2400"/>
            <w:shd w:fill="FBE4E4" w:color="auto" w:val="clear"/>
            <w:tcMar>
              <w:top w:type="dxa" w:w="55"/>
              <w:left w:type="dxa" w:w="85"/>
              <w:bottom w:type="dxa" w:w="55"/>
              <w:right w:type="dxa" w:w="85"/>
            </w:tcMar>
          </w:tcPr>
          <w:p>
            <w:pPr>
              <w:spacing w:after="0"/>
              <w:jc w:val="left"/>
            </w:pPr>
            <w:r>
              <w:rPr>
                <w:sz w:val="18"/>
                <w:szCs w:val="18"/>
              </w:rPr>
              <w:t xml:space="preserve">Jerárquico (promedio)</w:t>
            </w:r>
          </w:p>
        </w:tc>
        <w:tc>
          <w:tcPr>
            <w:tcW w:type="dxa" w:w="800"/>
            <w:shd w:fill="FBE4E4" w:color="auto" w:val="clear"/>
            <w:tcMar>
              <w:top w:type="dxa" w:w="55"/>
              <w:left w:type="dxa" w:w="85"/>
              <w:bottom w:type="dxa" w:w="55"/>
              <w:right w:type="dxa" w:w="85"/>
            </w:tcMar>
          </w:tcPr>
          <w:p>
            <w:pPr>
              <w:spacing w:after="0"/>
              <w:jc w:val="right"/>
            </w:pPr>
            <w:r>
              <w:rPr>
                <w:sz w:val="18"/>
                <w:szCs w:val="18"/>
              </w:rPr>
              <w:t xml:space="preserve">3</w:t>
            </w:r>
          </w:p>
        </w:tc>
        <w:tc>
          <w:tcPr>
            <w:tcW w:type="dxa" w:w="1100"/>
            <w:shd w:fill="FBE4E4" w:color="auto" w:val="clear"/>
            <w:tcMar>
              <w:top w:type="dxa" w:w="55"/>
              <w:left w:type="dxa" w:w="85"/>
              <w:bottom w:type="dxa" w:w="55"/>
              <w:right w:type="dxa" w:w="85"/>
            </w:tcMar>
          </w:tcPr>
          <w:p>
            <w:pPr>
              <w:spacing w:after="0"/>
              <w:jc w:val="right"/>
            </w:pPr>
            <w:r>
              <w:rPr>
                <w:sz w:val="18"/>
                <w:szCs w:val="18"/>
              </w:rPr>
              <w:t xml:space="preserve">99,2</w:t>
            </w:r>
          </w:p>
        </w:tc>
        <w:tc>
          <w:tcPr>
            <w:tcW w:type="dxa" w:w="1500"/>
            <w:shd w:fill="FBE4E4" w:color="auto" w:val="clear"/>
            <w:tcMar>
              <w:top w:type="dxa" w:w="55"/>
              <w:left w:type="dxa" w:w="85"/>
              <w:bottom w:type="dxa" w:w="55"/>
              <w:right w:type="dxa" w:w="85"/>
            </w:tcMar>
          </w:tcPr>
          <w:p>
            <w:pPr>
              <w:spacing w:after="0"/>
              <w:jc w:val="right"/>
            </w:pPr>
            <w:r>
              <w:rPr>
                <w:sz w:val="18"/>
                <w:szCs w:val="18"/>
              </w:rPr>
              <w:t xml:space="preserve">99,7</w:t>
            </w:r>
          </w:p>
        </w:tc>
        <w:tc>
          <w:tcPr>
            <w:tcW w:type="dxa" w:w="1100"/>
            <w:shd w:fill="FBE4E4" w:color="auto" w:val="clear"/>
            <w:tcMar>
              <w:top w:type="dxa" w:w="55"/>
              <w:left w:type="dxa" w:w="85"/>
              <w:bottom w:type="dxa" w:w="55"/>
              <w:right w:type="dxa" w:w="85"/>
            </w:tcMar>
          </w:tcPr>
          <w:p>
            <w:pPr>
              <w:spacing w:after="0"/>
              <w:jc w:val="right"/>
            </w:pPr>
            <w:r>
              <w:rPr>
                <w:sz w:val="18"/>
                <w:szCs w:val="18"/>
              </w:rPr>
              <w:t xml:space="preserve">48</w:t>
            </w:r>
          </w:p>
        </w:tc>
        <w:tc>
          <w:tcPr>
            <w:tcW w:type="dxa" w:w="1300"/>
            <w:shd w:fill="FBE4E4" w:color="auto" w:val="clear"/>
            <w:tcMar>
              <w:top w:type="dxa" w:w="55"/>
              <w:left w:type="dxa" w:w="85"/>
              <w:bottom w:type="dxa" w:w="55"/>
              <w:right w:type="dxa" w:w="85"/>
            </w:tcMar>
          </w:tcPr>
          <w:p>
            <w:pPr>
              <w:spacing w:after="0"/>
              <w:jc w:val="right"/>
            </w:pPr>
            <w:r>
              <w:rPr>
                <w:sz w:val="18"/>
                <w:szCs w:val="18"/>
              </w:rPr>
              <w:t xml:space="preserve">2</w:t>
            </w:r>
          </w:p>
        </w:tc>
        <w:tc>
          <w:tcPr>
            <w:tcW w:type="dxa" w:w="1160"/>
            <w:shd w:fill="FBE4E4" w:color="auto" w:val="clear"/>
            <w:tcMar>
              <w:top w:type="dxa" w:w="55"/>
              <w:left w:type="dxa" w:w="85"/>
              <w:bottom w:type="dxa" w:w="55"/>
              <w:right w:type="dxa" w:w="85"/>
            </w:tcMar>
          </w:tcPr>
          <w:p>
            <w:pPr>
              <w:spacing w:after="0"/>
              <w:jc w:val="right"/>
            </w:pPr>
            <w:r>
              <w:rPr>
                <w:sz w:val="18"/>
                <w:szCs w:val="18"/>
              </w:rPr>
              <w:t xml:space="preserve">0,049</w:t>
            </w:r>
          </w:p>
        </w:tc>
      </w:tr>
      <w:tr>
        <w:tc>
          <w:tcPr>
            <w:tcW w:type="dxa" w:w="2400"/>
            <w:tcMar>
              <w:top w:type="dxa" w:w="55"/>
              <w:left w:type="dxa" w:w="85"/>
              <w:bottom w:type="dxa" w:w="55"/>
              <w:right w:type="dxa" w:w="85"/>
            </w:tcMar>
          </w:tcPr>
          <w:p>
            <w:pPr>
              <w:spacing w:after="0"/>
              <w:jc w:val="left"/>
            </w:pPr>
            <w:r>
              <w:rPr>
                <w:sz w:val="18"/>
                <w:szCs w:val="18"/>
              </w:rPr>
              <w:t xml:space="preserve">K-Means</w:t>
            </w:r>
          </w:p>
        </w:tc>
        <w:tc>
          <w:tcPr>
            <w:tcW w:type="dxa" w:w="800"/>
            <w:tcMar>
              <w:top w:type="dxa" w:w="55"/>
              <w:left w:type="dxa" w:w="85"/>
              <w:bottom w:type="dxa" w:w="55"/>
              <w:right w:type="dxa" w:w="85"/>
            </w:tcMar>
          </w:tcPr>
          <w:p>
            <w:pPr>
              <w:spacing w:after="0"/>
              <w:jc w:val="right"/>
            </w:pPr>
            <w:r>
              <w:rPr>
                <w:sz w:val="18"/>
                <w:szCs w:val="18"/>
              </w:rPr>
              <w:t xml:space="preserve">5</w:t>
            </w:r>
          </w:p>
        </w:tc>
        <w:tc>
          <w:tcPr>
            <w:tcW w:type="dxa" w:w="1100"/>
            <w:tcMar>
              <w:top w:type="dxa" w:w="55"/>
              <w:left w:type="dxa" w:w="85"/>
              <w:bottom w:type="dxa" w:w="55"/>
              <w:right w:type="dxa" w:w="85"/>
            </w:tcMar>
          </w:tcPr>
          <w:p>
            <w:pPr>
              <w:spacing w:after="0"/>
              <w:jc w:val="right"/>
            </w:pPr>
            <w:r>
              <w:rPr>
                <w:sz w:val="18"/>
                <w:szCs w:val="18"/>
              </w:rPr>
              <w:t xml:space="preserve">53,9</w:t>
            </w:r>
          </w:p>
        </w:tc>
        <w:tc>
          <w:tcPr>
            <w:tcW w:type="dxa" w:w="1500"/>
            <w:tcMar>
              <w:top w:type="dxa" w:w="55"/>
              <w:left w:type="dxa" w:w="85"/>
              <w:bottom w:type="dxa" w:w="55"/>
              <w:right w:type="dxa" w:w="85"/>
            </w:tcMar>
          </w:tcPr>
          <w:p>
            <w:pPr>
              <w:spacing w:after="0"/>
              <w:jc w:val="right"/>
            </w:pPr>
            <w:r>
              <w:rPr>
                <w:sz w:val="18"/>
                <w:szCs w:val="18"/>
              </w:rPr>
              <w:t xml:space="preserve">82,9</w:t>
            </w:r>
          </w:p>
        </w:tc>
        <w:tc>
          <w:tcPr>
            <w:tcW w:type="dxa" w:w="1100"/>
            <w:tcMar>
              <w:top w:type="dxa" w:w="55"/>
              <w:left w:type="dxa" w:w="85"/>
              <w:bottom w:type="dxa" w:w="55"/>
              <w:right w:type="dxa" w:w="85"/>
            </w:tcMar>
          </w:tcPr>
          <w:p>
            <w:pPr>
              <w:spacing w:after="0"/>
              <w:jc w:val="right"/>
            </w:pPr>
            <w:r>
              <w:rPr>
                <w:sz w:val="18"/>
                <w:szCs w:val="18"/>
              </w:rPr>
              <w:t xml:space="preserve">49</w:t>
            </w:r>
          </w:p>
        </w:tc>
        <w:tc>
          <w:tcPr>
            <w:tcW w:type="dxa" w:w="1300"/>
            <w:tcMar>
              <w:top w:type="dxa" w:w="55"/>
              <w:left w:type="dxa" w:w="85"/>
              <w:bottom w:type="dxa" w:w="55"/>
              <w:right w:type="dxa" w:w="85"/>
            </w:tcMar>
          </w:tcPr>
          <w:p>
            <w:pPr>
              <w:spacing w:after="0"/>
              <w:jc w:val="right"/>
            </w:pPr>
            <w:r>
              <w:rPr>
                <w:sz w:val="18"/>
                <w:szCs w:val="18"/>
              </w:rPr>
              <w:t xml:space="preserve">2</w:t>
            </w:r>
          </w:p>
        </w:tc>
        <w:tc>
          <w:tcPr>
            <w:tcW w:type="dxa" w:w="1160"/>
            <w:tcMar>
              <w:top w:type="dxa" w:w="55"/>
              <w:left w:type="dxa" w:w="85"/>
              <w:bottom w:type="dxa" w:w="55"/>
              <w:right w:type="dxa" w:w="85"/>
            </w:tcMar>
          </w:tcPr>
          <w:p>
            <w:pPr>
              <w:spacing w:after="0"/>
              <w:jc w:val="right"/>
            </w:pPr>
            <w:r>
              <w:rPr>
                <w:sz w:val="18"/>
                <w:szCs w:val="18"/>
              </w:rPr>
              <w:t xml:space="preserve">0,648</w:t>
            </w:r>
          </w:p>
        </w:tc>
      </w:tr>
      <w:tr>
        <w:tc>
          <w:tcPr>
            <w:tcW w:type="dxa" w:w="2400"/>
            <w:tcMar>
              <w:top w:type="dxa" w:w="55"/>
              <w:left w:type="dxa" w:w="85"/>
              <w:bottom w:type="dxa" w:w="55"/>
              <w:right w:type="dxa" w:w="85"/>
            </w:tcMar>
          </w:tcPr>
          <w:p>
            <w:pPr>
              <w:spacing w:after="0"/>
              <w:jc w:val="left"/>
            </w:pPr>
            <w:r>
              <w:rPr>
                <w:sz w:val="18"/>
                <w:szCs w:val="18"/>
              </w:rPr>
              <w:t xml:space="preserve">K-Prototypes</w:t>
            </w:r>
          </w:p>
        </w:tc>
        <w:tc>
          <w:tcPr>
            <w:tcW w:type="dxa" w:w="800"/>
            <w:tcMar>
              <w:top w:type="dxa" w:w="55"/>
              <w:left w:type="dxa" w:w="85"/>
              <w:bottom w:type="dxa" w:w="55"/>
              <w:right w:type="dxa" w:w="85"/>
            </w:tcMar>
          </w:tcPr>
          <w:p>
            <w:pPr>
              <w:spacing w:after="0"/>
              <w:jc w:val="right"/>
            </w:pPr>
            <w:r>
              <w:rPr>
                <w:sz w:val="18"/>
                <w:szCs w:val="18"/>
              </w:rPr>
              <w:t xml:space="preserve">3</w:t>
            </w:r>
          </w:p>
        </w:tc>
        <w:tc>
          <w:tcPr>
            <w:tcW w:type="dxa" w:w="1100"/>
            <w:tcMar>
              <w:top w:type="dxa" w:w="55"/>
              <w:left w:type="dxa" w:w="85"/>
              <w:bottom w:type="dxa" w:w="55"/>
              <w:right w:type="dxa" w:w="85"/>
            </w:tcMar>
          </w:tcPr>
          <w:p>
            <w:pPr>
              <w:spacing w:after="0"/>
              <w:jc w:val="right"/>
            </w:pPr>
            <w:r>
              <w:rPr>
                <w:sz w:val="18"/>
                <w:szCs w:val="18"/>
              </w:rPr>
              <w:t xml:space="preserve">52,3</w:t>
            </w:r>
          </w:p>
        </w:tc>
        <w:tc>
          <w:tcPr>
            <w:tcW w:type="dxa" w:w="1500"/>
            <w:tcMar>
              <w:top w:type="dxa" w:w="55"/>
              <w:left w:type="dxa" w:w="85"/>
              <w:bottom w:type="dxa" w:w="55"/>
              <w:right w:type="dxa" w:w="85"/>
            </w:tcMar>
          </w:tcPr>
          <w:p>
            <w:pPr>
              <w:spacing w:after="0"/>
              <w:jc w:val="right"/>
            </w:pPr>
            <w:r>
              <w:rPr>
                <w:sz w:val="18"/>
                <w:szCs w:val="18"/>
              </w:rPr>
              <w:t xml:space="preserve">83,6</w:t>
            </w:r>
          </w:p>
        </w:tc>
        <w:tc>
          <w:tcPr>
            <w:tcW w:type="dxa" w:w="1100"/>
            <w:tcMar>
              <w:top w:type="dxa" w:w="55"/>
              <w:left w:type="dxa" w:w="85"/>
              <w:bottom w:type="dxa" w:w="55"/>
              <w:right w:type="dxa" w:w="85"/>
            </w:tcMar>
          </w:tcPr>
          <w:p>
            <w:pPr>
              <w:spacing w:after="0"/>
              <w:jc w:val="right"/>
            </w:pPr>
            <w:r>
              <w:rPr>
                <w:sz w:val="18"/>
                <w:szCs w:val="18"/>
              </w:rPr>
              <w:t xml:space="preserve">2 268</w:t>
            </w:r>
          </w:p>
        </w:tc>
        <w:tc>
          <w:tcPr>
            <w:tcW w:type="dxa" w:w="1300"/>
            <w:tcMar>
              <w:top w:type="dxa" w:w="55"/>
              <w:left w:type="dxa" w:w="85"/>
              <w:bottom w:type="dxa" w:w="55"/>
              <w:right w:type="dxa" w:w="85"/>
            </w:tcMar>
          </w:tcPr>
          <w:p>
            <w:pPr>
              <w:spacing w:after="0"/>
              <w:jc w:val="right"/>
            </w:pPr>
            <w:r>
              <w:rPr>
                <w:sz w:val="18"/>
                <w:szCs w:val="18"/>
              </w:rPr>
              <w:t xml:space="preserve">0</w:t>
            </w:r>
          </w:p>
        </w:tc>
        <w:tc>
          <w:tcPr>
            <w:tcW w:type="dxa" w:w="1160"/>
            <w:tcMar>
              <w:top w:type="dxa" w:w="55"/>
              <w:left w:type="dxa" w:w="85"/>
              <w:bottom w:type="dxa" w:w="55"/>
              <w:right w:type="dxa" w:w="85"/>
            </w:tcMar>
          </w:tcPr>
          <w:p>
            <w:pPr>
              <w:spacing w:after="0"/>
              <w:jc w:val="right"/>
            </w:pPr>
            <w:r>
              <w:rPr>
                <w:sz w:val="18"/>
                <w:szCs w:val="18"/>
              </w:rPr>
              <w:t xml:space="preserve">0,909</w:t>
            </w:r>
          </w:p>
        </w:tc>
      </w:tr>
    </w:tbl>
    <w:p>
      <w:pPr>
        <w:spacing w:after="140" w:before="140"/>
      </w:pPr>
      <w:r>
        <w:rPr>
          <w:sz w:val="21"/>
          <w:szCs w:val="21"/>
        </w:rPr>
        <w:t xml:space="preserve">El jerárquico queda retratado aquí: entropía 0,049, con </w:t>
      </w:r>
      <w:r>
        <w:rPr>
          <w:b/>
          <w:bCs/>
          <w:sz w:val="21"/>
          <w:szCs w:val="21"/>
        </w:rPr>
        <w:t xml:space="preserve">13 732 de 13 848 procesos en un único grupo</w:t>
      </w:r>
      <w:r>
        <w:rPr>
          <w:sz w:val="21"/>
          <w:szCs w:val="21"/>
        </w:rPr>
        <w:t xml:space="preserve"> y dos grupos residuales de 48 y 68. </w:t>
      </w:r>
      <w:r>
        <w:rPr>
          <w:sz w:val="21"/>
          <w:szCs w:val="21"/>
        </w:rPr>
        <w:t xml:space="preserve">El ganador, en cambio, es el más equilibrado de los que producen diez grupos: ningún grupo por debajo de 351 procesos y ninguno por encima del 21,6 %.</w:t>
      </w:r>
    </w:p>
    <w:p>
      <w:r>
        <w:br w:type="page"/>
      </w:r>
    </w:p>
    <w:p>
      <w:pPr>
        <w:pStyle w:val="Heading1"/>
        <w:spacing w:after="120" w:before="260"/>
      </w:pPr>
      <w:r>
        <w:rPr>
          <w:b/>
          <w:bCs/>
          <w:color w:val="1F4E79"/>
        </w:rPr>
        <w:t xml:space="preserve">8. Perfiles de los grupos del ganador</w:t>
      </w:r>
    </w:p>
    <w:p>
      <w:pPr>
        <w:pStyle w:val="Heading2"/>
        <w:spacing w:after="120" w:before="260"/>
      </w:pPr>
      <w:r>
        <w:rPr>
          <w:b/>
          <w:bCs/>
          <w:color w:val="1F4E79"/>
        </w:rPr>
        <w:t xml:space="preserve">8.1 Tabla 8 — Perfiles</w:t>
      </w:r>
    </w:p>
    <w:tbl>
      <w:tblPr>
        <w:tblW w:type="dxa" w:w="9360"/>
        <w:tblBorders>
          <w:top w:val="single" w:color="AAAAAA" w:sz="4"/>
          <w:left w:val="none"/>
          <w:bottom w:val="single" w:color="AAAAAA" w:sz="4"/>
          <w:right w:val="none"/>
          <w:insideH w:val="single" w:color="DDDDDD" w:sz="2"/>
          <w:insideV w:val="none"/>
        </w:tblBorders>
      </w:tblPr>
      <w:tblGrid>
        <w:gridCol w:w="620"/>
        <w:gridCol w:w="900"/>
        <w:gridCol w:w="1180"/>
        <w:gridCol w:w="1120"/>
        <w:gridCol w:w="1180"/>
        <w:gridCol w:w="980"/>
        <w:gridCol w:w="3380"/>
      </w:tblGrid>
      <w:tr>
        <w:trPr>
          <w:tblHeader/>
        </w:trPr>
        <w:tc>
          <w:tcPr>
            <w:tcW w:type="dxa" w:w="620"/>
            <w:shd w:fill="DCE6F1" w:color="auto" w:val="clear"/>
            <w:tcMar>
              <w:top w:type="dxa" w:w="55"/>
              <w:left w:type="dxa" w:w="85"/>
              <w:bottom w:type="dxa" w:w="55"/>
              <w:right w:type="dxa" w:w="85"/>
            </w:tcMar>
          </w:tcPr>
          <w:p>
            <w:pPr>
              <w:spacing w:after="0"/>
              <w:jc w:val="right"/>
            </w:pPr>
            <w:r>
              <w:rPr>
                <w:b/>
                <w:bCs/>
                <w:sz w:val="18"/>
                <w:szCs w:val="18"/>
              </w:rPr>
              <w:t xml:space="preserve">Grupo</w:t>
            </w:r>
          </w:p>
        </w:tc>
        <w:tc>
          <w:tcPr>
            <w:tcW w:type="dxa" w:w="900"/>
            <w:shd w:fill="DCE6F1" w:color="auto" w:val="clear"/>
            <w:tcMar>
              <w:top w:type="dxa" w:w="55"/>
              <w:left w:type="dxa" w:w="85"/>
              <w:bottom w:type="dxa" w:w="55"/>
              <w:right w:type="dxa" w:w="85"/>
            </w:tcMar>
          </w:tcPr>
          <w:p>
            <w:pPr>
              <w:spacing w:after="0"/>
              <w:jc w:val="right"/>
            </w:pPr>
            <w:r>
              <w:rPr>
                <w:b/>
                <w:bCs/>
                <w:sz w:val="18"/>
                <w:szCs w:val="18"/>
              </w:rPr>
              <w:t xml:space="preserve">Procesos</w:t>
            </w:r>
          </w:p>
        </w:tc>
        <w:tc>
          <w:tcPr>
            <w:tcW w:type="dxa" w:w="1180"/>
            <w:shd w:fill="DCE6F1" w:color="auto" w:val="clear"/>
            <w:tcMar>
              <w:top w:type="dxa" w:w="55"/>
              <w:left w:type="dxa" w:w="85"/>
              <w:bottom w:type="dxa" w:w="55"/>
              <w:right w:type="dxa" w:w="85"/>
            </w:tcMar>
          </w:tcPr>
          <w:p>
            <w:pPr>
              <w:spacing w:after="0"/>
              <w:jc w:val="right"/>
            </w:pPr>
            <w:r>
              <w:rPr>
                <w:b/>
                <w:bCs/>
                <w:sz w:val="18"/>
                <w:szCs w:val="18"/>
              </w:rPr>
              <w:t xml:space="preserve">Simil. semánt.</w:t>
            </w:r>
          </w:p>
        </w:tc>
        <w:tc>
          <w:tcPr>
            <w:tcW w:type="dxa" w:w="1120"/>
            <w:shd w:fill="DCE6F1" w:color="auto" w:val="clear"/>
            <w:tcMar>
              <w:top w:type="dxa" w:w="55"/>
              <w:left w:type="dxa" w:w="85"/>
              <w:bottom w:type="dxa" w:w="55"/>
              <w:right w:type="dxa" w:w="85"/>
            </w:tcMar>
          </w:tcPr>
          <w:p>
            <w:pPr>
              <w:spacing w:after="0"/>
              <w:jc w:val="right"/>
            </w:pPr>
            <w:r>
              <w:rPr>
                <w:b/>
                <w:bCs/>
                <w:sz w:val="18"/>
                <w:szCs w:val="18"/>
              </w:rPr>
              <w:t xml:space="preserve">Coincid. CPC</w:t>
            </w:r>
          </w:p>
        </w:tc>
        <w:tc>
          <w:tcPr>
            <w:tcW w:type="dxa" w:w="1180"/>
            <w:shd w:fill="DCE6F1" w:color="auto" w:val="clear"/>
            <w:tcMar>
              <w:top w:type="dxa" w:w="55"/>
              <w:left w:type="dxa" w:w="85"/>
              <w:bottom w:type="dxa" w:w="55"/>
              <w:right w:type="dxa" w:w="85"/>
            </w:tcMar>
          </w:tcPr>
          <w:p>
            <w:pPr>
              <w:spacing w:after="0"/>
              <w:jc w:val="right"/>
            </w:pPr>
            <w:r>
              <w:rPr>
                <w:b/>
                <w:bCs/>
                <w:sz w:val="18"/>
                <w:szCs w:val="18"/>
              </w:rPr>
              <w:t xml:space="preserve">Desv. presup.</w:t>
            </w:r>
          </w:p>
        </w:tc>
        <w:tc>
          <w:tcPr>
            <w:tcW w:type="dxa" w:w="980"/>
            <w:shd w:fill="DCE6F1" w:color="auto" w:val="clear"/>
            <w:tcMar>
              <w:top w:type="dxa" w:w="55"/>
              <w:left w:type="dxa" w:w="85"/>
              <w:bottom w:type="dxa" w:w="55"/>
              <w:right w:type="dxa" w:w="85"/>
            </w:tcMar>
          </w:tcPr>
          <w:p>
            <w:pPr>
              <w:spacing w:after="0"/>
              <w:jc w:val="right"/>
            </w:pPr>
            <w:r>
              <w:rPr>
                <w:b/>
                <w:bCs/>
                <w:sz w:val="18"/>
                <w:szCs w:val="18"/>
              </w:rPr>
              <w:t xml:space="preserve">Dist. (km)</w:t>
            </w:r>
          </w:p>
        </w:tc>
        <w:tc>
          <w:tcPr>
            <w:tcW w:type="dxa" w:w="3380"/>
            <w:shd w:fill="DCE6F1" w:color="auto" w:val="clear"/>
            <w:tcMar>
              <w:top w:type="dxa" w:w="55"/>
              <w:left w:type="dxa" w:w="85"/>
              <w:bottom w:type="dxa" w:w="55"/>
              <w:right w:type="dxa" w:w="85"/>
            </w:tcMar>
          </w:tcPr>
          <w:p>
            <w:pPr>
              <w:spacing w:after="0"/>
              <w:jc w:val="left"/>
            </w:pPr>
            <w:r>
              <w:rPr>
                <w:b/>
                <w:bCs/>
                <w:sz w:val="18"/>
                <w:szCs w:val="18"/>
              </w:rPr>
              <w:t xml:space="preserve">Modalidad dominante</w:t>
            </w:r>
          </w:p>
        </w:tc>
      </w:tr>
      <w:tr>
        <w:tc>
          <w:tcPr>
            <w:tcW w:type="dxa" w:w="620"/>
            <w:tcMar>
              <w:top w:type="dxa" w:w="55"/>
              <w:left w:type="dxa" w:w="85"/>
              <w:bottom w:type="dxa" w:w="55"/>
              <w:right w:type="dxa" w:w="85"/>
            </w:tcMar>
          </w:tcPr>
          <w:p>
            <w:pPr>
              <w:spacing w:after="0"/>
              <w:jc w:val="right"/>
            </w:pPr>
            <w:r>
              <w:rPr>
                <w:sz w:val="18"/>
                <w:szCs w:val="18"/>
              </w:rPr>
              <w:t xml:space="preserve">0</w:t>
            </w:r>
          </w:p>
        </w:tc>
        <w:tc>
          <w:tcPr>
            <w:tcW w:type="dxa" w:w="900"/>
            <w:tcMar>
              <w:top w:type="dxa" w:w="55"/>
              <w:left w:type="dxa" w:w="85"/>
              <w:bottom w:type="dxa" w:w="55"/>
              <w:right w:type="dxa" w:w="85"/>
            </w:tcMar>
          </w:tcPr>
          <w:p>
            <w:pPr>
              <w:spacing w:after="0"/>
              <w:jc w:val="right"/>
            </w:pPr>
            <w:r>
              <w:rPr>
                <w:sz w:val="18"/>
                <w:szCs w:val="18"/>
              </w:rPr>
              <w:t xml:space="preserve">1 082</w:t>
            </w:r>
          </w:p>
        </w:tc>
        <w:tc>
          <w:tcPr>
            <w:tcW w:type="dxa" w:w="1180"/>
            <w:tcMar>
              <w:top w:type="dxa" w:w="55"/>
              <w:left w:type="dxa" w:w="85"/>
              <w:bottom w:type="dxa" w:w="55"/>
              <w:right w:type="dxa" w:w="85"/>
            </w:tcMar>
          </w:tcPr>
          <w:p>
            <w:pPr>
              <w:spacing w:after="0"/>
              <w:jc w:val="right"/>
            </w:pPr>
            <w:r>
              <w:rPr>
                <w:sz w:val="18"/>
                <w:szCs w:val="18"/>
              </w:rPr>
              <w:t xml:space="preserve">0,0063</w:t>
            </w:r>
          </w:p>
        </w:tc>
        <w:tc>
          <w:tcPr>
            <w:tcW w:type="dxa" w:w="1120"/>
            <w:tcMar>
              <w:top w:type="dxa" w:w="55"/>
              <w:left w:type="dxa" w:w="85"/>
              <w:bottom w:type="dxa" w:w="55"/>
              <w:right w:type="dxa" w:w="85"/>
            </w:tcMar>
          </w:tcPr>
          <w:p>
            <w:pPr>
              <w:spacing w:after="0"/>
              <w:jc w:val="right"/>
            </w:pPr>
            <w:r>
              <w:rPr>
                <w:sz w:val="18"/>
                <w:szCs w:val="18"/>
              </w:rPr>
              <w:t xml:space="preserve">0,0140</w:t>
            </w:r>
          </w:p>
        </w:tc>
        <w:tc>
          <w:tcPr>
            <w:tcW w:type="dxa" w:w="1180"/>
            <w:tcMar>
              <w:top w:type="dxa" w:w="55"/>
              <w:left w:type="dxa" w:w="85"/>
              <w:bottom w:type="dxa" w:w="55"/>
              <w:right w:type="dxa" w:w="85"/>
            </w:tcMar>
          </w:tcPr>
          <w:p>
            <w:pPr>
              <w:spacing w:after="0"/>
              <w:jc w:val="right"/>
            </w:pPr>
            <w:r>
              <w:rPr>
                <w:sz w:val="18"/>
                <w:szCs w:val="18"/>
              </w:rPr>
              <w:t xml:space="preserve">+2,413</w:t>
            </w:r>
          </w:p>
        </w:tc>
        <w:tc>
          <w:tcPr>
            <w:tcW w:type="dxa" w:w="980"/>
            <w:tcMar>
              <w:top w:type="dxa" w:w="55"/>
              <w:left w:type="dxa" w:w="85"/>
              <w:bottom w:type="dxa" w:w="55"/>
              <w:right w:type="dxa" w:w="85"/>
            </w:tcMar>
          </w:tcPr>
          <w:p>
            <w:pPr>
              <w:spacing w:after="0"/>
              <w:jc w:val="right"/>
            </w:pPr>
            <w:r>
              <w:rPr>
                <w:sz w:val="18"/>
                <w:szCs w:val="18"/>
              </w:rPr>
              <w:t xml:space="preserve">167,4</w:t>
            </w:r>
          </w:p>
        </w:tc>
        <w:tc>
          <w:tcPr>
            <w:tcW w:type="dxa" w:w="3380"/>
            <w:tcMar>
              <w:top w:type="dxa" w:w="55"/>
              <w:left w:type="dxa" w:w="85"/>
              <w:bottom w:type="dxa" w:w="55"/>
              <w:right w:type="dxa" w:w="85"/>
            </w:tcMar>
          </w:tcPr>
          <w:p>
            <w:pPr>
              <w:spacing w:after="0"/>
              <w:jc w:val="left"/>
            </w:pPr>
            <w:r>
              <w:rPr>
                <w:sz w:val="18"/>
                <w:szCs w:val="18"/>
              </w:rPr>
              <w:t xml:space="preserve">Cotización</w:t>
            </w:r>
          </w:p>
        </w:tc>
      </w:tr>
      <w:tr>
        <w:tc>
          <w:tcPr>
            <w:tcW w:type="dxa" w:w="620"/>
            <w:tcMar>
              <w:top w:type="dxa" w:w="55"/>
              <w:left w:type="dxa" w:w="85"/>
              <w:bottom w:type="dxa" w:w="55"/>
              <w:right w:type="dxa" w:w="85"/>
            </w:tcMar>
          </w:tcPr>
          <w:p>
            <w:pPr>
              <w:spacing w:after="0"/>
              <w:jc w:val="right"/>
            </w:pPr>
            <w:r>
              <w:rPr>
                <w:sz w:val="18"/>
                <w:szCs w:val="18"/>
              </w:rPr>
              <w:t xml:space="preserve">1</w:t>
            </w:r>
          </w:p>
        </w:tc>
        <w:tc>
          <w:tcPr>
            <w:tcW w:type="dxa" w:w="900"/>
            <w:tcMar>
              <w:top w:type="dxa" w:w="55"/>
              <w:left w:type="dxa" w:w="85"/>
              <w:bottom w:type="dxa" w:w="55"/>
              <w:right w:type="dxa" w:w="85"/>
            </w:tcMar>
          </w:tcPr>
          <w:p>
            <w:pPr>
              <w:spacing w:after="0"/>
              <w:jc w:val="right"/>
            </w:pPr>
            <w:r>
              <w:rPr>
                <w:sz w:val="18"/>
                <w:szCs w:val="18"/>
              </w:rPr>
              <w:t xml:space="preserve">363</w:t>
            </w:r>
          </w:p>
        </w:tc>
        <w:tc>
          <w:tcPr>
            <w:tcW w:type="dxa" w:w="1180"/>
            <w:tcMar>
              <w:top w:type="dxa" w:w="55"/>
              <w:left w:type="dxa" w:w="85"/>
              <w:bottom w:type="dxa" w:w="55"/>
              <w:right w:type="dxa" w:w="85"/>
            </w:tcMar>
          </w:tcPr>
          <w:p>
            <w:pPr>
              <w:spacing w:after="0"/>
              <w:jc w:val="right"/>
            </w:pPr>
            <w:r>
              <w:rPr>
                <w:sz w:val="18"/>
                <w:szCs w:val="18"/>
              </w:rPr>
              <w:t xml:space="preserve">0,0062</w:t>
            </w:r>
          </w:p>
        </w:tc>
        <w:tc>
          <w:tcPr>
            <w:tcW w:type="dxa" w:w="1120"/>
            <w:tcMar>
              <w:top w:type="dxa" w:w="55"/>
              <w:left w:type="dxa" w:w="85"/>
              <w:bottom w:type="dxa" w:w="55"/>
              <w:right w:type="dxa" w:w="85"/>
            </w:tcMar>
          </w:tcPr>
          <w:p>
            <w:pPr>
              <w:spacing w:after="0"/>
              <w:jc w:val="right"/>
            </w:pPr>
            <w:r>
              <w:rPr>
                <w:sz w:val="18"/>
                <w:szCs w:val="18"/>
              </w:rPr>
              <w:t xml:space="preserve">0,0000</w:t>
            </w:r>
          </w:p>
        </w:tc>
        <w:tc>
          <w:tcPr>
            <w:tcW w:type="dxa" w:w="1180"/>
            <w:tcMar>
              <w:top w:type="dxa" w:w="55"/>
              <w:left w:type="dxa" w:w="85"/>
              <w:bottom w:type="dxa" w:w="55"/>
              <w:right w:type="dxa" w:w="85"/>
            </w:tcMar>
          </w:tcPr>
          <w:p>
            <w:pPr>
              <w:spacing w:after="0"/>
              <w:jc w:val="right"/>
            </w:pPr>
            <w:r>
              <w:rPr>
                <w:sz w:val="18"/>
                <w:szCs w:val="18"/>
              </w:rPr>
              <w:t xml:space="preserve">+0,512</w:t>
            </w:r>
          </w:p>
        </w:tc>
        <w:tc>
          <w:tcPr>
            <w:tcW w:type="dxa" w:w="980"/>
            <w:tcMar>
              <w:top w:type="dxa" w:w="55"/>
              <w:left w:type="dxa" w:w="85"/>
              <w:bottom w:type="dxa" w:w="55"/>
              <w:right w:type="dxa" w:w="85"/>
            </w:tcMar>
          </w:tcPr>
          <w:p>
            <w:pPr>
              <w:spacing w:after="0"/>
              <w:jc w:val="right"/>
            </w:pPr>
            <w:r>
              <w:rPr>
                <w:sz w:val="18"/>
                <w:szCs w:val="18"/>
              </w:rPr>
              <w:t xml:space="preserve">217,9</w:t>
            </w:r>
          </w:p>
        </w:tc>
        <w:tc>
          <w:tcPr>
            <w:tcW w:type="dxa" w:w="3380"/>
            <w:tcMar>
              <w:top w:type="dxa" w:w="55"/>
              <w:left w:type="dxa" w:w="85"/>
              <w:bottom w:type="dxa" w:w="55"/>
              <w:right w:type="dxa" w:w="85"/>
            </w:tcMar>
          </w:tcPr>
          <w:p>
            <w:pPr>
              <w:spacing w:after="0"/>
              <w:jc w:val="left"/>
            </w:pPr>
            <w:r>
              <w:rPr>
                <w:sz w:val="18"/>
                <w:szCs w:val="18"/>
              </w:rPr>
              <w:t xml:space="preserve">Licitación de Seguros</w:t>
            </w:r>
          </w:p>
        </w:tc>
      </w:tr>
      <w:tr>
        <w:tc>
          <w:tcPr>
            <w:tcW w:type="dxa" w:w="620"/>
            <w:tcMar>
              <w:top w:type="dxa" w:w="55"/>
              <w:left w:type="dxa" w:w="85"/>
              <w:bottom w:type="dxa" w:w="55"/>
              <w:right w:type="dxa" w:w="85"/>
            </w:tcMar>
          </w:tcPr>
          <w:p>
            <w:pPr>
              <w:spacing w:after="0"/>
              <w:jc w:val="right"/>
            </w:pPr>
            <w:r>
              <w:rPr>
                <w:sz w:val="18"/>
                <w:szCs w:val="18"/>
              </w:rPr>
              <w:t xml:space="preserve">2</w:t>
            </w:r>
          </w:p>
        </w:tc>
        <w:tc>
          <w:tcPr>
            <w:tcW w:type="dxa" w:w="900"/>
            <w:tcMar>
              <w:top w:type="dxa" w:w="55"/>
              <w:left w:type="dxa" w:w="85"/>
              <w:bottom w:type="dxa" w:w="55"/>
              <w:right w:type="dxa" w:w="85"/>
            </w:tcMar>
          </w:tcPr>
          <w:p>
            <w:pPr>
              <w:spacing w:after="0"/>
              <w:jc w:val="right"/>
            </w:pPr>
            <w:r>
              <w:rPr>
                <w:sz w:val="18"/>
                <w:szCs w:val="18"/>
              </w:rPr>
              <w:t xml:space="preserve">1 891</w:t>
            </w:r>
          </w:p>
        </w:tc>
        <w:tc>
          <w:tcPr>
            <w:tcW w:type="dxa" w:w="1180"/>
            <w:tcMar>
              <w:top w:type="dxa" w:w="55"/>
              <w:left w:type="dxa" w:w="85"/>
              <w:bottom w:type="dxa" w:w="55"/>
              <w:right w:type="dxa" w:w="85"/>
            </w:tcMar>
          </w:tcPr>
          <w:p>
            <w:pPr>
              <w:spacing w:after="0"/>
              <w:jc w:val="right"/>
            </w:pPr>
            <w:r>
              <w:rPr>
                <w:sz w:val="18"/>
                <w:szCs w:val="18"/>
              </w:rPr>
              <w:t xml:space="preserve">0,0038</w:t>
            </w:r>
          </w:p>
        </w:tc>
        <w:tc>
          <w:tcPr>
            <w:tcW w:type="dxa" w:w="1120"/>
            <w:tcMar>
              <w:top w:type="dxa" w:w="55"/>
              <w:left w:type="dxa" w:w="85"/>
              <w:bottom w:type="dxa" w:w="55"/>
              <w:right w:type="dxa" w:w="85"/>
            </w:tcMar>
          </w:tcPr>
          <w:p>
            <w:pPr>
              <w:spacing w:after="0"/>
              <w:jc w:val="right"/>
            </w:pPr>
            <w:r>
              <w:rPr>
                <w:sz w:val="18"/>
                <w:szCs w:val="18"/>
              </w:rPr>
              <w:t xml:space="preserve">0,0076</w:t>
            </w:r>
          </w:p>
        </w:tc>
        <w:tc>
          <w:tcPr>
            <w:tcW w:type="dxa" w:w="1180"/>
            <w:tcMar>
              <w:top w:type="dxa" w:w="55"/>
              <w:left w:type="dxa" w:w="85"/>
              <w:bottom w:type="dxa" w:w="55"/>
              <w:right w:type="dxa" w:w="85"/>
            </w:tcMar>
          </w:tcPr>
          <w:p>
            <w:pPr>
              <w:spacing w:after="0"/>
              <w:jc w:val="right"/>
            </w:pPr>
            <w:r>
              <w:rPr>
                <w:sz w:val="18"/>
                <w:szCs w:val="18"/>
              </w:rPr>
              <w:t xml:space="preserve">+0,148</w:t>
            </w:r>
          </w:p>
        </w:tc>
        <w:tc>
          <w:tcPr>
            <w:tcW w:type="dxa" w:w="980"/>
            <w:tcMar>
              <w:top w:type="dxa" w:w="55"/>
              <w:left w:type="dxa" w:w="85"/>
              <w:bottom w:type="dxa" w:w="55"/>
              <w:right w:type="dxa" w:w="85"/>
            </w:tcMar>
          </w:tcPr>
          <w:p>
            <w:pPr>
              <w:spacing w:after="0"/>
              <w:jc w:val="right"/>
            </w:pPr>
            <w:r>
              <w:rPr>
                <w:sz w:val="18"/>
                <w:szCs w:val="18"/>
              </w:rPr>
              <w:t xml:space="preserve">187,8</w:t>
            </w:r>
          </w:p>
        </w:tc>
        <w:tc>
          <w:tcPr>
            <w:tcW w:type="dxa" w:w="3380"/>
            <w:tcMar>
              <w:top w:type="dxa" w:w="55"/>
              <w:left w:type="dxa" w:w="85"/>
              <w:bottom w:type="dxa" w:w="55"/>
              <w:right w:type="dxa" w:w="85"/>
            </w:tcMar>
          </w:tcPr>
          <w:p>
            <w:pPr>
              <w:spacing w:after="0"/>
              <w:jc w:val="left"/>
            </w:pPr>
            <w:r>
              <w:rPr>
                <w:sz w:val="18"/>
                <w:szCs w:val="18"/>
              </w:rPr>
              <w:t xml:space="preserve">Menor Cuantía</w:t>
            </w:r>
          </w:p>
        </w:tc>
      </w:tr>
      <w:tr>
        <w:tc>
          <w:tcPr>
            <w:tcW w:type="dxa" w:w="620"/>
            <w:tcMar>
              <w:top w:type="dxa" w:w="55"/>
              <w:left w:type="dxa" w:w="85"/>
              <w:bottom w:type="dxa" w:w="55"/>
              <w:right w:type="dxa" w:w="85"/>
            </w:tcMar>
          </w:tcPr>
          <w:p>
            <w:pPr>
              <w:spacing w:after="0"/>
              <w:jc w:val="right"/>
            </w:pPr>
            <w:r>
              <w:rPr>
                <w:sz w:val="18"/>
                <w:szCs w:val="18"/>
              </w:rPr>
              <w:t xml:space="preserve">3</w:t>
            </w:r>
          </w:p>
        </w:tc>
        <w:tc>
          <w:tcPr>
            <w:tcW w:type="dxa" w:w="900"/>
            <w:tcMar>
              <w:top w:type="dxa" w:w="55"/>
              <w:left w:type="dxa" w:w="85"/>
              <w:bottom w:type="dxa" w:w="55"/>
              <w:right w:type="dxa" w:w="85"/>
            </w:tcMar>
          </w:tcPr>
          <w:p>
            <w:pPr>
              <w:spacing w:after="0"/>
              <w:jc w:val="right"/>
            </w:pPr>
            <w:r>
              <w:rPr>
                <w:sz w:val="18"/>
                <w:szCs w:val="18"/>
              </w:rPr>
              <w:t xml:space="preserve">388</w:t>
            </w:r>
          </w:p>
        </w:tc>
        <w:tc>
          <w:tcPr>
            <w:tcW w:type="dxa" w:w="1180"/>
            <w:tcMar>
              <w:top w:type="dxa" w:w="55"/>
              <w:left w:type="dxa" w:w="85"/>
              <w:bottom w:type="dxa" w:w="55"/>
              <w:right w:type="dxa" w:w="85"/>
            </w:tcMar>
          </w:tcPr>
          <w:p>
            <w:pPr>
              <w:spacing w:after="0"/>
              <w:jc w:val="right"/>
            </w:pPr>
            <w:r>
              <w:rPr>
                <w:sz w:val="18"/>
                <w:szCs w:val="18"/>
              </w:rPr>
              <w:t xml:space="preserve">0,0085</w:t>
            </w:r>
          </w:p>
        </w:tc>
        <w:tc>
          <w:tcPr>
            <w:tcW w:type="dxa" w:w="1120"/>
            <w:tcMar>
              <w:top w:type="dxa" w:w="55"/>
              <w:left w:type="dxa" w:w="85"/>
              <w:bottom w:type="dxa" w:w="55"/>
              <w:right w:type="dxa" w:w="85"/>
            </w:tcMar>
          </w:tcPr>
          <w:p>
            <w:pPr>
              <w:spacing w:after="0"/>
              <w:jc w:val="right"/>
            </w:pPr>
            <w:r>
              <w:rPr>
                <w:sz w:val="18"/>
                <w:szCs w:val="18"/>
              </w:rPr>
              <w:t xml:space="preserve">0,0382</w:t>
            </w:r>
          </w:p>
        </w:tc>
        <w:tc>
          <w:tcPr>
            <w:tcW w:type="dxa" w:w="1180"/>
            <w:tcMar>
              <w:top w:type="dxa" w:w="55"/>
              <w:left w:type="dxa" w:w="85"/>
              <w:bottom w:type="dxa" w:w="55"/>
              <w:right w:type="dxa" w:w="85"/>
            </w:tcMar>
          </w:tcPr>
          <w:p>
            <w:pPr>
              <w:spacing w:after="0"/>
              <w:jc w:val="right"/>
            </w:pPr>
            <w:r>
              <w:rPr>
                <w:sz w:val="18"/>
                <w:szCs w:val="18"/>
              </w:rPr>
              <w:t xml:space="preserve">+0,556</w:t>
            </w:r>
          </w:p>
        </w:tc>
        <w:tc>
          <w:tcPr>
            <w:tcW w:type="dxa" w:w="980"/>
            <w:tcMar>
              <w:top w:type="dxa" w:w="55"/>
              <w:left w:type="dxa" w:w="85"/>
              <w:bottom w:type="dxa" w:w="55"/>
              <w:right w:type="dxa" w:w="85"/>
            </w:tcMar>
          </w:tcPr>
          <w:p>
            <w:pPr>
              <w:spacing w:after="0"/>
              <w:jc w:val="right"/>
            </w:pPr>
            <w:r>
              <w:rPr>
                <w:sz w:val="18"/>
                <w:szCs w:val="18"/>
              </w:rPr>
              <w:t xml:space="preserve">143,2</w:t>
            </w:r>
          </w:p>
        </w:tc>
        <w:tc>
          <w:tcPr>
            <w:tcW w:type="dxa" w:w="3380"/>
            <w:tcMar>
              <w:top w:type="dxa" w:w="55"/>
              <w:left w:type="dxa" w:w="85"/>
              <w:bottom w:type="dxa" w:w="55"/>
              <w:right w:type="dxa" w:w="85"/>
            </w:tcMar>
          </w:tcPr>
          <w:p>
            <w:pPr>
              <w:spacing w:after="0"/>
              <w:jc w:val="left"/>
            </w:pPr>
            <w:r>
              <w:rPr>
                <w:sz w:val="18"/>
                <w:szCs w:val="18"/>
              </w:rPr>
              <w:t xml:space="preserve">Contratos entre Entidades Públicas o sus subsidiarias</w:t>
            </w:r>
          </w:p>
        </w:tc>
      </w:tr>
      <w:tr>
        <w:tc>
          <w:tcPr>
            <w:tcW w:type="dxa" w:w="620"/>
            <w:tcMar>
              <w:top w:type="dxa" w:w="55"/>
              <w:left w:type="dxa" w:w="85"/>
              <w:bottom w:type="dxa" w:w="55"/>
              <w:right w:type="dxa" w:w="85"/>
            </w:tcMar>
          </w:tcPr>
          <w:p>
            <w:pPr>
              <w:spacing w:after="0"/>
              <w:jc w:val="right"/>
            </w:pPr>
            <w:r>
              <w:rPr>
                <w:sz w:val="18"/>
                <w:szCs w:val="18"/>
              </w:rPr>
              <w:t xml:space="preserve">4</w:t>
            </w:r>
          </w:p>
        </w:tc>
        <w:tc>
          <w:tcPr>
            <w:tcW w:type="dxa" w:w="900"/>
            <w:tcMar>
              <w:top w:type="dxa" w:w="55"/>
              <w:left w:type="dxa" w:w="85"/>
              <w:bottom w:type="dxa" w:w="55"/>
              <w:right w:type="dxa" w:w="85"/>
            </w:tcMar>
          </w:tcPr>
          <w:p>
            <w:pPr>
              <w:spacing w:after="0"/>
              <w:jc w:val="right"/>
            </w:pPr>
            <w:r>
              <w:rPr>
                <w:sz w:val="18"/>
                <w:szCs w:val="18"/>
              </w:rPr>
              <w:t xml:space="preserve">351</w:t>
            </w:r>
          </w:p>
        </w:tc>
        <w:tc>
          <w:tcPr>
            <w:tcW w:type="dxa" w:w="1180"/>
            <w:tcMar>
              <w:top w:type="dxa" w:w="55"/>
              <w:left w:type="dxa" w:w="85"/>
              <w:bottom w:type="dxa" w:w="55"/>
              <w:right w:type="dxa" w:w="85"/>
            </w:tcMar>
          </w:tcPr>
          <w:p>
            <w:pPr>
              <w:spacing w:after="0"/>
              <w:jc w:val="right"/>
            </w:pPr>
            <w:r>
              <w:rPr>
                <w:sz w:val="18"/>
                <w:szCs w:val="18"/>
              </w:rPr>
              <w:t xml:space="preserve">0,0042</w:t>
            </w:r>
          </w:p>
        </w:tc>
        <w:tc>
          <w:tcPr>
            <w:tcW w:type="dxa" w:w="1120"/>
            <w:tcMar>
              <w:top w:type="dxa" w:w="55"/>
              <w:left w:type="dxa" w:w="85"/>
              <w:bottom w:type="dxa" w:w="55"/>
              <w:right w:type="dxa" w:w="85"/>
            </w:tcMar>
          </w:tcPr>
          <w:p>
            <w:pPr>
              <w:spacing w:after="0"/>
              <w:jc w:val="right"/>
            </w:pPr>
            <w:r>
              <w:rPr>
                <w:sz w:val="18"/>
                <w:szCs w:val="18"/>
              </w:rPr>
              <w:t xml:space="preserve">0,0034</w:t>
            </w:r>
          </w:p>
        </w:tc>
        <w:tc>
          <w:tcPr>
            <w:tcW w:type="dxa" w:w="1180"/>
            <w:tcMar>
              <w:top w:type="dxa" w:w="55"/>
              <w:left w:type="dxa" w:w="85"/>
              <w:bottom w:type="dxa" w:w="55"/>
              <w:right w:type="dxa" w:w="85"/>
            </w:tcMar>
          </w:tcPr>
          <w:p>
            <w:pPr>
              <w:spacing w:after="0"/>
              <w:jc w:val="right"/>
            </w:pPr>
            <w:r>
              <w:rPr>
                <w:sz w:val="18"/>
                <w:szCs w:val="18"/>
              </w:rPr>
              <w:t xml:space="preserve">-1,635</w:t>
            </w:r>
          </w:p>
        </w:tc>
        <w:tc>
          <w:tcPr>
            <w:tcW w:type="dxa" w:w="980"/>
            <w:tcMar>
              <w:top w:type="dxa" w:w="55"/>
              <w:left w:type="dxa" w:w="85"/>
              <w:bottom w:type="dxa" w:w="55"/>
              <w:right w:type="dxa" w:w="85"/>
            </w:tcMar>
          </w:tcPr>
          <w:p>
            <w:pPr>
              <w:spacing w:after="0"/>
              <w:jc w:val="right"/>
            </w:pPr>
            <w:r>
              <w:rPr>
                <w:sz w:val="18"/>
                <w:szCs w:val="18"/>
              </w:rPr>
              <w:t xml:space="preserve">218,1</w:t>
            </w:r>
          </w:p>
        </w:tc>
        <w:tc>
          <w:tcPr>
            <w:tcW w:type="dxa" w:w="3380"/>
            <w:tcMar>
              <w:top w:type="dxa" w:w="55"/>
              <w:left w:type="dxa" w:w="85"/>
              <w:bottom w:type="dxa" w:w="55"/>
              <w:right w:type="dxa" w:w="85"/>
            </w:tcMar>
          </w:tcPr>
          <w:p>
            <w:pPr>
              <w:spacing w:after="0"/>
              <w:jc w:val="left"/>
            </w:pPr>
            <w:r>
              <w:rPr>
                <w:sz w:val="18"/>
                <w:szCs w:val="18"/>
              </w:rPr>
              <w:t xml:space="preserve">Comunicación Social – Contratación Directa</w:t>
            </w:r>
          </w:p>
        </w:tc>
      </w:tr>
      <w:tr>
        <w:tc>
          <w:tcPr>
            <w:tcW w:type="dxa" w:w="620"/>
            <w:tcMar>
              <w:top w:type="dxa" w:w="55"/>
              <w:left w:type="dxa" w:w="85"/>
              <w:bottom w:type="dxa" w:w="55"/>
              <w:right w:type="dxa" w:w="85"/>
            </w:tcMar>
          </w:tcPr>
          <w:p>
            <w:pPr>
              <w:spacing w:after="0"/>
              <w:jc w:val="right"/>
            </w:pPr>
            <w:r>
              <w:rPr>
                <w:sz w:val="18"/>
                <w:szCs w:val="18"/>
              </w:rPr>
              <w:t xml:space="preserve">5</w:t>
            </w:r>
          </w:p>
        </w:tc>
        <w:tc>
          <w:tcPr>
            <w:tcW w:type="dxa" w:w="900"/>
            <w:tcMar>
              <w:top w:type="dxa" w:w="55"/>
              <w:left w:type="dxa" w:w="85"/>
              <w:bottom w:type="dxa" w:w="55"/>
              <w:right w:type="dxa" w:w="85"/>
            </w:tcMar>
          </w:tcPr>
          <w:p>
            <w:pPr>
              <w:spacing w:after="0"/>
              <w:jc w:val="right"/>
            </w:pPr>
            <w:r>
              <w:rPr>
                <w:sz w:val="18"/>
                <w:szCs w:val="18"/>
              </w:rPr>
              <w:t xml:space="preserve">553</w:t>
            </w:r>
          </w:p>
        </w:tc>
        <w:tc>
          <w:tcPr>
            <w:tcW w:type="dxa" w:w="1180"/>
            <w:tcMar>
              <w:top w:type="dxa" w:w="55"/>
              <w:left w:type="dxa" w:w="85"/>
              <w:bottom w:type="dxa" w:w="55"/>
              <w:right w:type="dxa" w:w="85"/>
            </w:tcMar>
          </w:tcPr>
          <w:p>
            <w:pPr>
              <w:spacing w:after="0"/>
              <w:jc w:val="right"/>
            </w:pPr>
            <w:r>
              <w:rPr>
                <w:sz w:val="18"/>
                <w:szCs w:val="18"/>
              </w:rPr>
              <w:t xml:space="preserve">0,0144</w:t>
            </w:r>
          </w:p>
        </w:tc>
        <w:tc>
          <w:tcPr>
            <w:tcW w:type="dxa" w:w="1120"/>
            <w:tcMar>
              <w:top w:type="dxa" w:w="55"/>
              <w:left w:type="dxa" w:w="85"/>
              <w:bottom w:type="dxa" w:w="55"/>
              <w:right w:type="dxa" w:w="85"/>
            </w:tcMar>
          </w:tcPr>
          <w:p>
            <w:pPr>
              <w:spacing w:after="0"/>
              <w:jc w:val="right"/>
            </w:pPr>
            <w:r>
              <w:rPr>
                <w:sz w:val="18"/>
                <w:szCs w:val="18"/>
              </w:rPr>
              <w:t xml:space="preserve">0,0720</w:t>
            </w:r>
          </w:p>
        </w:tc>
        <w:tc>
          <w:tcPr>
            <w:tcW w:type="dxa" w:w="1180"/>
            <w:tcMar>
              <w:top w:type="dxa" w:w="55"/>
              <w:left w:type="dxa" w:w="85"/>
              <w:bottom w:type="dxa" w:w="55"/>
              <w:right w:type="dxa" w:w="85"/>
            </w:tcMar>
          </w:tcPr>
          <w:p>
            <w:pPr>
              <w:spacing w:after="0"/>
              <w:jc w:val="right"/>
            </w:pPr>
            <w:r>
              <w:rPr>
                <w:sz w:val="18"/>
                <w:szCs w:val="18"/>
              </w:rPr>
              <w:t xml:space="preserve">-0,189</w:t>
            </w:r>
          </w:p>
        </w:tc>
        <w:tc>
          <w:tcPr>
            <w:tcW w:type="dxa" w:w="980"/>
            <w:tcMar>
              <w:top w:type="dxa" w:w="55"/>
              <w:left w:type="dxa" w:w="85"/>
              <w:bottom w:type="dxa" w:w="55"/>
              <w:right w:type="dxa" w:w="85"/>
            </w:tcMar>
          </w:tcPr>
          <w:p>
            <w:pPr>
              <w:spacing w:after="0"/>
              <w:jc w:val="right"/>
            </w:pPr>
            <w:r>
              <w:rPr>
                <w:sz w:val="18"/>
                <w:szCs w:val="18"/>
              </w:rPr>
              <w:t xml:space="preserve">124,1</w:t>
            </w:r>
          </w:p>
        </w:tc>
        <w:tc>
          <w:tcPr>
            <w:tcW w:type="dxa" w:w="3380"/>
            <w:tcMar>
              <w:top w:type="dxa" w:w="55"/>
              <w:left w:type="dxa" w:w="85"/>
              <w:bottom w:type="dxa" w:w="55"/>
              <w:right w:type="dxa" w:w="85"/>
            </w:tcMar>
          </w:tcPr>
          <w:p>
            <w:pPr>
              <w:spacing w:after="0"/>
              <w:jc w:val="left"/>
            </w:pPr>
            <w:r>
              <w:rPr>
                <w:sz w:val="18"/>
                <w:szCs w:val="18"/>
              </w:rPr>
              <w:t xml:space="preserve">Bienes y Servicios únicos</w:t>
            </w:r>
          </w:p>
        </w:tc>
      </w:tr>
      <w:tr>
        <w:tc>
          <w:tcPr>
            <w:tcW w:type="dxa" w:w="620"/>
            <w:shd w:fill="E2F0D9" w:color="auto" w:val="clear"/>
            <w:tcMar>
              <w:top w:type="dxa" w:w="55"/>
              <w:left w:type="dxa" w:w="85"/>
              <w:bottom w:type="dxa" w:w="55"/>
              <w:right w:type="dxa" w:w="85"/>
            </w:tcMar>
          </w:tcPr>
          <w:p>
            <w:pPr>
              <w:spacing w:after="0"/>
              <w:jc w:val="right"/>
            </w:pPr>
            <w:r>
              <w:rPr>
                <w:sz w:val="18"/>
                <w:szCs w:val="18"/>
              </w:rPr>
              <w:t xml:space="preserve">6</w:t>
            </w:r>
          </w:p>
        </w:tc>
        <w:tc>
          <w:tcPr>
            <w:tcW w:type="dxa" w:w="900"/>
            <w:shd w:fill="E2F0D9" w:color="auto" w:val="clear"/>
            <w:tcMar>
              <w:top w:type="dxa" w:w="55"/>
              <w:left w:type="dxa" w:w="85"/>
              <w:bottom w:type="dxa" w:w="55"/>
              <w:right w:type="dxa" w:w="85"/>
            </w:tcMar>
          </w:tcPr>
          <w:p>
            <w:pPr>
              <w:spacing w:after="0"/>
              <w:jc w:val="right"/>
            </w:pPr>
            <w:r>
              <w:rPr>
                <w:sz w:val="18"/>
                <w:szCs w:val="18"/>
              </w:rPr>
              <w:t xml:space="preserve">2 257</w:t>
            </w:r>
          </w:p>
        </w:tc>
        <w:tc>
          <w:tcPr>
            <w:tcW w:type="dxa" w:w="1180"/>
            <w:shd w:fill="E2F0D9" w:color="auto" w:val="clear"/>
            <w:tcMar>
              <w:top w:type="dxa" w:w="55"/>
              <w:left w:type="dxa" w:w="85"/>
              <w:bottom w:type="dxa" w:w="55"/>
              <w:right w:type="dxa" w:w="85"/>
            </w:tcMar>
          </w:tcPr>
          <w:p>
            <w:pPr>
              <w:spacing w:after="0"/>
              <w:jc w:val="right"/>
            </w:pPr>
            <w:r>
              <w:rPr>
                <w:sz w:val="18"/>
                <w:szCs w:val="18"/>
              </w:rPr>
              <w:t xml:space="preserve">0,0996</w:t>
            </w:r>
          </w:p>
        </w:tc>
        <w:tc>
          <w:tcPr>
            <w:tcW w:type="dxa" w:w="1120"/>
            <w:shd w:fill="E2F0D9" w:color="auto" w:val="clear"/>
            <w:tcMar>
              <w:top w:type="dxa" w:w="55"/>
              <w:left w:type="dxa" w:w="85"/>
              <w:bottom w:type="dxa" w:w="55"/>
              <w:right w:type="dxa" w:w="85"/>
            </w:tcMar>
          </w:tcPr>
          <w:p>
            <w:pPr>
              <w:spacing w:after="0"/>
              <w:jc w:val="right"/>
            </w:pPr>
            <w:r>
              <w:rPr>
                <w:sz w:val="18"/>
                <w:szCs w:val="18"/>
              </w:rPr>
              <w:t xml:space="preserve">0,9962</w:t>
            </w:r>
          </w:p>
        </w:tc>
        <w:tc>
          <w:tcPr>
            <w:tcW w:type="dxa" w:w="1180"/>
            <w:shd w:fill="E2F0D9" w:color="auto" w:val="clear"/>
            <w:tcMar>
              <w:top w:type="dxa" w:w="55"/>
              <w:left w:type="dxa" w:w="85"/>
              <w:bottom w:type="dxa" w:w="55"/>
              <w:right w:type="dxa" w:w="85"/>
            </w:tcMar>
          </w:tcPr>
          <w:p>
            <w:pPr>
              <w:spacing w:after="0"/>
              <w:jc w:val="right"/>
            </w:pPr>
            <w:r>
              <w:rPr>
                <w:sz w:val="18"/>
                <w:szCs w:val="18"/>
              </w:rPr>
              <w:t xml:space="preserve">+0,247</w:t>
            </w:r>
          </w:p>
        </w:tc>
        <w:tc>
          <w:tcPr>
            <w:tcW w:type="dxa" w:w="980"/>
            <w:shd w:fill="E2F0D9" w:color="auto" w:val="clear"/>
            <w:tcMar>
              <w:top w:type="dxa" w:w="55"/>
              <w:left w:type="dxa" w:w="85"/>
              <w:bottom w:type="dxa" w:w="55"/>
              <w:right w:type="dxa" w:w="85"/>
            </w:tcMar>
          </w:tcPr>
          <w:p>
            <w:pPr>
              <w:spacing w:after="0"/>
              <w:jc w:val="right"/>
            </w:pPr>
            <w:r>
              <w:rPr>
                <w:sz w:val="18"/>
                <w:szCs w:val="18"/>
              </w:rPr>
              <w:t xml:space="preserve">190,7</w:t>
            </w:r>
          </w:p>
        </w:tc>
        <w:tc>
          <w:tcPr>
            <w:tcW w:type="dxa" w:w="3380"/>
            <w:shd w:fill="E2F0D9" w:color="auto" w:val="clear"/>
            <w:tcMar>
              <w:top w:type="dxa" w:w="55"/>
              <w:left w:type="dxa" w:w="85"/>
              <w:bottom w:type="dxa" w:w="55"/>
              <w:right w:type="dxa" w:w="85"/>
            </w:tcMar>
          </w:tcPr>
          <w:p>
            <w:pPr>
              <w:spacing w:after="0"/>
              <w:jc w:val="left"/>
            </w:pPr>
            <w:r>
              <w:rPr>
                <w:sz w:val="18"/>
                <w:szCs w:val="18"/>
              </w:rPr>
              <w:t xml:space="preserve">Subasta Inversa Electrónica</w:t>
            </w:r>
          </w:p>
        </w:tc>
      </w:tr>
      <w:tr>
        <w:tc>
          <w:tcPr>
            <w:tcW w:type="dxa" w:w="620"/>
            <w:tcMar>
              <w:top w:type="dxa" w:w="55"/>
              <w:left w:type="dxa" w:w="85"/>
              <w:bottom w:type="dxa" w:w="55"/>
              <w:right w:type="dxa" w:w="85"/>
            </w:tcMar>
          </w:tcPr>
          <w:p>
            <w:pPr>
              <w:spacing w:after="0"/>
              <w:jc w:val="right"/>
            </w:pPr>
            <w:r>
              <w:rPr>
                <w:sz w:val="18"/>
                <w:szCs w:val="18"/>
              </w:rPr>
              <w:t xml:space="preserve">7</w:t>
            </w:r>
          </w:p>
        </w:tc>
        <w:tc>
          <w:tcPr>
            <w:tcW w:type="dxa" w:w="900"/>
            <w:tcMar>
              <w:top w:type="dxa" w:w="55"/>
              <w:left w:type="dxa" w:w="85"/>
              <w:bottom w:type="dxa" w:w="55"/>
              <w:right w:type="dxa" w:w="85"/>
            </w:tcMar>
          </w:tcPr>
          <w:p>
            <w:pPr>
              <w:spacing w:after="0"/>
              <w:jc w:val="right"/>
            </w:pPr>
            <w:r>
              <w:rPr>
                <w:sz w:val="18"/>
                <w:szCs w:val="18"/>
              </w:rPr>
              <w:t xml:space="preserve">2 986</w:t>
            </w:r>
          </w:p>
        </w:tc>
        <w:tc>
          <w:tcPr>
            <w:tcW w:type="dxa" w:w="1180"/>
            <w:tcMar>
              <w:top w:type="dxa" w:w="55"/>
              <w:left w:type="dxa" w:w="85"/>
              <w:bottom w:type="dxa" w:w="55"/>
              <w:right w:type="dxa" w:w="85"/>
            </w:tcMar>
          </w:tcPr>
          <w:p>
            <w:pPr>
              <w:spacing w:after="0"/>
              <w:jc w:val="right"/>
            </w:pPr>
            <w:r>
              <w:rPr>
                <w:sz w:val="18"/>
                <w:szCs w:val="18"/>
              </w:rPr>
              <w:t xml:space="preserve">0,0064</w:t>
            </w:r>
          </w:p>
        </w:tc>
        <w:tc>
          <w:tcPr>
            <w:tcW w:type="dxa" w:w="1120"/>
            <w:tcMar>
              <w:top w:type="dxa" w:w="55"/>
              <w:left w:type="dxa" w:w="85"/>
              <w:bottom w:type="dxa" w:w="55"/>
              <w:right w:type="dxa" w:w="85"/>
            </w:tcMar>
          </w:tcPr>
          <w:p>
            <w:pPr>
              <w:spacing w:after="0"/>
              <w:jc w:val="right"/>
            </w:pPr>
            <w:r>
              <w:rPr>
                <w:sz w:val="18"/>
                <w:szCs w:val="18"/>
              </w:rPr>
              <w:t xml:space="preserve">0,0001</w:t>
            </w:r>
          </w:p>
        </w:tc>
        <w:tc>
          <w:tcPr>
            <w:tcW w:type="dxa" w:w="1180"/>
            <w:tcMar>
              <w:top w:type="dxa" w:w="55"/>
              <w:left w:type="dxa" w:w="85"/>
              <w:bottom w:type="dxa" w:w="55"/>
              <w:right w:type="dxa" w:w="85"/>
            </w:tcMar>
          </w:tcPr>
          <w:p>
            <w:pPr>
              <w:spacing w:after="0"/>
              <w:jc w:val="right"/>
            </w:pPr>
            <w:r>
              <w:rPr>
                <w:sz w:val="18"/>
                <w:szCs w:val="18"/>
              </w:rPr>
              <w:t xml:space="preserve">+0,183</w:t>
            </w:r>
          </w:p>
        </w:tc>
        <w:tc>
          <w:tcPr>
            <w:tcW w:type="dxa" w:w="980"/>
            <w:tcMar>
              <w:top w:type="dxa" w:w="55"/>
              <w:left w:type="dxa" w:w="85"/>
              <w:bottom w:type="dxa" w:w="55"/>
              <w:right w:type="dxa" w:w="85"/>
            </w:tcMar>
          </w:tcPr>
          <w:p>
            <w:pPr>
              <w:spacing w:after="0"/>
              <w:jc w:val="right"/>
            </w:pPr>
            <w:r>
              <w:rPr>
                <w:sz w:val="18"/>
                <w:szCs w:val="18"/>
              </w:rPr>
              <w:t xml:space="preserve">184,5</w:t>
            </w:r>
          </w:p>
        </w:tc>
        <w:tc>
          <w:tcPr>
            <w:tcW w:type="dxa" w:w="3380"/>
            <w:tcMar>
              <w:top w:type="dxa" w:w="55"/>
              <w:left w:type="dxa" w:w="85"/>
              <w:bottom w:type="dxa" w:w="55"/>
              <w:right w:type="dxa" w:w="85"/>
            </w:tcMar>
          </w:tcPr>
          <w:p>
            <w:pPr>
              <w:spacing w:after="0"/>
              <w:jc w:val="left"/>
            </w:pPr>
            <w:r>
              <w:rPr>
                <w:sz w:val="18"/>
                <w:szCs w:val="18"/>
              </w:rPr>
              <w:t xml:space="preserve">Subasta Inversa Electrónica</w:t>
            </w:r>
          </w:p>
        </w:tc>
      </w:tr>
      <w:tr>
        <w:tc>
          <w:tcPr>
            <w:tcW w:type="dxa" w:w="620"/>
            <w:tcMar>
              <w:top w:type="dxa" w:w="55"/>
              <w:left w:type="dxa" w:w="85"/>
              <w:bottom w:type="dxa" w:w="55"/>
              <w:right w:type="dxa" w:w="85"/>
            </w:tcMar>
          </w:tcPr>
          <w:p>
            <w:pPr>
              <w:spacing w:after="0"/>
              <w:jc w:val="right"/>
            </w:pPr>
            <w:r>
              <w:rPr>
                <w:sz w:val="18"/>
                <w:szCs w:val="18"/>
              </w:rPr>
              <w:t xml:space="preserve">8</w:t>
            </w:r>
          </w:p>
        </w:tc>
        <w:tc>
          <w:tcPr>
            <w:tcW w:type="dxa" w:w="900"/>
            <w:tcMar>
              <w:top w:type="dxa" w:w="55"/>
              <w:left w:type="dxa" w:w="85"/>
              <w:bottom w:type="dxa" w:w="55"/>
              <w:right w:type="dxa" w:w="85"/>
            </w:tcMar>
          </w:tcPr>
          <w:p>
            <w:pPr>
              <w:spacing w:after="0"/>
              <w:jc w:val="right"/>
            </w:pPr>
            <w:r>
              <w:rPr>
                <w:sz w:val="18"/>
                <w:szCs w:val="18"/>
              </w:rPr>
              <w:t xml:space="preserve">1 016</w:t>
            </w:r>
          </w:p>
        </w:tc>
        <w:tc>
          <w:tcPr>
            <w:tcW w:type="dxa" w:w="1180"/>
            <w:tcMar>
              <w:top w:type="dxa" w:w="55"/>
              <w:left w:type="dxa" w:w="85"/>
              <w:bottom w:type="dxa" w:w="55"/>
              <w:right w:type="dxa" w:w="85"/>
            </w:tcMar>
          </w:tcPr>
          <w:p>
            <w:pPr>
              <w:spacing w:after="0"/>
              <w:jc w:val="right"/>
            </w:pPr>
            <w:r>
              <w:rPr>
                <w:sz w:val="18"/>
                <w:szCs w:val="18"/>
              </w:rPr>
              <w:t xml:space="preserve">0,0063</w:t>
            </w:r>
          </w:p>
        </w:tc>
        <w:tc>
          <w:tcPr>
            <w:tcW w:type="dxa" w:w="1120"/>
            <w:tcMar>
              <w:top w:type="dxa" w:w="55"/>
              <w:left w:type="dxa" w:w="85"/>
              <w:bottom w:type="dxa" w:w="55"/>
              <w:right w:type="dxa" w:w="85"/>
            </w:tcMar>
          </w:tcPr>
          <w:p>
            <w:pPr>
              <w:spacing w:after="0"/>
              <w:jc w:val="right"/>
            </w:pPr>
            <w:r>
              <w:rPr>
                <w:sz w:val="18"/>
                <w:szCs w:val="18"/>
              </w:rPr>
              <w:t xml:space="preserve">0,0002</w:t>
            </w:r>
          </w:p>
        </w:tc>
        <w:tc>
          <w:tcPr>
            <w:tcW w:type="dxa" w:w="1180"/>
            <w:tcMar>
              <w:top w:type="dxa" w:w="55"/>
              <w:left w:type="dxa" w:w="85"/>
              <w:bottom w:type="dxa" w:w="55"/>
              <w:right w:type="dxa" w:w="85"/>
            </w:tcMar>
          </w:tcPr>
          <w:p>
            <w:pPr>
              <w:spacing w:after="0"/>
              <w:jc w:val="right"/>
            </w:pPr>
            <w:r>
              <w:rPr>
                <w:sz w:val="18"/>
                <w:szCs w:val="18"/>
              </w:rPr>
              <w:t xml:space="preserve">-0,779</w:t>
            </w:r>
          </w:p>
        </w:tc>
        <w:tc>
          <w:tcPr>
            <w:tcW w:type="dxa" w:w="980"/>
            <w:tcMar>
              <w:top w:type="dxa" w:w="55"/>
              <w:left w:type="dxa" w:w="85"/>
              <w:bottom w:type="dxa" w:w="55"/>
              <w:right w:type="dxa" w:w="85"/>
            </w:tcMar>
          </w:tcPr>
          <w:p>
            <w:pPr>
              <w:spacing w:after="0"/>
              <w:jc w:val="right"/>
            </w:pPr>
            <w:r>
              <w:rPr>
                <w:sz w:val="18"/>
                <w:szCs w:val="18"/>
              </w:rPr>
              <w:t xml:space="preserve">208,4</w:t>
            </w:r>
          </w:p>
        </w:tc>
        <w:tc>
          <w:tcPr>
            <w:tcW w:type="dxa" w:w="3380"/>
            <w:tcMar>
              <w:top w:type="dxa" w:w="55"/>
              <w:left w:type="dxa" w:w="85"/>
              <w:bottom w:type="dxa" w:w="55"/>
              <w:right w:type="dxa" w:w="85"/>
            </w:tcMar>
          </w:tcPr>
          <w:p>
            <w:pPr>
              <w:spacing w:after="0"/>
              <w:jc w:val="left"/>
            </w:pPr>
            <w:r>
              <w:rPr>
                <w:sz w:val="18"/>
                <w:szCs w:val="18"/>
              </w:rPr>
              <w:t xml:space="preserve">Contratacion directa</w:t>
            </w:r>
          </w:p>
        </w:tc>
      </w:tr>
      <w:tr>
        <w:tc>
          <w:tcPr>
            <w:tcW w:type="dxa" w:w="620"/>
            <w:tcMar>
              <w:top w:type="dxa" w:w="55"/>
              <w:left w:type="dxa" w:w="85"/>
              <w:bottom w:type="dxa" w:w="55"/>
              <w:right w:type="dxa" w:w="85"/>
            </w:tcMar>
          </w:tcPr>
          <w:p>
            <w:pPr>
              <w:spacing w:after="0"/>
              <w:jc w:val="right"/>
            </w:pPr>
            <w:r>
              <w:rPr>
                <w:sz w:val="18"/>
                <w:szCs w:val="18"/>
              </w:rPr>
              <w:t xml:space="preserve">9</w:t>
            </w:r>
          </w:p>
        </w:tc>
        <w:tc>
          <w:tcPr>
            <w:tcW w:type="dxa" w:w="900"/>
            <w:tcMar>
              <w:top w:type="dxa" w:w="55"/>
              <w:left w:type="dxa" w:w="85"/>
              <w:bottom w:type="dxa" w:w="55"/>
              <w:right w:type="dxa" w:w="85"/>
            </w:tcMar>
          </w:tcPr>
          <w:p>
            <w:pPr>
              <w:spacing w:after="0"/>
              <w:jc w:val="right"/>
            </w:pPr>
            <w:r>
              <w:rPr>
                <w:sz w:val="18"/>
                <w:szCs w:val="18"/>
              </w:rPr>
              <w:t xml:space="preserve">2 961</w:t>
            </w:r>
          </w:p>
        </w:tc>
        <w:tc>
          <w:tcPr>
            <w:tcW w:type="dxa" w:w="1180"/>
            <w:tcMar>
              <w:top w:type="dxa" w:w="55"/>
              <w:left w:type="dxa" w:w="85"/>
              <w:bottom w:type="dxa" w:w="55"/>
              <w:right w:type="dxa" w:w="85"/>
            </w:tcMar>
          </w:tcPr>
          <w:p>
            <w:pPr>
              <w:spacing w:after="0"/>
              <w:jc w:val="right"/>
            </w:pPr>
            <w:r>
              <w:rPr>
                <w:sz w:val="18"/>
                <w:szCs w:val="18"/>
              </w:rPr>
              <w:t xml:space="preserve">0,0096</w:t>
            </w:r>
          </w:p>
        </w:tc>
        <w:tc>
          <w:tcPr>
            <w:tcW w:type="dxa" w:w="1120"/>
            <w:tcMar>
              <w:top w:type="dxa" w:w="55"/>
              <w:left w:type="dxa" w:w="85"/>
              <w:bottom w:type="dxa" w:w="55"/>
              <w:right w:type="dxa" w:w="85"/>
            </w:tcMar>
          </w:tcPr>
          <w:p>
            <w:pPr>
              <w:spacing w:after="0"/>
              <w:jc w:val="right"/>
            </w:pPr>
            <w:r>
              <w:rPr>
                <w:sz w:val="18"/>
                <w:szCs w:val="18"/>
              </w:rPr>
              <w:t xml:space="preserve">0,2548</w:t>
            </w:r>
          </w:p>
        </w:tc>
        <w:tc>
          <w:tcPr>
            <w:tcW w:type="dxa" w:w="1180"/>
            <w:tcMar>
              <w:top w:type="dxa" w:w="55"/>
              <w:left w:type="dxa" w:w="85"/>
              <w:bottom w:type="dxa" w:w="55"/>
              <w:right w:type="dxa" w:w="85"/>
            </w:tcMar>
          </w:tcPr>
          <w:p>
            <w:pPr>
              <w:spacing w:after="0"/>
              <w:jc w:val="right"/>
            </w:pPr>
            <w:r>
              <w:rPr>
                <w:sz w:val="18"/>
                <w:szCs w:val="18"/>
              </w:rPr>
              <w:t xml:space="preserve">+0,249</w:t>
            </w:r>
          </w:p>
        </w:tc>
        <w:tc>
          <w:tcPr>
            <w:tcW w:type="dxa" w:w="980"/>
            <w:tcMar>
              <w:top w:type="dxa" w:w="55"/>
              <w:left w:type="dxa" w:w="85"/>
              <w:bottom w:type="dxa" w:w="55"/>
              <w:right w:type="dxa" w:w="85"/>
            </w:tcMar>
          </w:tcPr>
          <w:p>
            <w:pPr>
              <w:spacing w:after="0"/>
              <w:jc w:val="right"/>
            </w:pPr>
            <w:r>
              <w:rPr>
                <w:sz w:val="18"/>
                <w:szCs w:val="18"/>
              </w:rPr>
              <w:t xml:space="preserve">174,8</w:t>
            </w:r>
          </w:p>
        </w:tc>
        <w:tc>
          <w:tcPr>
            <w:tcW w:type="dxa" w:w="3380"/>
            <w:tcMar>
              <w:top w:type="dxa" w:w="55"/>
              <w:left w:type="dxa" w:w="85"/>
              <w:bottom w:type="dxa" w:w="55"/>
              <w:right w:type="dxa" w:w="85"/>
            </w:tcMar>
          </w:tcPr>
          <w:p>
            <w:pPr>
              <w:spacing w:after="0"/>
              <w:jc w:val="left"/>
            </w:pPr>
            <w:r>
              <w:rPr>
                <w:sz w:val="18"/>
                <w:szCs w:val="18"/>
              </w:rPr>
              <w:t xml:space="preserve">Subasta Inversa Electrónica</w:t>
            </w:r>
          </w:p>
        </w:tc>
      </w:tr>
    </w:tbl>
    <w:p>
      <w:pPr>
        <w:pBdr>
          <w:left w:val="single" w:color="1F4E79" w:sz="12" w:space="10"/>
        </w:pBdr>
        <w:spacing w:after="160" w:before="60"/>
        <w:ind w:left="180"/>
      </w:pPr>
      <w:r>
        <w:rPr>
          <w:i/>
          <w:iCs/>
          <w:color w:val="444444"/>
          <w:sz w:val="19"/>
          <w:szCs w:val="19"/>
        </w:rPr>
        <w:t xml:space="preserve">La columna «Lectura de negocio» se deja deliberadamente vacía en el CSV entregado, para que la complete el equipo.</w:t>
      </w:r>
    </w:p>
    <w:p>
      <w:pPr>
        <w:spacing w:after="110"/>
      </w:pPr>
      <w:r>
        <w:rPr>
          <w:b/>
          <w:bCs/>
          <w:sz w:val="21"/>
          <w:szCs w:val="21"/>
        </w:rPr>
        <w:t xml:space="preserve">Sólo el grupo 6 muestra afinidad real con el proveedor consultante</w:t>
      </w:r>
      <w:r>
        <w:rPr>
          <w:sz w:val="21"/>
          <w:szCs w:val="21"/>
        </w:rPr>
        <w:t xml:space="preserve">: coincidencia CPC de 0,996 y similitud semántica de 0,0996, ambas un orden de magnitud por encima del resto, sobre 2 257 procesos de Subasta Inversa Electrónica. Los otros nueve grupos separan bien geometría y presupuesto, pero describen licitaciones con las que el proveedor no tiene relación temática. Para uso operativo, la segmentación reduce el universo de 13 848 licitaciones activas a un grupo de 2 257 que merece revisión.</w:t>
      </w:r>
    </w:p>
    <w:p>
      <w:pPr>
        <w:pStyle w:val="Heading2"/>
        <w:spacing w:after="120" w:before="260"/>
      </w:pPr>
      <w:r>
        <w:rPr>
          <w:b/>
          <w:bCs/>
          <w:color w:val="1F4E79"/>
        </w:rPr>
        <w:t xml:space="preserve">8.2 Tabla 9 — Atípicos por grupo (Isolation Forest)</w:t>
      </w:r>
    </w:p>
    <w:p>
      <w:pPr>
        <w:spacing w:after="110"/>
      </w:pPr>
      <w:r>
        <w:rPr>
          <w:sz w:val="21"/>
          <w:szCs w:val="21"/>
        </w:rPr>
        <w:t xml:space="preserve">Un Isolation Forest por grupo, con contamination = 0,05 sobre las cinco variables numéricas. La última columna indica qué variable se aleja más, medida en desviaciones típicas del propio grupo.</w:t>
      </w:r>
    </w:p>
    <w:tbl>
      <w:tblPr>
        <w:tblW w:type="dxa" w:w="9360"/>
        <w:tblBorders>
          <w:top w:val="single" w:color="AAAAAA" w:sz="4"/>
          <w:left w:val="none"/>
          <w:bottom w:val="single" w:color="AAAAAA" w:sz="4"/>
          <w:right w:val="none"/>
          <w:insideH w:val="single" w:color="DDDDDD" w:sz="2"/>
          <w:insideV w:val="none"/>
        </w:tblBorders>
      </w:tblPr>
      <w:tblGrid>
        <w:gridCol w:w="800"/>
        <w:gridCol w:w="1300"/>
        <w:gridCol w:w="1200"/>
        <w:gridCol w:w="900"/>
        <w:gridCol w:w="5160"/>
      </w:tblGrid>
      <w:tr>
        <w:trPr>
          <w:tblHeader/>
        </w:trPr>
        <w:tc>
          <w:tcPr>
            <w:tcW w:type="dxa" w:w="800"/>
            <w:shd w:fill="DCE6F1" w:color="auto" w:val="clear"/>
            <w:tcMar>
              <w:top w:type="dxa" w:w="55"/>
              <w:left w:type="dxa" w:w="85"/>
              <w:bottom w:type="dxa" w:w="55"/>
              <w:right w:type="dxa" w:w="85"/>
            </w:tcMar>
          </w:tcPr>
          <w:p>
            <w:pPr>
              <w:spacing w:after="0"/>
              <w:jc w:val="right"/>
            </w:pPr>
            <w:r>
              <w:rPr>
                <w:b/>
                <w:bCs/>
                <w:sz w:val="18"/>
                <w:szCs w:val="18"/>
              </w:rPr>
              <w:t xml:space="preserve">Grupo</w:t>
            </w:r>
          </w:p>
        </w:tc>
        <w:tc>
          <w:tcPr>
            <w:tcW w:type="dxa" w:w="1300"/>
            <w:shd w:fill="DCE6F1" w:color="auto" w:val="clear"/>
            <w:tcMar>
              <w:top w:type="dxa" w:w="55"/>
              <w:left w:type="dxa" w:w="85"/>
              <w:bottom w:type="dxa" w:w="55"/>
              <w:right w:type="dxa" w:w="85"/>
            </w:tcMar>
          </w:tcPr>
          <w:p>
            <w:pPr>
              <w:spacing w:after="0"/>
              <w:jc w:val="right"/>
            </w:pPr>
            <w:r>
              <w:rPr>
                <w:b/>
                <w:bCs/>
                <w:sz w:val="18"/>
                <w:szCs w:val="18"/>
              </w:rPr>
              <w:t xml:space="preserve">Procesos</w:t>
            </w:r>
          </w:p>
        </w:tc>
        <w:tc>
          <w:tcPr>
            <w:tcW w:type="dxa" w:w="1200"/>
            <w:shd w:fill="DCE6F1" w:color="auto" w:val="clear"/>
            <w:tcMar>
              <w:top w:type="dxa" w:w="55"/>
              <w:left w:type="dxa" w:w="85"/>
              <w:bottom w:type="dxa" w:w="55"/>
              <w:right w:type="dxa" w:w="85"/>
            </w:tcMar>
          </w:tcPr>
          <w:p>
            <w:pPr>
              <w:spacing w:after="0"/>
              <w:jc w:val="right"/>
            </w:pPr>
            <w:r>
              <w:rPr>
                <w:b/>
                <w:bCs/>
                <w:sz w:val="18"/>
                <w:szCs w:val="18"/>
              </w:rPr>
              <w:t xml:space="preserve">Atípicos</w:t>
            </w:r>
          </w:p>
        </w:tc>
        <w:tc>
          <w:tcPr>
            <w:tcW w:type="dxa" w:w="900"/>
            <w:shd w:fill="DCE6F1" w:color="auto" w:val="clear"/>
            <w:tcMar>
              <w:top w:type="dxa" w:w="55"/>
              <w:left w:type="dxa" w:w="85"/>
              <w:bottom w:type="dxa" w:w="55"/>
              <w:right w:type="dxa" w:w="85"/>
            </w:tcMar>
          </w:tcPr>
          <w:p>
            <w:pPr>
              <w:spacing w:after="0"/>
              <w:jc w:val="right"/>
            </w:pPr>
            <w:r>
              <w:rPr>
                <w:b/>
                <w:bCs/>
                <w:sz w:val="18"/>
                <w:szCs w:val="18"/>
              </w:rPr>
              <w:t xml:space="preserve">%</w:t>
            </w:r>
          </w:p>
        </w:tc>
        <w:tc>
          <w:tcPr>
            <w:tcW w:type="dxa" w:w="5160"/>
            <w:shd w:fill="DCE6F1" w:color="auto" w:val="clear"/>
            <w:tcMar>
              <w:top w:type="dxa" w:w="55"/>
              <w:left w:type="dxa" w:w="85"/>
              <w:bottom w:type="dxa" w:w="55"/>
              <w:right w:type="dxa" w:w="85"/>
            </w:tcMar>
          </w:tcPr>
          <w:p>
            <w:pPr>
              <w:spacing w:after="0"/>
              <w:jc w:val="left"/>
            </w:pPr>
            <w:r>
              <w:rPr>
                <w:b/>
                <w:bCs/>
                <w:sz w:val="18"/>
                <w:szCs w:val="18"/>
              </w:rPr>
              <w:t xml:space="preserve">Variable que más se aleja</w:t>
            </w:r>
          </w:p>
        </w:tc>
      </w:tr>
      <w:tr>
        <w:tc>
          <w:tcPr>
            <w:tcW w:type="dxa" w:w="800"/>
            <w:tcMar>
              <w:top w:type="dxa" w:w="55"/>
              <w:left w:type="dxa" w:w="85"/>
              <w:bottom w:type="dxa" w:w="55"/>
              <w:right w:type="dxa" w:w="85"/>
            </w:tcMar>
          </w:tcPr>
          <w:p>
            <w:pPr>
              <w:spacing w:after="0"/>
              <w:jc w:val="right"/>
            </w:pPr>
            <w:r>
              <w:rPr>
                <w:sz w:val="18"/>
                <w:szCs w:val="18"/>
              </w:rPr>
              <w:t xml:space="preserve">0</w:t>
            </w:r>
          </w:p>
        </w:tc>
        <w:tc>
          <w:tcPr>
            <w:tcW w:type="dxa" w:w="1300"/>
            <w:tcMar>
              <w:top w:type="dxa" w:w="55"/>
              <w:left w:type="dxa" w:w="85"/>
              <w:bottom w:type="dxa" w:w="55"/>
              <w:right w:type="dxa" w:w="85"/>
            </w:tcMar>
          </w:tcPr>
          <w:p>
            <w:pPr>
              <w:spacing w:after="0"/>
              <w:jc w:val="right"/>
            </w:pPr>
            <w:r>
              <w:rPr>
                <w:sz w:val="18"/>
                <w:szCs w:val="18"/>
              </w:rPr>
              <w:t xml:space="preserve">1 082</w:t>
            </w:r>
          </w:p>
        </w:tc>
        <w:tc>
          <w:tcPr>
            <w:tcW w:type="dxa" w:w="1200"/>
            <w:tcMar>
              <w:top w:type="dxa" w:w="55"/>
              <w:left w:type="dxa" w:w="85"/>
              <w:bottom w:type="dxa" w:w="55"/>
              <w:right w:type="dxa" w:w="85"/>
            </w:tcMar>
          </w:tcPr>
          <w:p>
            <w:pPr>
              <w:spacing w:after="0"/>
              <w:jc w:val="right"/>
            </w:pPr>
            <w:r>
              <w:rPr>
                <w:sz w:val="18"/>
                <w:szCs w:val="18"/>
              </w:rPr>
              <w:t xml:space="preserve">55</w:t>
            </w:r>
          </w:p>
        </w:tc>
        <w:tc>
          <w:tcPr>
            <w:tcW w:type="dxa" w:w="900"/>
            <w:tcMar>
              <w:top w:type="dxa" w:w="55"/>
              <w:left w:type="dxa" w:w="85"/>
              <w:bottom w:type="dxa" w:w="55"/>
              <w:right w:type="dxa" w:w="85"/>
            </w:tcMar>
          </w:tcPr>
          <w:p>
            <w:pPr>
              <w:spacing w:after="0"/>
              <w:jc w:val="right"/>
            </w:pPr>
            <w:r>
              <w:rPr>
                <w:sz w:val="18"/>
                <w:szCs w:val="18"/>
              </w:rPr>
              <w:t xml:space="preserve">5,08</w:t>
            </w:r>
          </w:p>
        </w:tc>
        <w:tc>
          <w:tcPr>
            <w:tcW w:type="dxa" w:w="5160"/>
            <w:tcMar>
              <w:top w:type="dxa" w:w="55"/>
              <w:left w:type="dxa" w:w="85"/>
              <w:bottom w:type="dxa" w:w="55"/>
              <w:right w:type="dxa" w:w="85"/>
            </w:tcMar>
          </w:tcPr>
          <w:p>
            <w:pPr>
              <w:spacing w:after="0"/>
              <w:jc w:val="left"/>
            </w:pPr>
            <w:r>
              <w:rPr>
                <w:sz w:val="18"/>
                <w:szCs w:val="18"/>
              </w:rPr>
              <w:t xml:space="preserve">cpc_match_score (1.72σ)</w:t>
            </w:r>
          </w:p>
        </w:tc>
      </w:tr>
      <w:tr>
        <w:tc>
          <w:tcPr>
            <w:tcW w:type="dxa" w:w="800"/>
            <w:tcMar>
              <w:top w:type="dxa" w:w="55"/>
              <w:left w:type="dxa" w:w="85"/>
              <w:bottom w:type="dxa" w:w="55"/>
              <w:right w:type="dxa" w:w="85"/>
            </w:tcMar>
          </w:tcPr>
          <w:p>
            <w:pPr>
              <w:spacing w:after="0"/>
              <w:jc w:val="right"/>
            </w:pPr>
            <w:r>
              <w:rPr>
                <w:sz w:val="18"/>
                <w:szCs w:val="18"/>
              </w:rPr>
              <w:t xml:space="preserve">1</w:t>
            </w:r>
          </w:p>
        </w:tc>
        <w:tc>
          <w:tcPr>
            <w:tcW w:type="dxa" w:w="1300"/>
            <w:tcMar>
              <w:top w:type="dxa" w:w="55"/>
              <w:left w:type="dxa" w:w="85"/>
              <w:bottom w:type="dxa" w:w="55"/>
              <w:right w:type="dxa" w:w="85"/>
            </w:tcMar>
          </w:tcPr>
          <w:p>
            <w:pPr>
              <w:spacing w:after="0"/>
              <w:jc w:val="right"/>
            </w:pPr>
            <w:r>
              <w:rPr>
                <w:sz w:val="18"/>
                <w:szCs w:val="18"/>
              </w:rPr>
              <w:t xml:space="preserve">363</w:t>
            </w:r>
          </w:p>
        </w:tc>
        <w:tc>
          <w:tcPr>
            <w:tcW w:type="dxa" w:w="1200"/>
            <w:tcMar>
              <w:top w:type="dxa" w:w="55"/>
              <w:left w:type="dxa" w:w="85"/>
              <w:bottom w:type="dxa" w:w="55"/>
              <w:right w:type="dxa" w:w="85"/>
            </w:tcMar>
          </w:tcPr>
          <w:p>
            <w:pPr>
              <w:spacing w:after="0"/>
              <w:jc w:val="right"/>
            </w:pPr>
            <w:r>
              <w:rPr>
                <w:sz w:val="18"/>
                <w:szCs w:val="18"/>
              </w:rPr>
              <w:t xml:space="preserve">19</w:t>
            </w:r>
          </w:p>
        </w:tc>
        <w:tc>
          <w:tcPr>
            <w:tcW w:type="dxa" w:w="900"/>
            <w:tcMar>
              <w:top w:type="dxa" w:w="55"/>
              <w:left w:type="dxa" w:w="85"/>
              <w:bottom w:type="dxa" w:w="55"/>
              <w:right w:type="dxa" w:w="85"/>
            </w:tcMar>
          </w:tcPr>
          <w:p>
            <w:pPr>
              <w:spacing w:after="0"/>
              <w:jc w:val="right"/>
            </w:pPr>
            <w:r>
              <w:rPr>
                <w:sz w:val="18"/>
                <w:szCs w:val="18"/>
              </w:rPr>
              <w:t xml:space="preserve">5,23</w:t>
            </w:r>
          </w:p>
        </w:tc>
        <w:tc>
          <w:tcPr>
            <w:tcW w:type="dxa" w:w="5160"/>
            <w:tcMar>
              <w:top w:type="dxa" w:w="55"/>
              <w:left w:type="dxa" w:w="85"/>
              <w:bottom w:type="dxa" w:w="55"/>
              <w:right w:type="dxa" w:w="85"/>
            </w:tcMar>
          </w:tcPr>
          <w:p>
            <w:pPr>
              <w:spacing w:after="0"/>
              <w:jc w:val="left"/>
            </w:pPr>
            <w:r>
              <w:rPr>
                <w:sz w:val="18"/>
                <w:szCs w:val="18"/>
              </w:rPr>
              <w:t xml:space="preserve">actividad_cpc_comprador (2.17σ)</w:t>
            </w:r>
          </w:p>
        </w:tc>
      </w:tr>
      <w:tr>
        <w:tc>
          <w:tcPr>
            <w:tcW w:type="dxa" w:w="800"/>
            <w:tcMar>
              <w:top w:type="dxa" w:w="55"/>
              <w:left w:type="dxa" w:w="85"/>
              <w:bottom w:type="dxa" w:w="55"/>
              <w:right w:type="dxa" w:w="85"/>
            </w:tcMar>
          </w:tcPr>
          <w:p>
            <w:pPr>
              <w:spacing w:after="0"/>
              <w:jc w:val="right"/>
            </w:pPr>
            <w:r>
              <w:rPr>
                <w:sz w:val="18"/>
                <w:szCs w:val="18"/>
              </w:rPr>
              <w:t xml:space="preserve">2</w:t>
            </w:r>
          </w:p>
        </w:tc>
        <w:tc>
          <w:tcPr>
            <w:tcW w:type="dxa" w:w="1300"/>
            <w:tcMar>
              <w:top w:type="dxa" w:w="55"/>
              <w:left w:type="dxa" w:w="85"/>
              <w:bottom w:type="dxa" w:w="55"/>
              <w:right w:type="dxa" w:w="85"/>
            </w:tcMar>
          </w:tcPr>
          <w:p>
            <w:pPr>
              <w:spacing w:after="0"/>
              <w:jc w:val="right"/>
            </w:pPr>
            <w:r>
              <w:rPr>
                <w:sz w:val="18"/>
                <w:szCs w:val="18"/>
              </w:rPr>
              <w:t xml:space="preserve">1 891</w:t>
            </w:r>
          </w:p>
        </w:tc>
        <w:tc>
          <w:tcPr>
            <w:tcW w:type="dxa" w:w="1200"/>
            <w:tcMar>
              <w:top w:type="dxa" w:w="55"/>
              <w:left w:type="dxa" w:w="85"/>
              <w:bottom w:type="dxa" w:w="55"/>
              <w:right w:type="dxa" w:w="85"/>
            </w:tcMar>
          </w:tcPr>
          <w:p>
            <w:pPr>
              <w:spacing w:after="0"/>
              <w:jc w:val="right"/>
            </w:pPr>
            <w:r>
              <w:rPr>
                <w:sz w:val="18"/>
                <w:szCs w:val="18"/>
              </w:rPr>
              <w:t xml:space="preserve">95</w:t>
            </w:r>
          </w:p>
        </w:tc>
        <w:tc>
          <w:tcPr>
            <w:tcW w:type="dxa" w:w="900"/>
            <w:tcMar>
              <w:top w:type="dxa" w:w="55"/>
              <w:left w:type="dxa" w:w="85"/>
              <w:bottom w:type="dxa" w:w="55"/>
              <w:right w:type="dxa" w:w="85"/>
            </w:tcMar>
          </w:tcPr>
          <w:p>
            <w:pPr>
              <w:spacing w:after="0"/>
              <w:jc w:val="right"/>
            </w:pPr>
            <w:r>
              <w:rPr>
                <w:sz w:val="18"/>
                <w:szCs w:val="18"/>
              </w:rPr>
              <w:t xml:space="preserve">5,02</w:t>
            </w:r>
          </w:p>
        </w:tc>
        <w:tc>
          <w:tcPr>
            <w:tcW w:type="dxa" w:w="5160"/>
            <w:tcMar>
              <w:top w:type="dxa" w:w="55"/>
              <w:left w:type="dxa" w:w="85"/>
              <w:bottom w:type="dxa" w:w="55"/>
              <w:right w:type="dxa" w:w="85"/>
            </w:tcMar>
          </w:tcPr>
          <w:p>
            <w:pPr>
              <w:spacing w:after="0"/>
              <w:jc w:val="left"/>
            </w:pPr>
            <w:r>
              <w:rPr>
                <w:sz w:val="18"/>
                <w:szCs w:val="18"/>
              </w:rPr>
              <w:t xml:space="preserve">cpc_match_score (1.72σ)</w:t>
            </w:r>
          </w:p>
        </w:tc>
      </w:tr>
      <w:tr>
        <w:tc>
          <w:tcPr>
            <w:tcW w:type="dxa" w:w="800"/>
            <w:tcMar>
              <w:top w:type="dxa" w:w="55"/>
              <w:left w:type="dxa" w:w="85"/>
              <w:bottom w:type="dxa" w:w="55"/>
              <w:right w:type="dxa" w:w="85"/>
            </w:tcMar>
          </w:tcPr>
          <w:p>
            <w:pPr>
              <w:spacing w:after="0"/>
              <w:jc w:val="right"/>
            </w:pPr>
            <w:r>
              <w:rPr>
                <w:sz w:val="18"/>
                <w:szCs w:val="18"/>
              </w:rPr>
              <w:t xml:space="preserve">3</w:t>
            </w:r>
          </w:p>
        </w:tc>
        <w:tc>
          <w:tcPr>
            <w:tcW w:type="dxa" w:w="1300"/>
            <w:tcMar>
              <w:top w:type="dxa" w:w="55"/>
              <w:left w:type="dxa" w:w="85"/>
              <w:bottom w:type="dxa" w:w="55"/>
              <w:right w:type="dxa" w:w="85"/>
            </w:tcMar>
          </w:tcPr>
          <w:p>
            <w:pPr>
              <w:spacing w:after="0"/>
              <w:jc w:val="right"/>
            </w:pPr>
            <w:r>
              <w:rPr>
                <w:sz w:val="18"/>
                <w:szCs w:val="18"/>
              </w:rPr>
              <w:t xml:space="preserve">388</w:t>
            </w:r>
          </w:p>
        </w:tc>
        <w:tc>
          <w:tcPr>
            <w:tcW w:type="dxa" w:w="1200"/>
            <w:tcMar>
              <w:top w:type="dxa" w:w="55"/>
              <w:left w:type="dxa" w:w="85"/>
              <w:bottom w:type="dxa" w:w="55"/>
              <w:right w:type="dxa" w:w="85"/>
            </w:tcMar>
          </w:tcPr>
          <w:p>
            <w:pPr>
              <w:spacing w:after="0"/>
              <w:jc w:val="right"/>
            </w:pPr>
            <w:r>
              <w:rPr>
                <w:sz w:val="18"/>
                <w:szCs w:val="18"/>
              </w:rPr>
              <w:t xml:space="preserve">20</w:t>
            </w:r>
          </w:p>
        </w:tc>
        <w:tc>
          <w:tcPr>
            <w:tcW w:type="dxa" w:w="900"/>
            <w:tcMar>
              <w:top w:type="dxa" w:w="55"/>
              <w:left w:type="dxa" w:w="85"/>
              <w:bottom w:type="dxa" w:w="55"/>
              <w:right w:type="dxa" w:w="85"/>
            </w:tcMar>
          </w:tcPr>
          <w:p>
            <w:pPr>
              <w:spacing w:after="0"/>
              <w:jc w:val="right"/>
            </w:pPr>
            <w:r>
              <w:rPr>
                <w:sz w:val="18"/>
                <w:szCs w:val="18"/>
              </w:rPr>
              <w:t xml:space="preserve">5,15</w:t>
            </w:r>
          </w:p>
        </w:tc>
        <w:tc>
          <w:tcPr>
            <w:tcW w:type="dxa" w:w="5160"/>
            <w:tcMar>
              <w:top w:type="dxa" w:w="55"/>
              <w:left w:type="dxa" w:w="85"/>
              <w:bottom w:type="dxa" w:w="55"/>
              <w:right w:type="dxa" w:w="85"/>
            </w:tcMar>
          </w:tcPr>
          <w:p>
            <w:pPr>
              <w:spacing w:after="0"/>
              <w:jc w:val="left"/>
            </w:pPr>
            <w:r>
              <w:rPr>
                <w:sz w:val="18"/>
                <w:szCs w:val="18"/>
              </w:rPr>
              <w:t xml:space="preserve">actividad_cpc_comprador (1.95σ)</w:t>
            </w:r>
          </w:p>
        </w:tc>
      </w:tr>
      <w:tr>
        <w:tc>
          <w:tcPr>
            <w:tcW w:type="dxa" w:w="800"/>
            <w:tcMar>
              <w:top w:type="dxa" w:w="55"/>
              <w:left w:type="dxa" w:w="85"/>
              <w:bottom w:type="dxa" w:w="55"/>
              <w:right w:type="dxa" w:w="85"/>
            </w:tcMar>
          </w:tcPr>
          <w:p>
            <w:pPr>
              <w:spacing w:after="0"/>
              <w:jc w:val="right"/>
            </w:pPr>
            <w:r>
              <w:rPr>
                <w:sz w:val="18"/>
                <w:szCs w:val="18"/>
              </w:rPr>
              <w:t xml:space="preserve">4</w:t>
            </w:r>
          </w:p>
        </w:tc>
        <w:tc>
          <w:tcPr>
            <w:tcW w:type="dxa" w:w="1300"/>
            <w:tcMar>
              <w:top w:type="dxa" w:w="55"/>
              <w:left w:type="dxa" w:w="85"/>
              <w:bottom w:type="dxa" w:w="55"/>
              <w:right w:type="dxa" w:w="85"/>
            </w:tcMar>
          </w:tcPr>
          <w:p>
            <w:pPr>
              <w:spacing w:after="0"/>
              <w:jc w:val="right"/>
            </w:pPr>
            <w:r>
              <w:rPr>
                <w:sz w:val="18"/>
                <w:szCs w:val="18"/>
              </w:rPr>
              <w:t xml:space="preserve">351</w:t>
            </w:r>
          </w:p>
        </w:tc>
        <w:tc>
          <w:tcPr>
            <w:tcW w:type="dxa" w:w="1200"/>
            <w:tcMar>
              <w:top w:type="dxa" w:w="55"/>
              <w:left w:type="dxa" w:w="85"/>
              <w:bottom w:type="dxa" w:w="55"/>
              <w:right w:type="dxa" w:w="85"/>
            </w:tcMar>
          </w:tcPr>
          <w:p>
            <w:pPr>
              <w:spacing w:after="0"/>
              <w:jc w:val="right"/>
            </w:pPr>
            <w:r>
              <w:rPr>
                <w:sz w:val="18"/>
                <w:szCs w:val="18"/>
              </w:rPr>
              <w:t xml:space="preserve">18</w:t>
            </w:r>
          </w:p>
        </w:tc>
        <w:tc>
          <w:tcPr>
            <w:tcW w:type="dxa" w:w="900"/>
            <w:tcMar>
              <w:top w:type="dxa" w:w="55"/>
              <w:left w:type="dxa" w:w="85"/>
              <w:bottom w:type="dxa" w:w="55"/>
              <w:right w:type="dxa" w:w="85"/>
            </w:tcMar>
          </w:tcPr>
          <w:p>
            <w:pPr>
              <w:spacing w:after="0"/>
              <w:jc w:val="right"/>
            </w:pPr>
            <w:r>
              <w:rPr>
                <w:sz w:val="18"/>
                <w:szCs w:val="18"/>
              </w:rPr>
              <w:t xml:space="preserve">5,13</w:t>
            </w:r>
          </w:p>
        </w:tc>
        <w:tc>
          <w:tcPr>
            <w:tcW w:type="dxa" w:w="5160"/>
            <w:tcMar>
              <w:top w:type="dxa" w:w="55"/>
              <w:left w:type="dxa" w:w="85"/>
              <w:bottom w:type="dxa" w:w="55"/>
              <w:right w:type="dxa" w:w="85"/>
            </w:tcMar>
          </w:tcPr>
          <w:p>
            <w:pPr>
              <w:spacing w:after="0"/>
              <w:jc w:val="left"/>
            </w:pPr>
            <w:r>
              <w:rPr>
                <w:sz w:val="18"/>
                <w:szCs w:val="18"/>
              </w:rPr>
              <w:t xml:space="preserve">cpc_match_score (2.44σ)</w:t>
            </w:r>
          </w:p>
        </w:tc>
      </w:tr>
      <w:tr>
        <w:tc>
          <w:tcPr>
            <w:tcW w:type="dxa" w:w="800"/>
            <w:tcMar>
              <w:top w:type="dxa" w:w="55"/>
              <w:left w:type="dxa" w:w="85"/>
              <w:bottom w:type="dxa" w:w="55"/>
              <w:right w:type="dxa" w:w="85"/>
            </w:tcMar>
          </w:tcPr>
          <w:p>
            <w:pPr>
              <w:spacing w:after="0"/>
              <w:jc w:val="right"/>
            </w:pPr>
            <w:r>
              <w:rPr>
                <w:sz w:val="18"/>
                <w:szCs w:val="18"/>
              </w:rPr>
              <w:t xml:space="preserve">5</w:t>
            </w:r>
          </w:p>
        </w:tc>
        <w:tc>
          <w:tcPr>
            <w:tcW w:type="dxa" w:w="1300"/>
            <w:tcMar>
              <w:top w:type="dxa" w:w="55"/>
              <w:left w:type="dxa" w:w="85"/>
              <w:bottom w:type="dxa" w:w="55"/>
              <w:right w:type="dxa" w:w="85"/>
            </w:tcMar>
          </w:tcPr>
          <w:p>
            <w:pPr>
              <w:spacing w:after="0"/>
              <w:jc w:val="right"/>
            </w:pPr>
            <w:r>
              <w:rPr>
                <w:sz w:val="18"/>
                <w:szCs w:val="18"/>
              </w:rPr>
              <w:t xml:space="preserve">553</w:t>
            </w:r>
          </w:p>
        </w:tc>
        <w:tc>
          <w:tcPr>
            <w:tcW w:type="dxa" w:w="1200"/>
            <w:tcMar>
              <w:top w:type="dxa" w:w="55"/>
              <w:left w:type="dxa" w:w="85"/>
              <w:bottom w:type="dxa" w:w="55"/>
              <w:right w:type="dxa" w:w="85"/>
            </w:tcMar>
          </w:tcPr>
          <w:p>
            <w:pPr>
              <w:spacing w:after="0"/>
              <w:jc w:val="right"/>
            </w:pPr>
            <w:r>
              <w:rPr>
                <w:sz w:val="18"/>
                <w:szCs w:val="18"/>
              </w:rPr>
              <w:t xml:space="preserve">28</w:t>
            </w:r>
          </w:p>
        </w:tc>
        <w:tc>
          <w:tcPr>
            <w:tcW w:type="dxa" w:w="900"/>
            <w:tcMar>
              <w:top w:type="dxa" w:w="55"/>
              <w:left w:type="dxa" w:w="85"/>
              <w:bottom w:type="dxa" w:w="55"/>
              <w:right w:type="dxa" w:w="85"/>
            </w:tcMar>
          </w:tcPr>
          <w:p>
            <w:pPr>
              <w:spacing w:after="0"/>
              <w:jc w:val="right"/>
            </w:pPr>
            <w:r>
              <w:rPr>
                <w:sz w:val="18"/>
                <w:szCs w:val="18"/>
              </w:rPr>
              <w:t xml:space="preserve">5,06</w:t>
            </w:r>
          </w:p>
        </w:tc>
        <w:tc>
          <w:tcPr>
            <w:tcW w:type="dxa" w:w="5160"/>
            <w:tcMar>
              <w:top w:type="dxa" w:w="55"/>
              <w:left w:type="dxa" w:w="85"/>
              <w:bottom w:type="dxa" w:w="55"/>
              <w:right w:type="dxa" w:w="85"/>
            </w:tcMar>
          </w:tcPr>
          <w:p>
            <w:pPr>
              <w:spacing w:after="0"/>
              <w:jc w:val="left"/>
            </w:pPr>
            <w:r>
              <w:rPr>
                <w:sz w:val="18"/>
                <w:szCs w:val="18"/>
              </w:rPr>
              <w:t xml:space="preserve">cpc_match_score (2.84σ)</w:t>
            </w:r>
          </w:p>
        </w:tc>
      </w:tr>
      <w:tr>
        <w:tc>
          <w:tcPr>
            <w:tcW w:type="dxa" w:w="800"/>
            <w:tcMar>
              <w:top w:type="dxa" w:w="55"/>
              <w:left w:type="dxa" w:w="85"/>
              <w:bottom w:type="dxa" w:w="55"/>
              <w:right w:type="dxa" w:w="85"/>
            </w:tcMar>
          </w:tcPr>
          <w:p>
            <w:pPr>
              <w:spacing w:after="0"/>
              <w:jc w:val="right"/>
            </w:pPr>
            <w:r>
              <w:rPr>
                <w:sz w:val="18"/>
                <w:szCs w:val="18"/>
              </w:rPr>
              <w:t xml:space="preserve">6</w:t>
            </w:r>
          </w:p>
        </w:tc>
        <w:tc>
          <w:tcPr>
            <w:tcW w:type="dxa" w:w="1300"/>
            <w:tcMar>
              <w:top w:type="dxa" w:w="55"/>
              <w:left w:type="dxa" w:w="85"/>
              <w:bottom w:type="dxa" w:w="55"/>
              <w:right w:type="dxa" w:w="85"/>
            </w:tcMar>
          </w:tcPr>
          <w:p>
            <w:pPr>
              <w:spacing w:after="0"/>
              <w:jc w:val="right"/>
            </w:pPr>
            <w:r>
              <w:rPr>
                <w:sz w:val="18"/>
                <w:szCs w:val="18"/>
              </w:rPr>
              <w:t xml:space="preserve">2 257</w:t>
            </w:r>
          </w:p>
        </w:tc>
        <w:tc>
          <w:tcPr>
            <w:tcW w:type="dxa" w:w="1200"/>
            <w:tcMar>
              <w:top w:type="dxa" w:w="55"/>
              <w:left w:type="dxa" w:w="85"/>
              <w:bottom w:type="dxa" w:w="55"/>
              <w:right w:type="dxa" w:w="85"/>
            </w:tcMar>
          </w:tcPr>
          <w:p>
            <w:pPr>
              <w:spacing w:after="0"/>
              <w:jc w:val="right"/>
            </w:pPr>
            <w:r>
              <w:rPr>
                <w:sz w:val="18"/>
                <w:szCs w:val="18"/>
              </w:rPr>
              <w:t xml:space="preserve">113</w:t>
            </w:r>
          </w:p>
        </w:tc>
        <w:tc>
          <w:tcPr>
            <w:tcW w:type="dxa" w:w="900"/>
            <w:tcMar>
              <w:top w:type="dxa" w:w="55"/>
              <w:left w:type="dxa" w:w="85"/>
              <w:bottom w:type="dxa" w:w="55"/>
              <w:right w:type="dxa" w:w="85"/>
            </w:tcMar>
          </w:tcPr>
          <w:p>
            <w:pPr>
              <w:spacing w:after="0"/>
              <w:jc w:val="right"/>
            </w:pPr>
            <w:r>
              <w:rPr>
                <w:sz w:val="18"/>
                <w:szCs w:val="18"/>
              </w:rPr>
              <w:t xml:space="preserve">5,01</w:t>
            </w:r>
          </w:p>
        </w:tc>
        <w:tc>
          <w:tcPr>
            <w:tcW w:type="dxa" w:w="5160"/>
            <w:tcMar>
              <w:top w:type="dxa" w:w="55"/>
              <w:left w:type="dxa" w:w="85"/>
              <w:bottom w:type="dxa" w:w="55"/>
              <w:right w:type="dxa" w:w="85"/>
            </w:tcMar>
          </w:tcPr>
          <w:p>
            <w:pPr>
              <w:spacing w:after="0"/>
              <w:jc w:val="left"/>
            </w:pPr>
            <w:r>
              <w:rPr>
                <w:sz w:val="18"/>
                <w:szCs w:val="18"/>
              </w:rPr>
              <w:t xml:space="preserve">cpc_match_score (2.33σ)</w:t>
            </w:r>
          </w:p>
        </w:tc>
      </w:tr>
      <w:tr>
        <w:tc>
          <w:tcPr>
            <w:tcW w:type="dxa" w:w="800"/>
            <w:tcMar>
              <w:top w:type="dxa" w:w="55"/>
              <w:left w:type="dxa" w:w="85"/>
              <w:bottom w:type="dxa" w:w="55"/>
              <w:right w:type="dxa" w:w="85"/>
            </w:tcMar>
          </w:tcPr>
          <w:p>
            <w:pPr>
              <w:spacing w:after="0"/>
              <w:jc w:val="right"/>
            </w:pPr>
            <w:r>
              <w:rPr>
                <w:sz w:val="18"/>
                <w:szCs w:val="18"/>
              </w:rPr>
              <w:t xml:space="preserve">7</w:t>
            </w:r>
          </w:p>
        </w:tc>
        <w:tc>
          <w:tcPr>
            <w:tcW w:type="dxa" w:w="1300"/>
            <w:tcMar>
              <w:top w:type="dxa" w:w="55"/>
              <w:left w:type="dxa" w:w="85"/>
              <w:bottom w:type="dxa" w:w="55"/>
              <w:right w:type="dxa" w:w="85"/>
            </w:tcMar>
          </w:tcPr>
          <w:p>
            <w:pPr>
              <w:spacing w:after="0"/>
              <w:jc w:val="right"/>
            </w:pPr>
            <w:r>
              <w:rPr>
                <w:sz w:val="18"/>
                <w:szCs w:val="18"/>
              </w:rPr>
              <w:t xml:space="preserve">2 986</w:t>
            </w:r>
          </w:p>
        </w:tc>
        <w:tc>
          <w:tcPr>
            <w:tcW w:type="dxa" w:w="1200"/>
            <w:tcMar>
              <w:top w:type="dxa" w:w="55"/>
              <w:left w:type="dxa" w:w="85"/>
              <w:bottom w:type="dxa" w:w="55"/>
              <w:right w:type="dxa" w:w="85"/>
            </w:tcMar>
          </w:tcPr>
          <w:p>
            <w:pPr>
              <w:spacing w:after="0"/>
              <w:jc w:val="right"/>
            </w:pPr>
            <w:r>
              <w:rPr>
                <w:sz w:val="18"/>
                <w:szCs w:val="18"/>
              </w:rPr>
              <w:t xml:space="preserve">150</w:t>
            </w:r>
          </w:p>
        </w:tc>
        <w:tc>
          <w:tcPr>
            <w:tcW w:type="dxa" w:w="900"/>
            <w:tcMar>
              <w:top w:type="dxa" w:w="55"/>
              <w:left w:type="dxa" w:w="85"/>
              <w:bottom w:type="dxa" w:w="55"/>
              <w:right w:type="dxa" w:w="85"/>
            </w:tcMar>
          </w:tcPr>
          <w:p>
            <w:pPr>
              <w:spacing w:after="0"/>
              <w:jc w:val="right"/>
            </w:pPr>
            <w:r>
              <w:rPr>
                <w:sz w:val="18"/>
                <w:szCs w:val="18"/>
              </w:rPr>
              <w:t xml:space="preserve">5,02</w:t>
            </w:r>
          </w:p>
        </w:tc>
        <w:tc>
          <w:tcPr>
            <w:tcW w:type="dxa" w:w="5160"/>
            <w:tcMar>
              <w:top w:type="dxa" w:w="55"/>
              <w:left w:type="dxa" w:w="85"/>
              <w:bottom w:type="dxa" w:w="55"/>
              <w:right w:type="dxa" w:w="85"/>
            </w:tcMar>
          </w:tcPr>
          <w:p>
            <w:pPr>
              <w:spacing w:after="0"/>
              <w:jc w:val="left"/>
            </w:pPr>
            <w:r>
              <w:rPr>
                <w:sz w:val="18"/>
                <w:szCs w:val="18"/>
              </w:rPr>
              <w:t xml:space="preserve">actividad_cpc_comprador (2.12σ)</w:t>
            </w:r>
          </w:p>
        </w:tc>
      </w:tr>
      <w:tr>
        <w:tc>
          <w:tcPr>
            <w:tcW w:type="dxa" w:w="800"/>
            <w:tcMar>
              <w:top w:type="dxa" w:w="55"/>
              <w:left w:type="dxa" w:w="85"/>
              <w:bottom w:type="dxa" w:w="55"/>
              <w:right w:type="dxa" w:w="85"/>
            </w:tcMar>
          </w:tcPr>
          <w:p>
            <w:pPr>
              <w:spacing w:after="0"/>
              <w:jc w:val="right"/>
            </w:pPr>
            <w:r>
              <w:rPr>
                <w:sz w:val="18"/>
                <w:szCs w:val="18"/>
              </w:rPr>
              <w:t xml:space="preserve">8</w:t>
            </w:r>
          </w:p>
        </w:tc>
        <w:tc>
          <w:tcPr>
            <w:tcW w:type="dxa" w:w="1300"/>
            <w:tcMar>
              <w:top w:type="dxa" w:w="55"/>
              <w:left w:type="dxa" w:w="85"/>
              <w:bottom w:type="dxa" w:w="55"/>
              <w:right w:type="dxa" w:w="85"/>
            </w:tcMar>
          </w:tcPr>
          <w:p>
            <w:pPr>
              <w:spacing w:after="0"/>
              <w:jc w:val="right"/>
            </w:pPr>
            <w:r>
              <w:rPr>
                <w:sz w:val="18"/>
                <w:szCs w:val="18"/>
              </w:rPr>
              <w:t xml:space="preserve">1 016</w:t>
            </w:r>
          </w:p>
        </w:tc>
        <w:tc>
          <w:tcPr>
            <w:tcW w:type="dxa" w:w="1200"/>
            <w:tcMar>
              <w:top w:type="dxa" w:w="55"/>
              <w:left w:type="dxa" w:w="85"/>
              <w:bottom w:type="dxa" w:w="55"/>
              <w:right w:type="dxa" w:w="85"/>
            </w:tcMar>
          </w:tcPr>
          <w:p>
            <w:pPr>
              <w:spacing w:after="0"/>
              <w:jc w:val="right"/>
            </w:pPr>
            <w:r>
              <w:rPr>
                <w:sz w:val="18"/>
                <w:szCs w:val="18"/>
              </w:rPr>
              <w:t xml:space="preserve">51</w:t>
            </w:r>
          </w:p>
        </w:tc>
        <w:tc>
          <w:tcPr>
            <w:tcW w:type="dxa" w:w="900"/>
            <w:tcMar>
              <w:top w:type="dxa" w:w="55"/>
              <w:left w:type="dxa" w:w="85"/>
              <w:bottom w:type="dxa" w:w="55"/>
              <w:right w:type="dxa" w:w="85"/>
            </w:tcMar>
          </w:tcPr>
          <w:p>
            <w:pPr>
              <w:spacing w:after="0"/>
              <w:jc w:val="right"/>
            </w:pPr>
            <w:r>
              <w:rPr>
                <w:sz w:val="18"/>
                <w:szCs w:val="18"/>
              </w:rPr>
              <w:t xml:space="preserve">5,02</w:t>
            </w:r>
          </w:p>
        </w:tc>
        <w:tc>
          <w:tcPr>
            <w:tcW w:type="dxa" w:w="5160"/>
            <w:tcMar>
              <w:top w:type="dxa" w:w="55"/>
              <w:left w:type="dxa" w:w="85"/>
              <w:bottom w:type="dxa" w:w="55"/>
              <w:right w:type="dxa" w:w="85"/>
            </w:tcMar>
          </w:tcPr>
          <w:p>
            <w:pPr>
              <w:spacing w:after="0"/>
              <w:jc w:val="left"/>
            </w:pPr>
            <w:r>
              <w:rPr>
                <w:sz w:val="18"/>
                <w:szCs w:val="18"/>
              </w:rPr>
              <w:t xml:space="preserve">actividad_cpc_comprador (2.05σ)</w:t>
            </w:r>
          </w:p>
        </w:tc>
      </w:tr>
      <w:tr>
        <w:tc>
          <w:tcPr>
            <w:tcW w:type="dxa" w:w="800"/>
            <w:tcMar>
              <w:top w:type="dxa" w:w="55"/>
              <w:left w:type="dxa" w:w="85"/>
              <w:bottom w:type="dxa" w:w="55"/>
              <w:right w:type="dxa" w:w="85"/>
            </w:tcMar>
          </w:tcPr>
          <w:p>
            <w:pPr>
              <w:spacing w:after="0"/>
              <w:jc w:val="right"/>
            </w:pPr>
            <w:r>
              <w:rPr>
                <w:sz w:val="18"/>
                <w:szCs w:val="18"/>
              </w:rPr>
              <w:t xml:space="preserve">9</w:t>
            </w:r>
          </w:p>
        </w:tc>
        <w:tc>
          <w:tcPr>
            <w:tcW w:type="dxa" w:w="1300"/>
            <w:tcMar>
              <w:top w:type="dxa" w:w="55"/>
              <w:left w:type="dxa" w:w="85"/>
              <w:bottom w:type="dxa" w:w="55"/>
              <w:right w:type="dxa" w:w="85"/>
            </w:tcMar>
          </w:tcPr>
          <w:p>
            <w:pPr>
              <w:spacing w:after="0"/>
              <w:jc w:val="right"/>
            </w:pPr>
            <w:r>
              <w:rPr>
                <w:sz w:val="18"/>
                <w:szCs w:val="18"/>
              </w:rPr>
              <w:t xml:space="preserve">2 961</w:t>
            </w:r>
          </w:p>
        </w:tc>
        <w:tc>
          <w:tcPr>
            <w:tcW w:type="dxa" w:w="1200"/>
            <w:tcMar>
              <w:top w:type="dxa" w:w="55"/>
              <w:left w:type="dxa" w:w="85"/>
              <w:bottom w:type="dxa" w:w="55"/>
              <w:right w:type="dxa" w:w="85"/>
            </w:tcMar>
          </w:tcPr>
          <w:p>
            <w:pPr>
              <w:spacing w:after="0"/>
              <w:jc w:val="right"/>
            </w:pPr>
            <w:r>
              <w:rPr>
                <w:sz w:val="18"/>
                <w:szCs w:val="18"/>
              </w:rPr>
              <w:t xml:space="preserve">148</w:t>
            </w:r>
          </w:p>
        </w:tc>
        <w:tc>
          <w:tcPr>
            <w:tcW w:type="dxa" w:w="900"/>
            <w:tcMar>
              <w:top w:type="dxa" w:w="55"/>
              <w:left w:type="dxa" w:w="85"/>
              <w:bottom w:type="dxa" w:w="55"/>
              <w:right w:type="dxa" w:w="85"/>
            </w:tcMar>
          </w:tcPr>
          <w:p>
            <w:pPr>
              <w:spacing w:after="0"/>
              <w:jc w:val="right"/>
            </w:pPr>
            <w:r>
              <w:rPr>
                <w:sz w:val="18"/>
                <w:szCs w:val="18"/>
              </w:rPr>
              <w:t xml:space="preserve">5,00</w:t>
            </w:r>
          </w:p>
        </w:tc>
        <w:tc>
          <w:tcPr>
            <w:tcW w:type="dxa" w:w="5160"/>
            <w:tcMar>
              <w:top w:type="dxa" w:w="55"/>
              <w:left w:type="dxa" w:w="85"/>
              <w:bottom w:type="dxa" w:w="55"/>
              <w:right w:type="dxa" w:w="85"/>
            </w:tcMar>
          </w:tcPr>
          <w:p>
            <w:pPr>
              <w:spacing w:after="0"/>
              <w:jc w:val="left"/>
            </w:pPr>
            <w:r>
              <w:rPr>
                <w:sz w:val="18"/>
                <w:szCs w:val="18"/>
              </w:rPr>
              <w:t xml:space="preserve">actividad_cpc_comprador (1.82σ)</w:t>
            </w:r>
          </w:p>
        </w:tc>
      </w:tr>
    </w:tbl>
    <w:p>
      <w:pPr>
        <w:spacing w:after="110"/>
      </w:pPr>
      <w:r>
        <w:rPr>
          <w:sz w:val="21"/>
          <w:szCs w:val="21"/>
        </w:rPr>
        <w:t xml:space="preserve">El porcentaje se mantiene en torno al 5 % en los diez grupos, como impone el parámetro. Lo informativo es la última columna: en seis de los diez grupos la variable que más separa a los atípicos es la actividad del comprador en los CPC del proveedor, y en los otros cuatro la coincidencia de CPC.</w:t>
      </w:r>
    </w:p>
    <w:p>
      <w:pPr>
        <w:pStyle w:val="Heading1"/>
        <w:spacing w:after="120" w:before="260"/>
      </w:pPr>
      <w:r>
        <w:rPr>
          <w:b/>
          <w:bCs/>
          <w:color w:val="1F4E79"/>
        </w:rPr>
        <w:t xml:space="preserve">9. Asignabilidad de un proveedor nuevo</w:t>
      </w:r>
    </w:p>
    <w:tbl>
      <w:tblPr>
        <w:tblW w:type="dxa" w:w="9360"/>
        <w:tblBorders>
          <w:top w:val="single" w:color="AAAAAA" w:sz="4"/>
          <w:left w:val="none"/>
          <w:bottom w:val="single" w:color="AAAAAA" w:sz="4"/>
          <w:right w:val="none"/>
          <w:insideH w:val="single" w:color="DDDDDD" w:sz="2"/>
          <w:insideV w:val="none"/>
        </w:tblBorders>
      </w:tblPr>
      <w:tblGrid>
        <w:gridCol w:w="2200"/>
        <w:gridCol w:w="7160"/>
      </w:tblGrid>
      <w:tr>
        <w:trPr>
          <w:tblHeader/>
        </w:trPr>
        <w:tc>
          <w:tcPr>
            <w:tcW w:type="dxa" w:w="2200"/>
            <w:shd w:fill="DCE6F1" w:color="auto" w:val="clear"/>
            <w:tcMar>
              <w:top w:type="dxa" w:w="55"/>
              <w:left w:type="dxa" w:w="85"/>
              <w:bottom w:type="dxa" w:w="55"/>
              <w:right w:type="dxa" w:w="85"/>
            </w:tcMar>
          </w:tcPr>
          <w:p>
            <w:pPr>
              <w:spacing w:after="0"/>
              <w:jc w:val="left"/>
            </w:pPr>
            <w:r>
              <w:rPr>
                <w:b/>
                <w:bCs/>
                <w:sz w:val="18"/>
                <w:szCs w:val="18"/>
              </w:rPr>
              <w:t xml:space="preserve">Algoritmo</w:t>
            </w:r>
          </w:p>
        </w:tc>
        <w:tc>
          <w:tcPr>
            <w:tcW w:type="dxa" w:w="7160"/>
            <w:shd w:fill="DCE6F1" w:color="auto" w:val="clear"/>
            <w:tcMar>
              <w:top w:type="dxa" w:w="55"/>
              <w:left w:type="dxa" w:w="85"/>
              <w:bottom w:type="dxa" w:w="55"/>
              <w:right w:type="dxa" w:w="85"/>
            </w:tcMar>
          </w:tcPr>
          <w:p>
            <w:pPr>
              <w:spacing w:after="0"/>
              <w:jc w:val="left"/>
            </w:pPr>
            <w:r>
              <w:rPr>
                <w:b/>
                <w:bCs/>
                <w:sz w:val="18"/>
                <w:szCs w:val="18"/>
              </w:rPr>
              <w:t xml:space="preserve">Procedimiento</w:t>
            </w:r>
          </w:p>
        </w:tc>
      </w:tr>
      <w:tr>
        <w:tc>
          <w:tcPr>
            <w:tcW w:type="dxa" w:w="2200"/>
            <w:tcMar>
              <w:top w:type="dxa" w:w="55"/>
              <w:left w:type="dxa" w:w="85"/>
              <w:bottom w:type="dxa" w:w="55"/>
              <w:right w:type="dxa" w:w="85"/>
            </w:tcMar>
          </w:tcPr>
          <w:p>
            <w:pPr>
              <w:spacing w:after="0"/>
              <w:jc w:val="left"/>
            </w:pPr>
            <w:r>
              <w:rPr>
                <w:sz w:val="18"/>
                <w:szCs w:val="18"/>
              </w:rPr>
              <w:t xml:space="preserve">K-Prototypes</w:t>
            </w:r>
          </w:p>
        </w:tc>
        <w:tc>
          <w:tcPr>
            <w:tcW w:type="dxa" w:w="7160"/>
            <w:tcMar>
              <w:top w:type="dxa" w:w="55"/>
              <w:left w:type="dxa" w:w="85"/>
              <w:bottom w:type="dxa" w:w="55"/>
              <w:right w:type="dxa" w:w="85"/>
            </w:tcMar>
          </w:tcPr>
          <w:p>
            <w:pPr>
              <w:spacing w:after="0"/>
              <w:jc w:val="left"/>
            </w:pPr>
            <w:r>
              <w:rPr>
                <w:sz w:val="18"/>
                <w:szCs w:val="18"/>
              </w:rPr>
              <w:t xml:space="preserve">Directa por PROTOTIPO: distancia mixta (euclidiana en las numéricas + desacuerdo x gamma en la modalidad) al prototipo de cada grupo; gana el mínimo.</w:t>
            </w:r>
          </w:p>
        </w:tc>
      </w:tr>
      <w:tr>
        <w:tc>
          <w:tcPr>
            <w:tcW w:type="dxa" w:w="2200"/>
            <w:tcMar>
              <w:top w:type="dxa" w:w="55"/>
              <w:left w:type="dxa" w:w="85"/>
              <w:bottom w:type="dxa" w:w="55"/>
              <w:right w:type="dxa" w:w="85"/>
            </w:tcMar>
          </w:tcPr>
          <w:p>
            <w:pPr>
              <w:spacing w:after="0"/>
              <w:jc w:val="left"/>
            </w:pPr>
            <w:r>
              <w:rPr>
                <w:sz w:val="18"/>
                <w:szCs w:val="18"/>
              </w:rPr>
              <w:t xml:space="preserve">K-Means</w:t>
            </w:r>
          </w:p>
        </w:tc>
        <w:tc>
          <w:tcPr>
            <w:tcW w:type="dxa" w:w="7160"/>
            <w:tcMar>
              <w:top w:type="dxa" w:w="55"/>
              <w:left w:type="dxa" w:w="85"/>
              <w:bottom w:type="dxa" w:w="55"/>
              <w:right w:type="dxa" w:w="85"/>
            </w:tcMar>
          </w:tcPr>
          <w:p>
            <w:pPr>
              <w:spacing w:after="0"/>
              <w:jc w:val="left"/>
            </w:pPr>
            <w:r>
              <w:rPr>
                <w:sz w:val="18"/>
                <w:szCs w:val="18"/>
              </w:rPr>
              <w:t xml:space="preserve">Directa por PROTOTIPO: distancia euclidiana al centroide en el espacio codificado (numéricas z-score + one-hot de modalidad).</w:t>
            </w:r>
          </w:p>
        </w:tc>
      </w:tr>
      <w:tr>
        <w:tc>
          <w:tcPr>
            <w:tcW w:type="dxa" w:w="2200"/>
            <w:tcMar>
              <w:top w:type="dxa" w:w="55"/>
              <w:left w:type="dxa" w:w="85"/>
              <w:bottom w:type="dxa" w:w="55"/>
              <w:right w:type="dxa" w:w="85"/>
            </w:tcMar>
          </w:tcPr>
          <w:p>
            <w:pPr>
              <w:spacing w:after="0"/>
              <w:jc w:val="left"/>
            </w:pPr>
            <w:r>
              <w:rPr>
                <w:sz w:val="18"/>
                <w:szCs w:val="18"/>
              </w:rPr>
              <w:t xml:space="preserve">Jerárquico (promedio)</w:t>
            </w:r>
          </w:p>
        </w:tc>
        <w:tc>
          <w:tcPr>
            <w:tcW w:type="dxa" w:w="7160"/>
            <w:tcMar>
              <w:top w:type="dxa" w:w="55"/>
              <w:left w:type="dxa" w:w="85"/>
              <w:bottom w:type="dxa" w:w="55"/>
              <w:right w:type="dxa" w:w="85"/>
            </w:tcMar>
          </w:tcPr>
          <w:p>
            <w:pPr>
              <w:spacing w:after="0"/>
              <w:jc w:val="left"/>
            </w:pPr>
            <w:r>
              <w:rPr>
                <w:sz w:val="18"/>
                <w:szCs w:val="18"/>
              </w:rPr>
              <w:t xml:space="preserve">SIN prototipo nativo. Se calcula el CENTROIDE EMPÍRICO de cada grupo (media de las numéricas + modalidad modal) y se asigna por Gower al más cercano.</w:t>
            </w:r>
          </w:p>
        </w:tc>
      </w:tr>
      <w:tr>
        <w:tc>
          <w:tcPr>
            <w:tcW w:type="dxa" w:w="2200"/>
            <w:tcMar>
              <w:top w:type="dxa" w:w="55"/>
              <w:left w:type="dxa" w:w="85"/>
              <w:bottom w:type="dxa" w:w="55"/>
              <w:right w:type="dxa" w:w="85"/>
            </w:tcMar>
          </w:tcPr>
          <w:p>
            <w:pPr>
              <w:spacing w:after="0"/>
              <w:jc w:val="left"/>
            </w:pPr>
            <w:r>
              <w:rPr>
                <w:sz w:val="18"/>
                <w:szCs w:val="18"/>
              </w:rPr>
              <w:t xml:space="preserve">K-Medoids (PAM)</w:t>
            </w:r>
          </w:p>
        </w:tc>
        <w:tc>
          <w:tcPr>
            <w:tcW w:type="dxa" w:w="7160"/>
            <w:tcMar>
              <w:top w:type="dxa" w:w="55"/>
              <w:left w:type="dxa" w:w="85"/>
              <w:bottom w:type="dxa" w:w="55"/>
              <w:right w:type="dxa" w:w="85"/>
            </w:tcMar>
          </w:tcPr>
          <w:p>
            <w:pPr>
              <w:spacing w:after="0"/>
              <w:jc w:val="left"/>
            </w:pPr>
            <w:r>
              <w:rPr>
                <w:sz w:val="18"/>
                <w:szCs w:val="18"/>
              </w:rPr>
              <w:t xml:space="preserve">Directa por MEDOIDE: distancia de Gower a cada medoide, que es un proceso real del conjunto; gana el mínimo.</w:t>
            </w:r>
          </w:p>
        </w:tc>
      </w:tr>
      <w:tr>
        <w:tc>
          <w:tcPr>
            <w:tcW w:type="dxa" w:w="2200"/>
            <w:tcMar>
              <w:top w:type="dxa" w:w="55"/>
              <w:left w:type="dxa" w:w="85"/>
              <w:bottom w:type="dxa" w:w="55"/>
              <w:right w:type="dxa" w:w="85"/>
            </w:tcMar>
          </w:tcPr>
          <w:p>
            <w:pPr>
              <w:spacing w:after="0"/>
              <w:jc w:val="left"/>
            </w:pPr>
            <w:r>
              <w:rPr>
                <w:sz w:val="18"/>
                <w:szCs w:val="18"/>
              </w:rPr>
              <w:t xml:space="preserve">DBSCAN</w:t>
            </w:r>
          </w:p>
        </w:tc>
        <w:tc>
          <w:tcPr>
            <w:tcW w:type="dxa" w:w="7160"/>
            <w:tcMar>
              <w:top w:type="dxa" w:w="55"/>
              <w:left w:type="dxa" w:w="85"/>
              <w:bottom w:type="dxa" w:w="55"/>
              <w:right w:type="dxa" w:w="85"/>
            </w:tcMar>
          </w:tcPr>
          <w:p>
            <w:pPr>
              <w:spacing w:after="0"/>
              <w:jc w:val="left"/>
            </w:pPr>
            <w:r>
              <w:rPr>
                <w:sz w:val="18"/>
                <w:szCs w:val="18"/>
              </w:rPr>
              <w:t xml:space="preserve">SIN prototipo nativo y con ruido. Se calcula el CENTROIDE EMPÍRICO de cada grupo real y se asigna por Gower; si la distancia supera eps, el proceso queda como ruido.</w:t>
            </w:r>
          </w:p>
        </w:tc>
      </w:tr>
      <w:tr>
        <w:tc>
          <w:tcPr>
            <w:tcW w:type="dxa" w:w="2200"/>
            <w:tcMar>
              <w:top w:type="dxa" w:w="55"/>
              <w:left w:type="dxa" w:w="85"/>
              <w:bottom w:type="dxa" w:w="55"/>
              <w:right w:type="dxa" w:w="85"/>
            </w:tcMar>
          </w:tcPr>
          <w:p>
            <w:pPr>
              <w:spacing w:after="0"/>
              <w:jc w:val="left"/>
            </w:pPr>
            <w:r>
              <w:rPr>
                <w:sz w:val="18"/>
                <w:szCs w:val="18"/>
              </w:rPr>
              <w:t xml:space="preserve">GMM</w:t>
            </w:r>
          </w:p>
        </w:tc>
        <w:tc>
          <w:tcPr>
            <w:tcW w:type="dxa" w:w="7160"/>
            <w:tcMar>
              <w:top w:type="dxa" w:w="55"/>
              <w:left w:type="dxa" w:w="85"/>
              <w:bottom w:type="dxa" w:w="55"/>
              <w:right w:type="dxa" w:w="85"/>
            </w:tcMar>
          </w:tcPr>
          <w:p>
            <w:pPr>
              <w:spacing w:after="0"/>
              <w:jc w:val="left"/>
            </w:pPr>
            <w:r>
              <w:rPr>
                <w:sz w:val="18"/>
                <w:szCs w:val="18"/>
              </w:rPr>
              <w:t xml:space="preserve">Directa por PROTOTIPO probabilístico: se evalúa la densidad de cada componente y se asigna al de mayor probabilidad posterior (predict_proba).</w:t>
            </w:r>
          </w:p>
        </w:tc>
      </w:tr>
    </w:tbl>
    <w:p>
      <w:r>
        <w:br w:type="page"/>
      </w:r>
    </w:p>
    <w:p>
      <w:pPr>
        <w:pStyle w:val="Heading1"/>
        <w:spacing w:after="120" w:before="260"/>
      </w:pPr>
      <w:r>
        <w:rPr>
          <w:b/>
          <w:bCs/>
          <w:color w:val="1F4E79"/>
        </w:rPr>
        <w:t xml:space="preserve">10. Figuras del barrido y del ganador</w:t>
      </w:r>
    </w:p>
    <w:p>
      <w:pPr>
        <w:spacing w:after="60" w:before="12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85975"/>
                    </a:xfrm>
                    <a:prstGeom prst="rect">
                      <a:avLst/>
                    </a:prstGeom>
                  </pic:spPr>
                </pic:pic>
              </a:graphicData>
            </a:graphic>
          </wp:inline>
        </w:drawing>
      </w:r>
    </w:p>
    <w:p>
      <w:pPr>
        <w:spacing w:after="200"/>
        <w:jc w:val="center"/>
      </w:pPr>
      <w:r>
        <w:rPr>
          <w:i/>
          <w:iCs/>
          <w:color w:val="555555"/>
          <w:sz w:val="17"/>
          <w:szCs w:val="17"/>
        </w:rPr>
        <w:t xml:space="preserve">Izquierda: dispersión intra-grupo W(k) sobre Gower, medida comparable entre algoritmos. Derecha: silueta sobre Gower frente a k, con las dos líneas base como referencia horizontal.</w:t>
      </w:r>
    </w:p>
    <w:p>
      <w:pPr>
        <w:spacing w:after="110"/>
      </w:pPr>
      <w:r>
        <w:rPr>
          <w:sz w:val="21"/>
          <w:szCs w:val="21"/>
        </w:rPr>
        <w:t xml:space="preserve">En el panel derecho se aprecia que ninguna curva alcanza la línea base por modalidad, y que la curva de PAM sigue ascendiendo en k = 10, el borde del barrido fijado por el protocolo.</w:t>
      </w:r>
    </w:p>
    <w:p>
      <w:pPr>
        <w:spacing w:after="6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color w:val="555555"/>
          <w:sz w:val="17"/>
          <w:szCs w:val="17"/>
        </w:rPr>
        <w:t xml:space="preserve">Gráfico de k-distancias con min_samples = 10: distancia de Gower al décimo vecino más cercano, ordenada. De aquí se obtuvo el rango de eps barrido para DBSCAN.</w:t>
      </w:r>
    </w:p>
    <w:p>
      <w:pPr>
        <w:spacing w:after="60" w:before="120"/>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724400"/>
                    </a:xfrm>
                    <a:prstGeom prst="rect">
                      <a:avLst/>
                    </a:prstGeom>
                  </pic:spPr>
                </pic:pic>
              </a:graphicData>
            </a:graphic>
          </wp:inline>
        </w:drawing>
      </w:r>
    </w:p>
    <w:p>
      <w:pPr>
        <w:spacing w:after="200"/>
        <w:jc w:val="center"/>
      </w:pPr>
      <w:r>
        <w:rPr>
          <w:i/>
          <w:iCs/>
          <w:color w:val="555555"/>
          <w:sz w:val="17"/>
          <w:szCs w:val="17"/>
        </w:rPr>
        <w:t xml:space="preserve">Silueta por grupo del ganador (K-Medoids (PAM), k = 10) sobre el conjunto completo.</w:t>
      </w:r>
    </w:p>
    <w:p>
      <w:pPr>
        <w:spacing w:after="60" w:before="120"/>
        <w:jc w:val="center"/>
      </w:pPr>
      <w:r>
        <w:drawing>
          <wp:inline distT="0" distB="0" distL="0" distR="0">
            <wp:extent cx="5905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i/>
          <w:iCs/>
          <w:color w:val="555555"/>
          <w:sz w:val="17"/>
          <w:szCs w:val="17"/>
        </w:rPr>
        <w:t xml:space="preserve">Proyección MDS sobre Gower de los grupos del ganador, submuestra estratificada.</w:t>
      </w:r>
    </w:p>
    <w:p>
      <w:r>
        <w:br w:type="page"/>
      </w:r>
    </w:p>
    <w:p>
      <w:pPr>
        <w:pStyle w:val="Heading1"/>
        <w:spacing w:after="120" w:before="260"/>
      </w:pPr>
      <w:r>
        <w:rPr>
          <w:b/>
          <w:bCs/>
          <w:color w:val="1F4E79"/>
        </w:rPr>
        <w:t xml:space="preserve">11. Limitaciones y desviaciones declaradas</w:t>
      </w:r>
    </w:p>
    <w:p>
      <w:pPr>
        <w:pStyle w:val="ListParagraph"/>
        <w:numPr>
          <w:ilvl w:val="0"/>
          <w:numId w:val="2"/>
        </w:numPr>
        <w:spacing w:after="70"/>
      </w:pPr>
      <w:r>
        <w:rPr>
          <w:sz w:val="21"/>
          <w:szCs w:val="21"/>
        </w:rPr>
        <w:t xml:space="preserve">scikit-learn-extra no se puede importar en este entorno: falla con «ValueError: numpy.dtype size changed, may indicate binary incompatibility. Expected 96 from C header, got 88 from PyObject», por estar compilado contra numpy 1.x mientras el entorno tiene numpy 2.4.6. En consecuencia, PAM está implementado sobre la matriz de Gower con inicialización BUILD seguida de refinamiento alternante. No es el SWAP exhaustivo de PAM clásico, que es O(k(n−k)²) por iteración e intratable con n = 13 848. Los medoides siguen siendo procesos reales del conjunto, como exige el protocolo.</w:t>
      </w:r>
    </w:p>
    <w:p>
      <w:pPr>
        <w:pStyle w:val="ListParagraph"/>
        <w:numPr>
          <w:ilvl w:val="0"/>
          <w:numId w:val="2"/>
        </w:numPr>
        <w:spacing w:after="70"/>
      </w:pPr>
      <w:r>
        <w:rPr>
          <w:sz w:val="21"/>
          <w:szCs w:val="21"/>
        </w:rPr>
        <w:t xml:space="preserve">La matriz de Gower se almacena en float32 (0,71 GB) en lugar de float64 (1,43 GB) por la memoria física disponible en la máquina. Se convierte a float64 sólo donde SciPy lo exige, en el cálculo del enlace jerárquico.</w:t>
      </w:r>
    </w:p>
    <w:p>
      <w:pPr>
        <w:pStyle w:val="ListParagraph"/>
        <w:numPr>
          <w:ilvl w:val="0"/>
          <w:numId w:val="2"/>
        </w:numPr>
        <w:spacing w:after="70"/>
      </w:pPr>
      <w:r>
        <w:rPr>
          <w:sz w:val="21"/>
          <w:szCs w:val="21"/>
        </w:rPr>
        <w:t xml:space="preserve">La proyección MDS se calcula sobre una submuestra estratificada de 2 000 procesos. SMACOF es O(n²) por iteración y no resulta viable con n = 13 848. Es únicamente una figura: ninguna métrica de la Tabla 6 depende de ella.</w:t>
      </w:r>
    </w:p>
    <w:p>
      <w:pPr>
        <w:pStyle w:val="ListParagraph"/>
        <w:numPr>
          <w:ilvl w:val="0"/>
          <w:numId w:val="2"/>
        </w:numPr>
        <w:spacing w:after="70"/>
      </w:pPr>
      <w:r>
        <w:rPr>
          <w:sz w:val="21"/>
          <w:szCs w:val="21"/>
        </w:rPr>
        <w:t xml:space="preserve">Davies-Bouldin y Calinski-Harabasz se calculan sobre la matriz codificada con distancia euclidiana, no sobre Gower, porque sus implementaciones no aceptan una matriz precalculada. Se reportan como criterio secundario.</w:t>
      </w:r>
    </w:p>
    <w:p>
      <w:pPr>
        <w:pStyle w:val="ListParagraph"/>
        <w:numPr>
          <w:ilvl w:val="0"/>
          <w:numId w:val="2"/>
        </w:numPr>
        <w:spacing w:after="70"/>
      </w:pPr>
      <w:r>
        <w:rPr>
          <w:sz w:val="21"/>
          <w:szCs w:val="21"/>
        </w:rPr>
        <w:t xml:space="preserve">812 procesos activos (5,5 % del total) quedaron fuera de la matriz por datos faltantes: 508 sin ítems y 304 sin provincia del comprador. No se imputó ningún valor.</w:t>
      </w:r>
    </w:p>
    <w:p>
      <w:pPr>
        <w:pStyle w:val="ListParagraph"/>
        <w:numPr>
          <w:ilvl w:val="0"/>
          <w:numId w:val="2"/>
        </w:numPr>
        <w:spacing w:after="70"/>
      </w:pPr>
      <w:r>
        <w:rPr>
          <w:sz w:val="21"/>
          <w:szCs w:val="21"/>
        </w:rPr>
        <w:t xml:space="preserve">La categoría «Catálogo Electrónico» no aparece entre los procesos activos, de modo que la regla de colapsar los convenios de catálogo se aplicó pero resulta inocua sobre esta matriz.</w:t>
      </w:r>
    </w:p>
    <w:p>
      <w:pPr>
        <w:pStyle w:val="ListParagraph"/>
        <w:numPr>
          <w:ilvl w:val="0"/>
          <w:numId w:val="2"/>
        </w:numPr>
        <w:spacing w:after="70"/>
      </w:pPr>
      <w:r>
        <w:rPr>
          <w:sz w:val="21"/>
          <w:szCs w:val="21"/>
        </w:rPr>
        <w:t xml:space="preserve">La elección del proveedor consultante no venía fijada por el enunciado. Se seleccionó tras un diagnóstico comparativo de dieciséis candidatos, documentado en scripts/diag_proveedor.py, priorizando aquel cuyas variables de interacción resultaran más discriminantes sobre el universo activo.</w:t>
      </w:r>
    </w:p>
    <w:p>
      <w:pPr>
        <w:pStyle w:val="ListParagraph"/>
        <w:numPr>
          <w:ilvl w:val="0"/>
          <w:numId w:val="2"/>
        </w:numPr>
        <w:spacing w:after="70"/>
      </w:pPr>
      <w:r>
        <w:rPr>
          <w:sz w:val="21"/>
          <w:szCs w:val="21"/>
        </w:rPr>
        <w:t xml:space="preserve">El barrido de k está fijado en 3–10 por el protocolo. La silueta de PAM aún crecía en k = 10, por lo que su óptimo podría situarse fuera del rango explorado; no se amplió para no alterar el protocolo.</w:t>
      </w:r>
    </w:p>
    <w:p>
      <w:pPr>
        <w:pStyle w:val="Heading1"/>
        <w:spacing w:after="120" w:before="260"/>
      </w:pPr>
      <w:r>
        <w:rPr>
          <w:b/>
          <w:bCs/>
          <w:color w:val="1F4E79"/>
        </w:rPr>
        <w:t xml:space="preserve">12. Reproducibilidad</w:t>
      </w:r>
    </w:p>
    <w:p>
      <w:pPr>
        <w:spacing w:after="110"/>
      </w:pPr>
      <w:r>
        <w:rPr>
          <w:sz w:val="21"/>
          <w:szCs w:val="21"/>
        </w:rPr>
        <w:t xml:space="preserve">Semilla random_state = 42 en todos los ajustes. Entorno virtual con Python 3.11.15.</w:t>
      </w:r>
    </w:p>
    <w:tbl>
      <w:tblPr>
        <w:tblW w:type="dxa" w:w="9360"/>
        <w:tblBorders>
          <w:top w:val="single" w:color="AAAAAA" w:sz="4"/>
          <w:left w:val="none"/>
          <w:bottom w:val="single" w:color="AAAAAA" w:sz="4"/>
          <w:right w:val="none"/>
          <w:insideH w:val="single" w:color="DDDDDD" w:sz="2"/>
          <w:insideV w:val="none"/>
        </w:tblBorders>
      </w:tblPr>
      <w:tblGrid>
        <w:gridCol w:w="3200"/>
        <w:gridCol w:w="6160"/>
      </w:tblGrid>
      <w:tr>
        <w:trPr>
          <w:tblHeader/>
        </w:trPr>
        <w:tc>
          <w:tcPr>
            <w:tcW w:type="dxa" w:w="3200"/>
            <w:shd w:fill="DCE6F1" w:color="auto" w:val="clear"/>
            <w:tcMar>
              <w:top w:type="dxa" w:w="55"/>
              <w:left w:type="dxa" w:w="85"/>
              <w:bottom w:type="dxa" w:w="55"/>
              <w:right w:type="dxa" w:w="85"/>
            </w:tcMar>
          </w:tcPr>
          <w:p>
            <w:pPr>
              <w:spacing w:after="0"/>
              <w:jc w:val="left"/>
            </w:pPr>
            <w:r>
              <w:rPr>
                <w:b/>
                <w:bCs/>
                <w:sz w:val="18"/>
                <w:szCs w:val="18"/>
              </w:rPr>
              <w:t xml:space="preserve">Componente</w:t>
            </w:r>
          </w:p>
        </w:tc>
        <w:tc>
          <w:tcPr>
            <w:tcW w:type="dxa" w:w="6160"/>
            <w:shd w:fill="DCE6F1" w:color="auto" w:val="clear"/>
            <w:tcMar>
              <w:top w:type="dxa" w:w="55"/>
              <w:left w:type="dxa" w:w="85"/>
              <w:bottom w:type="dxa" w:w="55"/>
              <w:right w:type="dxa" w:w="85"/>
            </w:tcMar>
          </w:tcPr>
          <w:p>
            <w:pPr>
              <w:spacing w:after="0"/>
              <w:jc w:val="left"/>
            </w:pPr>
            <w:r>
              <w:rPr>
                <w:b/>
                <w:bCs/>
                <w:sz w:val="18"/>
                <w:szCs w:val="18"/>
              </w:rPr>
              <w:t xml:space="preserve">Versión</w:t>
            </w:r>
          </w:p>
        </w:tc>
      </w:tr>
      <w:tr>
        <w:tc>
          <w:tcPr>
            <w:tcW w:type="dxa" w:w="3200"/>
            <w:tcMar>
              <w:top w:type="dxa" w:w="55"/>
              <w:left w:type="dxa" w:w="85"/>
              <w:bottom w:type="dxa" w:w="55"/>
              <w:right w:type="dxa" w:w="85"/>
            </w:tcMar>
          </w:tcPr>
          <w:p>
            <w:pPr>
              <w:spacing w:after="0"/>
              <w:jc w:val="left"/>
            </w:pPr>
            <w:r>
              <w:rPr>
                <w:sz w:val="18"/>
                <w:szCs w:val="18"/>
              </w:rPr>
              <w:t xml:space="preserve">Python</w:t>
            </w:r>
          </w:p>
        </w:tc>
        <w:tc>
          <w:tcPr>
            <w:tcW w:type="dxa" w:w="6160"/>
            <w:tcMar>
              <w:top w:type="dxa" w:w="55"/>
              <w:left w:type="dxa" w:w="85"/>
              <w:bottom w:type="dxa" w:w="55"/>
              <w:right w:type="dxa" w:w="85"/>
            </w:tcMar>
          </w:tcPr>
          <w:p>
            <w:pPr>
              <w:spacing w:after="0"/>
              <w:jc w:val="left"/>
            </w:pPr>
            <w:r>
              <w:rPr>
                <w:sz w:val="18"/>
                <w:szCs w:val="18"/>
              </w:rPr>
              <w:t xml:space="preserve">3.11.15</w:t>
            </w:r>
          </w:p>
        </w:tc>
      </w:tr>
      <w:tr>
        <w:tc>
          <w:tcPr>
            <w:tcW w:type="dxa" w:w="3200"/>
            <w:tcMar>
              <w:top w:type="dxa" w:w="55"/>
              <w:left w:type="dxa" w:w="85"/>
              <w:bottom w:type="dxa" w:w="55"/>
              <w:right w:type="dxa" w:w="85"/>
            </w:tcMar>
          </w:tcPr>
          <w:p>
            <w:pPr>
              <w:spacing w:after="0"/>
              <w:jc w:val="left"/>
            </w:pPr>
            <w:r>
              <w:rPr>
                <w:sz w:val="18"/>
                <w:szCs w:val="18"/>
              </w:rPr>
              <w:t xml:space="preserve">numpy</w:t>
            </w:r>
          </w:p>
        </w:tc>
        <w:tc>
          <w:tcPr>
            <w:tcW w:type="dxa" w:w="6160"/>
            <w:tcMar>
              <w:top w:type="dxa" w:w="55"/>
              <w:left w:type="dxa" w:w="85"/>
              <w:bottom w:type="dxa" w:w="55"/>
              <w:right w:type="dxa" w:w="85"/>
            </w:tcMar>
          </w:tcPr>
          <w:p>
            <w:pPr>
              <w:spacing w:after="0"/>
              <w:jc w:val="left"/>
            </w:pPr>
            <w:r>
              <w:rPr>
                <w:sz w:val="18"/>
                <w:szCs w:val="18"/>
              </w:rPr>
              <w:t xml:space="preserve">2.4.6</w:t>
            </w:r>
          </w:p>
        </w:tc>
      </w:tr>
      <w:tr>
        <w:tc>
          <w:tcPr>
            <w:tcW w:type="dxa" w:w="3200"/>
            <w:tcMar>
              <w:top w:type="dxa" w:w="55"/>
              <w:left w:type="dxa" w:w="85"/>
              <w:bottom w:type="dxa" w:w="55"/>
              <w:right w:type="dxa" w:w="85"/>
            </w:tcMar>
          </w:tcPr>
          <w:p>
            <w:pPr>
              <w:spacing w:after="0"/>
              <w:jc w:val="left"/>
            </w:pPr>
            <w:r>
              <w:rPr>
                <w:sz w:val="18"/>
                <w:szCs w:val="18"/>
              </w:rPr>
              <w:t xml:space="preserve">pandas</w:t>
            </w:r>
          </w:p>
        </w:tc>
        <w:tc>
          <w:tcPr>
            <w:tcW w:type="dxa" w:w="6160"/>
            <w:tcMar>
              <w:top w:type="dxa" w:w="55"/>
              <w:left w:type="dxa" w:w="85"/>
              <w:bottom w:type="dxa" w:w="55"/>
              <w:right w:type="dxa" w:w="85"/>
            </w:tcMar>
          </w:tcPr>
          <w:p>
            <w:pPr>
              <w:spacing w:after="0"/>
              <w:jc w:val="left"/>
            </w:pPr>
            <w:r>
              <w:rPr>
                <w:sz w:val="18"/>
                <w:szCs w:val="18"/>
              </w:rPr>
              <w:t xml:space="preserve">3.0.5</w:t>
            </w:r>
          </w:p>
        </w:tc>
      </w:tr>
      <w:tr>
        <w:tc>
          <w:tcPr>
            <w:tcW w:type="dxa" w:w="3200"/>
            <w:tcMar>
              <w:top w:type="dxa" w:w="55"/>
              <w:left w:type="dxa" w:w="85"/>
              <w:bottom w:type="dxa" w:w="55"/>
              <w:right w:type="dxa" w:w="85"/>
            </w:tcMar>
          </w:tcPr>
          <w:p>
            <w:pPr>
              <w:spacing w:after="0"/>
              <w:jc w:val="left"/>
            </w:pPr>
            <w:r>
              <w:rPr>
                <w:sz w:val="18"/>
                <w:szCs w:val="18"/>
              </w:rPr>
              <w:t xml:space="preserve">scipy</w:t>
            </w:r>
          </w:p>
        </w:tc>
        <w:tc>
          <w:tcPr>
            <w:tcW w:type="dxa" w:w="6160"/>
            <w:tcMar>
              <w:top w:type="dxa" w:w="55"/>
              <w:left w:type="dxa" w:w="85"/>
              <w:bottom w:type="dxa" w:w="55"/>
              <w:right w:type="dxa" w:w="85"/>
            </w:tcMar>
          </w:tcPr>
          <w:p>
            <w:pPr>
              <w:spacing w:after="0"/>
              <w:jc w:val="left"/>
            </w:pPr>
            <w:r>
              <w:rPr>
                <w:sz w:val="18"/>
                <w:szCs w:val="18"/>
              </w:rPr>
              <w:t xml:space="preserve">1.17.1</w:t>
            </w:r>
          </w:p>
        </w:tc>
      </w:tr>
      <w:tr>
        <w:tc>
          <w:tcPr>
            <w:tcW w:type="dxa" w:w="3200"/>
            <w:tcMar>
              <w:top w:type="dxa" w:w="55"/>
              <w:left w:type="dxa" w:w="85"/>
              <w:bottom w:type="dxa" w:w="55"/>
              <w:right w:type="dxa" w:w="85"/>
            </w:tcMar>
          </w:tcPr>
          <w:p>
            <w:pPr>
              <w:spacing w:after="0"/>
              <w:jc w:val="left"/>
            </w:pPr>
            <w:r>
              <w:rPr>
                <w:sz w:val="18"/>
                <w:szCs w:val="18"/>
              </w:rPr>
              <w:t xml:space="preserve">scikit-learn</w:t>
            </w:r>
          </w:p>
        </w:tc>
        <w:tc>
          <w:tcPr>
            <w:tcW w:type="dxa" w:w="6160"/>
            <w:tcMar>
              <w:top w:type="dxa" w:w="55"/>
              <w:left w:type="dxa" w:w="85"/>
              <w:bottom w:type="dxa" w:w="55"/>
              <w:right w:type="dxa" w:w="85"/>
            </w:tcMar>
          </w:tcPr>
          <w:p>
            <w:pPr>
              <w:spacing w:after="0"/>
              <w:jc w:val="left"/>
            </w:pPr>
            <w:r>
              <w:rPr>
                <w:sz w:val="18"/>
                <w:szCs w:val="18"/>
              </w:rPr>
              <w:t xml:space="preserve">1.9.0</w:t>
            </w:r>
          </w:p>
        </w:tc>
      </w:tr>
      <w:tr>
        <w:tc>
          <w:tcPr>
            <w:tcW w:type="dxa" w:w="3200"/>
            <w:tcMar>
              <w:top w:type="dxa" w:w="55"/>
              <w:left w:type="dxa" w:w="85"/>
              <w:bottom w:type="dxa" w:w="55"/>
              <w:right w:type="dxa" w:w="85"/>
            </w:tcMar>
          </w:tcPr>
          <w:p>
            <w:pPr>
              <w:spacing w:after="0"/>
              <w:jc w:val="left"/>
            </w:pPr>
            <w:r>
              <w:rPr>
                <w:sz w:val="18"/>
                <w:szCs w:val="18"/>
              </w:rPr>
              <w:t xml:space="preserve">kmodes</w:t>
            </w:r>
          </w:p>
        </w:tc>
        <w:tc>
          <w:tcPr>
            <w:tcW w:type="dxa" w:w="6160"/>
            <w:tcMar>
              <w:top w:type="dxa" w:w="55"/>
              <w:left w:type="dxa" w:w="85"/>
              <w:bottom w:type="dxa" w:w="55"/>
              <w:right w:type="dxa" w:w="85"/>
            </w:tcMar>
          </w:tcPr>
          <w:p>
            <w:pPr>
              <w:spacing w:after="0"/>
              <w:jc w:val="left"/>
            </w:pPr>
            <w:r>
              <w:rPr>
                <w:sz w:val="18"/>
                <w:szCs w:val="18"/>
              </w:rPr>
              <w:t xml:space="preserve">0.12.2</w:t>
            </w:r>
          </w:p>
        </w:tc>
      </w:tr>
      <w:tr>
        <w:tc>
          <w:tcPr>
            <w:tcW w:type="dxa" w:w="3200"/>
            <w:tcMar>
              <w:top w:type="dxa" w:w="55"/>
              <w:left w:type="dxa" w:w="85"/>
              <w:bottom w:type="dxa" w:w="55"/>
              <w:right w:type="dxa" w:w="85"/>
            </w:tcMar>
          </w:tcPr>
          <w:p>
            <w:pPr>
              <w:spacing w:after="0"/>
              <w:jc w:val="left"/>
            </w:pPr>
            <w:r>
              <w:rPr>
                <w:sz w:val="18"/>
                <w:szCs w:val="18"/>
              </w:rPr>
              <w:t xml:space="preserve">matplotlib</w:t>
            </w:r>
          </w:p>
        </w:tc>
        <w:tc>
          <w:tcPr>
            <w:tcW w:type="dxa" w:w="6160"/>
            <w:tcMar>
              <w:top w:type="dxa" w:w="55"/>
              <w:left w:type="dxa" w:w="85"/>
              <w:bottom w:type="dxa" w:w="55"/>
              <w:right w:type="dxa" w:w="85"/>
            </w:tcMar>
          </w:tcPr>
          <w:p>
            <w:pPr>
              <w:spacing w:after="0"/>
              <w:jc w:val="left"/>
            </w:pPr>
            <w:r>
              <w:rPr>
                <w:sz w:val="18"/>
                <w:szCs w:val="18"/>
              </w:rPr>
              <w:t xml:space="preserve">3.11.1</w:t>
            </w:r>
          </w:p>
        </w:tc>
      </w:tr>
      <w:tr>
        <w:tc>
          <w:tcPr>
            <w:tcW w:type="dxa" w:w="3200"/>
            <w:tcMar>
              <w:top w:type="dxa" w:w="55"/>
              <w:left w:type="dxa" w:w="85"/>
              <w:bottom w:type="dxa" w:w="55"/>
              <w:right w:type="dxa" w:w="85"/>
            </w:tcMar>
          </w:tcPr>
          <w:p>
            <w:pPr>
              <w:spacing w:after="0"/>
              <w:jc w:val="left"/>
            </w:pPr>
            <w:r>
              <w:rPr>
                <w:sz w:val="18"/>
                <w:szCs w:val="18"/>
              </w:rPr>
              <w:t xml:space="preserve">scikit-learn-extra</w:t>
            </w:r>
          </w:p>
        </w:tc>
        <w:tc>
          <w:tcPr>
            <w:tcW w:type="dxa" w:w="6160"/>
            <w:tcMar>
              <w:top w:type="dxa" w:w="55"/>
              <w:left w:type="dxa" w:w="85"/>
              <w:bottom w:type="dxa" w:w="55"/>
              <w:right w:type="dxa" w:w="85"/>
            </w:tcMar>
          </w:tcPr>
          <w:p>
            <w:pPr>
              <w:spacing w:after="0"/>
              <w:jc w:val="left"/>
            </w:pPr>
            <w:r>
              <w:rPr>
                <w:sz w:val="18"/>
                <w:szCs w:val="18"/>
              </w:rPr>
              <w:t xml:space="preserve">instalado pero NO importable (ver sección 11)</w:t>
            </w:r>
          </w:p>
        </w:tc>
      </w:tr>
    </w:tbl>
    <w:p>
      <w:pPr>
        <w:pStyle w:val="Heading2"/>
        <w:spacing w:after="120" w:before="260"/>
      </w:pPr>
      <w:r>
        <w:rPr>
          <w:b/>
          <w:bCs/>
          <w:color w:val="1F4E79"/>
        </w:rPr>
        <w:t xml:space="preserve">12.1 Tiempos de cómputo</w:t>
      </w:r>
    </w:p>
    <w:tbl>
      <w:tblPr>
        <w:tblW w:type="dxa" w:w="9360"/>
        <w:tblBorders>
          <w:top w:val="single" w:color="AAAAAA" w:sz="4"/>
          <w:left w:val="none"/>
          <w:bottom w:val="single" w:color="AAAAAA" w:sz="4"/>
          <w:right w:val="none"/>
          <w:insideH w:val="single" w:color="DDDDDD" w:sz="2"/>
          <w:insideV w:val="none"/>
        </w:tblBorders>
      </w:tblPr>
      <w:tblGrid>
        <w:gridCol w:w="6160"/>
        <w:gridCol w:w="3200"/>
      </w:tblGrid>
      <w:tr>
        <w:trPr>
          <w:tblHeader/>
        </w:trPr>
        <w:tc>
          <w:tcPr>
            <w:tcW w:type="dxa" w:w="6160"/>
            <w:shd w:fill="DCE6F1" w:color="auto" w:val="clear"/>
            <w:tcMar>
              <w:top w:type="dxa" w:w="55"/>
              <w:left w:type="dxa" w:w="85"/>
              <w:bottom w:type="dxa" w:w="55"/>
              <w:right w:type="dxa" w:w="85"/>
            </w:tcMar>
          </w:tcPr>
          <w:p>
            <w:pPr>
              <w:spacing w:after="0"/>
              <w:jc w:val="left"/>
            </w:pPr>
            <w:r>
              <w:rPr>
                <w:b/>
                <w:bCs/>
                <w:sz w:val="18"/>
                <w:szCs w:val="18"/>
              </w:rPr>
              <w:t xml:space="preserve">Etapa</w:t>
            </w:r>
          </w:p>
        </w:tc>
        <w:tc>
          <w:tcPr>
            <w:tcW w:type="dxa" w:w="3200"/>
            <w:shd w:fill="DCE6F1" w:color="auto" w:val="clear"/>
            <w:tcMar>
              <w:top w:type="dxa" w:w="55"/>
              <w:left w:type="dxa" w:w="85"/>
              <w:bottom w:type="dxa" w:w="55"/>
              <w:right w:type="dxa" w:w="85"/>
            </w:tcMar>
          </w:tcPr>
          <w:p>
            <w:pPr>
              <w:spacing w:after="0"/>
              <w:jc w:val="right"/>
            </w:pPr>
            <w:r>
              <w:rPr>
                <w:b/>
                <w:bCs/>
                <w:sz w:val="18"/>
                <w:szCs w:val="18"/>
              </w:rPr>
              <w:t xml:space="preserve">Segundos</w:t>
            </w:r>
          </w:p>
        </w:tc>
      </w:tr>
      <w:tr>
        <w:tc>
          <w:tcPr>
            <w:tcW w:type="dxa" w:w="6160"/>
            <w:tcMar>
              <w:top w:type="dxa" w:w="55"/>
              <w:left w:type="dxa" w:w="85"/>
              <w:bottom w:type="dxa" w:w="55"/>
              <w:right w:type="dxa" w:w="85"/>
            </w:tcMar>
          </w:tcPr>
          <w:p>
            <w:pPr>
              <w:spacing w:after="0"/>
              <w:jc w:val="left"/>
            </w:pPr>
            <w:r>
              <w:rPr>
                <w:sz w:val="18"/>
                <w:szCs w:val="18"/>
              </w:rPr>
              <w:t xml:space="preserve">preprocesamiento</w:t>
            </w:r>
          </w:p>
        </w:tc>
        <w:tc>
          <w:tcPr>
            <w:tcW w:type="dxa" w:w="3200"/>
            <w:tcMar>
              <w:top w:type="dxa" w:w="55"/>
              <w:left w:type="dxa" w:w="85"/>
              <w:bottom w:type="dxa" w:w="55"/>
              <w:right w:type="dxa" w:w="85"/>
            </w:tcMar>
          </w:tcPr>
          <w:p>
            <w:pPr>
              <w:spacing w:after="0"/>
              <w:jc w:val="right"/>
            </w:pPr>
            <w:r>
              <w:rPr>
                <w:sz w:val="18"/>
                <w:szCs w:val="18"/>
              </w:rPr>
              <w:t xml:space="preserve">0,09</w:t>
            </w:r>
          </w:p>
        </w:tc>
      </w:tr>
      <w:tr>
        <w:tc>
          <w:tcPr>
            <w:tcW w:type="dxa" w:w="6160"/>
            <w:tcMar>
              <w:top w:type="dxa" w:w="55"/>
              <w:left w:type="dxa" w:w="85"/>
              <w:bottom w:type="dxa" w:w="55"/>
              <w:right w:type="dxa" w:w="85"/>
            </w:tcMar>
          </w:tcPr>
          <w:p>
            <w:pPr>
              <w:spacing w:after="0"/>
              <w:jc w:val="left"/>
            </w:pPr>
            <w:r>
              <w:rPr>
                <w:sz w:val="18"/>
                <w:szCs w:val="18"/>
              </w:rPr>
              <w:t xml:space="preserve">gower</w:t>
            </w:r>
          </w:p>
        </w:tc>
        <w:tc>
          <w:tcPr>
            <w:tcW w:type="dxa" w:w="3200"/>
            <w:tcMar>
              <w:top w:type="dxa" w:w="55"/>
              <w:left w:type="dxa" w:w="85"/>
              <w:bottom w:type="dxa" w:w="55"/>
              <w:right w:type="dxa" w:w="85"/>
            </w:tcMar>
          </w:tcPr>
          <w:p>
            <w:pPr>
              <w:spacing w:after="0"/>
              <w:jc w:val="right"/>
            </w:pPr>
            <w:r>
              <w:rPr>
                <w:sz w:val="18"/>
                <w:szCs w:val="18"/>
              </w:rPr>
              <w:t xml:space="preserve">3,81</w:t>
            </w:r>
          </w:p>
        </w:tc>
      </w:tr>
      <w:tr>
        <w:tc>
          <w:tcPr>
            <w:tcW w:type="dxa" w:w="6160"/>
            <w:tcMar>
              <w:top w:type="dxa" w:w="55"/>
              <w:left w:type="dxa" w:w="85"/>
              <w:bottom w:type="dxa" w:w="55"/>
              <w:right w:type="dxa" w:w="85"/>
            </w:tcMar>
          </w:tcPr>
          <w:p>
            <w:pPr>
              <w:spacing w:after="0"/>
              <w:jc w:val="left"/>
            </w:pPr>
            <w:r>
              <w:rPr>
                <w:sz w:val="18"/>
                <w:szCs w:val="18"/>
              </w:rPr>
              <w:t xml:space="preserve">kprototypes_barrido</w:t>
            </w:r>
          </w:p>
        </w:tc>
        <w:tc>
          <w:tcPr>
            <w:tcW w:type="dxa" w:w="3200"/>
            <w:tcMar>
              <w:top w:type="dxa" w:w="55"/>
              <w:left w:type="dxa" w:w="85"/>
              <w:bottom w:type="dxa" w:w="55"/>
              <w:right w:type="dxa" w:w="85"/>
            </w:tcMar>
          </w:tcPr>
          <w:p>
            <w:pPr>
              <w:spacing w:after="0"/>
              <w:jc w:val="right"/>
            </w:pPr>
            <w:r>
              <w:rPr>
                <w:sz w:val="18"/>
                <w:szCs w:val="18"/>
              </w:rPr>
              <w:t xml:space="preserve">731,75</w:t>
            </w:r>
          </w:p>
        </w:tc>
      </w:tr>
      <w:tr>
        <w:tc>
          <w:tcPr>
            <w:tcW w:type="dxa" w:w="6160"/>
            <w:tcMar>
              <w:top w:type="dxa" w:w="55"/>
              <w:left w:type="dxa" w:w="85"/>
              <w:bottom w:type="dxa" w:w="55"/>
              <w:right w:type="dxa" w:w="85"/>
            </w:tcMar>
          </w:tcPr>
          <w:p>
            <w:pPr>
              <w:spacing w:after="0"/>
              <w:jc w:val="left"/>
            </w:pPr>
            <w:r>
              <w:rPr>
                <w:sz w:val="18"/>
                <w:szCs w:val="18"/>
              </w:rPr>
              <w:t xml:space="preserve">kmeans_barrido</w:t>
            </w:r>
          </w:p>
        </w:tc>
        <w:tc>
          <w:tcPr>
            <w:tcW w:type="dxa" w:w="3200"/>
            <w:tcMar>
              <w:top w:type="dxa" w:w="55"/>
              <w:left w:type="dxa" w:w="85"/>
              <w:bottom w:type="dxa" w:w="55"/>
              <w:right w:type="dxa" w:w="85"/>
            </w:tcMar>
          </w:tcPr>
          <w:p>
            <w:pPr>
              <w:spacing w:after="0"/>
              <w:jc w:val="right"/>
            </w:pPr>
            <w:r>
              <w:rPr>
                <w:sz w:val="18"/>
                <w:szCs w:val="18"/>
              </w:rPr>
              <w:t xml:space="preserve">10,49</w:t>
            </w:r>
          </w:p>
        </w:tc>
      </w:tr>
      <w:tr>
        <w:tc>
          <w:tcPr>
            <w:tcW w:type="dxa" w:w="6160"/>
            <w:tcMar>
              <w:top w:type="dxa" w:w="55"/>
              <w:left w:type="dxa" w:w="85"/>
              <w:bottom w:type="dxa" w:w="55"/>
              <w:right w:type="dxa" w:w="85"/>
            </w:tcMar>
          </w:tcPr>
          <w:p>
            <w:pPr>
              <w:spacing w:after="0"/>
              <w:jc w:val="left"/>
            </w:pPr>
            <w:r>
              <w:rPr>
                <w:sz w:val="18"/>
                <w:szCs w:val="18"/>
              </w:rPr>
              <w:t xml:space="preserve">linkage_average</w:t>
            </w:r>
          </w:p>
        </w:tc>
        <w:tc>
          <w:tcPr>
            <w:tcW w:type="dxa" w:w="3200"/>
            <w:tcMar>
              <w:top w:type="dxa" w:w="55"/>
              <w:left w:type="dxa" w:w="85"/>
              <w:bottom w:type="dxa" w:w="55"/>
              <w:right w:type="dxa" w:w="85"/>
            </w:tcMar>
          </w:tcPr>
          <w:p>
            <w:pPr>
              <w:spacing w:after="0"/>
              <w:jc w:val="right"/>
            </w:pPr>
            <w:r>
              <w:rPr>
                <w:sz w:val="18"/>
                <w:szCs w:val="18"/>
              </w:rPr>
              <w:t xml:space="preserve">4,59</w:t>
            </w:r>
          </w:p>
        </w:tc>
      </w:tr>
      <w:tr>
        <w:tc>
          <w:tcPr>
            <w:tcW w:type="dxa" w:w="6160"/>
            <w:tcMar>
              <w:top w:type="dxa" w:w="55"/>
              <w:left w:type="dxa" w:w="85"/>
              <w:bottom w:type="dxa" w:w="55"/>
              <w:right w:type="dxa" w:w="85"/>
            </w:tcMar>
          </w:tcPr>
          <w:p>
            <w:pPr>
              <w:spacing w:after="0"/>
              <w:jc w:val="left"/>
            </w:pPr>
            <w:r>
              <w:rPr>
                <w:sz w:val="18"/>
                <w:szCs w:val="18"/>
              </w:rPr>
              <w:t xml:space="preserve">jerarquico_barrido</w:t>
            </w:r>
          </w:p>
        </w:tc>
        <w:tc>
          <w:tcPr>
            <w:tcW w:type="dxa" w:w="3200"/>
            <w:tcMar>
              <w:top w:type="dxa" w:w="55"/>
              <w:left w:type="dxa" w:w="85"/>
              <w:bottom w:type="dxa" w:w="55"/>
              <w:right w:type="dxa" w:w="85"/>
            </w:tcMar>
          </w:tcPr>
          <w:p>
            <w:pPr>
              <w:spacing w:after="0"/>
              <w:jc w:val="right"/>
            </w:pPr>
            <w:r>
              <w:rPr>
                <w:sz w:val="18"/>
                <w:szCs w:val="18"/>
              </w:rPr>
              <w:t xml:space="preserve">10,69</w:t>
            </w:r>
          </w:p>
        </w:tc>
      </w:tr>
      <w:tr>
        <w:tc>
          <w:tcPr>
            <w:tcW w:type="dxa" w:w="6160"/>
            <w:tcMar>
              <w:top w:type="dxa" w:w="55"/>
              <w:left w:type="dxa" w:w="85"/>
              <w:bottom w:type="dxa" w:w="55"/>
              <w:right w:type="dxa" w:w="85"/>
            </w:tcMar>
          </w:tcPr>
          <w:p>
            <w:pPr>
              <w:spacing w:after="0"/>
              <w:jc w:val="left"/>
            </w:pPr>
            <w:r>
              <w:rPr>
                <w:sz w:val="18"/>
                <w:szCs w:val="18"/>
              </w:rPr>
              <w:t xml:space="preserve">pam_barrido</w:t>
            </w:r>
          </w:p>
        </w:tc>
        <w:tc>
          <w:tcPr>
            <w:tcW w:type="dxa" w:w="3200"/>
            <w:tcMar>
              <w:top w:type="dxa" w:w="55"/>
              <w:left w:type="dxa" w:w="85"/>
              <w:bottom w:type="dxa" w:w="55"/>
              <w:right w:type="dxa" w:w="85"/>
            </w:tcMar>
          </w:tcPr>
          <w:p>
            <w:pPr>
              <w:spacing w:after="0"/>
              <w:jc w:val="right"/>
            </w:pPr>
            <w:r>
              <w:rPr>
                <w:sz w:val="18"/>
                <w:szCs w:val="18"/>
              </w:rPr>
              <w:t xml:space="preserve">53,10</w:t>
            </w:r>
          </w:p>
        </w:tc>
      </w:tr>
      <w:tr>
        <w:tc>
          <w:tcPr>
            <w:tcW w:type="dxa" w:w="6160"/>
            <w:tcMar>
              <w:top w:type="dxa" w:w="55"/>
              <w:left w:type="dxa" w:w="85"/>
              <w:bottom w:type="dxa" w:w="55"/>
              <w:right w:type="dxa" w:w="85"/>
            </w:tcMar>
          </w:tcPr>
          <w:p>
            <w:pPr>
              <w:spacing w:after="0"/>
              <w:jc w:val="left"/>
            </w:pPr>
            <w:r>
              <w:rPr>
                <w:sz w:val="18"/>
                <w:szCs w:val="18"/>
              </w:rPr>
              <w:t xml:space="preserve">k_distancias</w:t>
            </w:r>
          </w:p>
        </w:tc>
        <w:tc>
          <w:tcPr>
            <w:tcW w:type="dxa" w:w="3200"/>
            <w:tcMar>
              <w:top w:type="dxa" w:w="55"/>
              <w:left w:type="dxa" w:w="85"/>
              <w:bottom w:type="dxa" w:w="55"/>
              <w:right w:type="dxa" w:w="85"/>
            </w:tcMar>
          </w:tcPr>
          <w:p>
            <w:pPr>
              <w:spacing w:after="0"/>
              <w:jc w:val="right"/>
            </w:pPr>
            <w:r>
              <w:rPr>
                <w:sz w:val="18"/>
                <w:szCs w:val="18"/>
              </w:rPr>
              <w:t xml:space="preserve">0,73</w:t>
            </w:r>
          </w:p>
        </w:tc>
      </w:tr>
      <w:tr>
        <w:tc>
          <w:tcPr>
            <w:tcW w:type="dxa" w:w="6160"/>
            <w:tcMar>
              <w:top w:type="dxa" w:w="55"/>
              <w:left w:type="dxa" w:w="85"/>
              <w:bottom w:type="dxa" w:w="55"/>
              <w:right w:type="dxa" w:w="85"/>
            </w:tcMar>
          </w:tcPr>
          <w:p>
            <w:pPr>
              <w:spacing w:after="0"/>
              <w:jc w:val="left"/>
            </w:pPr>
            <w:r>
              <w:rPr>
                <w:sz w:val="18"/>
                <w:szCs w:val="18"/>
              </w:rPr>
              <w:t xml:space="preserve">dbscan_barrido</w:t>
            </w:r>
          </w:p>
        </w:tc>
        <w:tc>
          <w:tcPr>
            <w:tcW w:type="dxa" w:w="3200"/>
            <w:tcMar>
              <w:top w:type="dxa" w:w="55"/>
              <w:left w:type="dxa" w:w="85"/>
              <w:bottom w:type="dxa" w:w="55"/>
              <w:right w:type="dxa" w:w="85"/>
            </w:tcMar>
          </w:tcPr>
          <w:p>
            <w:pPr>
              <w:spacing w:after="0"/>
              <w:jc w:val="right"/>
            </w:pPr>
            <w:r>
              <w:rPr>
                <w:sz w:val="18"/>
                <w:szCs w:val="18"/>
              </w:rPr>
              <w:t xml:space="preserve">85,24</w:t>
            </w:r>
          </w:p>
        </w:tc>
      </w:tr>
      <w:tr>
        <w:tc>
          <w:tcPr>
            <w:tcW w:type="dxa" w:w="6160"/>
            <w:tcMar>
              <w:top w:type="dxa" w:w="55"/>
              <w:left w:type="dxa" w:w="85"/>
              <w:bottom w:type="dxa" w:w="55"/>
              <w:right w:type="dxa" w:w="85"/>
            </w:tcMar>
          </w:tcPr>
          <w:p>
            <w:pPr>
              <w:spacing w:after="0"/>
              <w:jc w:val="left"/>
            </w:pPr>
            <w:r>
              <w:rPr>
                <w:sz w:val="18"/>
                <w:szCs w:val="18"/>
              </w:rPr>
              <w:t xml:space="preserve">gmm_barrido</w:t>
            </w:r>
          </w:p>
        </w:tc>
        <w:tc>
          <w:tcPr>
            <w:tcW w:type="dxa" w:w="3200"/>
            <w:tcMar>
              <w:top w:type="dxa" w:w="55"/>
              <w:left w:type="dxa" w:w="85"/>
              <w:bottom w:type="dxa" w:w="55"/>
              <w:right w:type="dxa" w:w="85"/>
            </w:tcMar>
          </w:tcPr>
          <w:p>
            <w:pPr>
              <w:spacing w:after="0"/>
              <w:jc w:val="right"/>
            </w:pPr>
            <w:r>
              <w:rPr>
                <w:sz w:val="18"/>
                <w:szCs w:val="18"/>
              </w:rPr>
              <w:t xml:space="preserve">23,34</w:t>
            </w:r>
          </w:p>
        </w:tc>
      </w:tr>
      <w:tr>
        <w:tc>
          <w:tcPr>
            <w:tcW w:type="dxa" w:w="6160"/>
            <w:tcMar>
              <w:top w:type="dxa" w:w="55"/>
              <w:left w:type="dxa" w:w="85"/>
              <w:bottom w:type="dxa" w:w="55"/>
              <w:right w:type="dxa" w:w="85"/>
            </w:tcMar>
          </w:tcPr>
          <w:p>
            <w:pPr>
              <w:spacing w:after="0"/>
              <w:jc w:val="left"/>
            </w:pPr>
            <w:r>
              <w:rPr>
                <w:sz w:val="18"/>
                <w:szCs w:val="18"/>
              </w:rPr>
              <w:t xml:space="preserve">estabilidad</w:t>
            </w:r>
          </w:p>
        </w:tc>
        <w:tc>
          <w:tcPr>
            <w:tcW w:type="dxa" w:w="3200"/>
            <w:tcMar>
              <w:top w:type="dxa" w:w="55"/>
              <w:left w:type="dxa" w:w="85"/>
              <w:bottom w:type="dxa" w:w="55"/>
              <w:right w:type="dxa" w:w="85"/>
            </w:tcMar>
          </w:tcPr>
          <w:p>
            <w:pPr>
              <w:spacing w:after="0"/>
              <w:jc w:val="right"/>
            </w:pPr>
            <w:r>
              <w:rPr>
                <w:sz w:val="18"/>
                <w:szCs w:val="18"/>
              </w:rPr>
              <w:t xml:space="preserve">1137,37</w:t>
            </w:r>
          </w:p>
        </w:tc>
      </w:tr>
      <w:tr>
        <w:tc>
          <w:tcPr>
            <w:tcW w:type="dxa" w:w="6160"/>
            <w:tcMar>
              <w:top w:type="dxa" w:w="55"/>
              <w:left w:type="dxa" w:w="85"/>
              <w:bottom w:type="dxa" w:w="55"/>
              <w:right w:type="dxa" w:w="85"/>
            </w:tcMar>
          </w:tcPr>
          <w:p>
            <w:pPr>
              <w:spacing w:after="0"/>
              <w:jc w:val="left"/>
            </w:pPr>
            <w:r>
              <w:rPr>
                <w:sz w:val="18"/>
                <w:szCs w:val="18"/>
              </w:rPr>
              <w:t xml:space="preserve">isolation_forest</w:t>
            </w:r>
          </w:p>
        </w:tc>
        <w:tc>
          <w:tcPr>
            <w:tcW w:type="dxa" w:w="3200"/>
            <w:tcMar>
              <w:top w:type="dxa" w:w="55"/>
              <w:left w:type="dxa" w:w="85"/>
              <w:bottom w:type="dxa" w:w="55"/>
              <w:right w:type="dxa" w:w="85"/>
            </w:tcMar>
          </w:tcPr>
          <w:p>
            <w:pPr>
              <w:spacing w:after="0"/>
              <w:jc w:val="right"/>
            </w:pPr>
            <w:r>
              <w:rPr>
                <w:sz w:val="18"/>
                <w:szCs w:val="18"/>
              </w:rPr>
              <w:t xml:space="preserve">2,65</w:t>
            </w:r>
          </w:p>
        </w:tc>
      </w:tr>
      <w:tr>
        <w:tc>
          <w:tcPr>
            <w:tcW w:type="dxa" w:w="6160"/>
            <w:tcMar>
              <w:top w:type="dxa" w:w="55"/>
              <w:left w:type="dxa" w:w="85"/>
              <w:bottom w:type="dxa" w:w="55"/>
              <w:right w:type="dxa" w:w="85"/>
            </w:tcMar>
          </w:tcPr>
          <w:p>
            <w:pPr>
              <w:spacing w:after="0"/>
              <w:jc w:val="left"/>
            </w:pPr>
            <w:r>
              <w:rPr>
                <w:sz w:val="18"/>
                <w:szCs w:val="18"/>
              </w:rPr>
              <w:t xml:space="preserve">mds</w:t>
            </w:r>
          </w:p>
        </w:tc>
        <w:tc>
          <w:tcPr>
            <w:tcW w:type="dxa" w:w="3200"/>
            <w:tcMar>
              <w:top w:type="dxa" w:w="55"/>
              <w:left w:type="dxa" w:w="85"/>
              <w:bottom w:type="dxa" w:w="55"/>
              <w:right w:type="dxa" w:w="85"/>
            </w:tcMar>
          </w:tcPr>
          <w:p>
            <w:pPr>
              <w:spacing w:after="0"/>
              <w:jc w:val="right"/>
            </w:pPr>
            <w:r>
              <w:rPr>
                <w:sz w:val="18"/>
                <w:szCs w:val="18"/>
              </w:rPr>
              <w:t xml:space="preserve">84,87</w:t>
            </w:r>
          </w:p>
        </w:tc>
      </w:tr>
      <w:tr>
        <w:tc>
          <w:tcPr>
            <w:tcW w:type="dxa" w:w="6160"/>
            <w:tcMar>
              <w:top w:type="dxa" w:w="55"/>
              <w:left w:type="dxa" w:w="85"/>
              <w:bottom w:type="dxa" w:w="55"/>
              <w:right w:type="dxa" w:w="85"/>
            </w:tcMar>
          </w:tcPr>
          <w:p>
            <w:pPr>
              <w:spacing w:after="0"/>
              <w:jc w:val="left"/>
            </w:pPr>
            <w:r>
              <w:rPr>
                <w:sz w:val="18"/>
                <w:szCs w:val="18"/>
              </w:rPr>
              <w:t xml:space="preserve">TOTAL medido</w:t>
            </w:r>
          </w:p>
        </w:tc>
        <w:tc>
          <w:tcPr>
            <w:tcW w:type="dxa" w:w="3200"/>
            <w:tcMar>
              <w:top w:type="dxa" w:w="55"/>
              <w:left w:type="dxa" w:w="85"/>
              <w:bottom w:type="dxa" w:w="55"/>
              <w:right w:type="dxa" w:w="85"/>
            </w:tcMar>
          </w:tcPr>
          <w:p>
            <w:pPr>
              <w:spacing w:after="0"/>
              <w:jc w:val="right"/>
            </w:pPr>
            <w:r>
              <w:rPr>
                <w:sz w:val="18"/>
                <w:szCs w:val="18"/>
              </w:rPr>
              <w:t xml:space="preserve">2148,72</w:t>
            </w:r>
          </w:p>
        </w:tc>
      </w:tr>
    </w:tbl>
    <w:p>
      <w:pPr>
        <w:spacing w:before="120"/>
      </w:pPr>
      <w:r>
        <w:rPr>
          <w:sz w:val="21"/>
          <w:szCs w:val="21"/>
        </w:rPr>
        <w:t xml:space="preserve">El barrido de K-Prototypes (732 s) y la fase de estabilidad (1 137 s) concentran el 87 % del tiempo total. La matriz de Gower, que es la estructura más pesada en memoria, se construye en menos de 4 segundos.</w:t>
      </w:r>
    </w:p>
    <w:p>
      <w:pPr>
        <w:pStyle w:val="Heading2"/>
        <w:spacing w:after="120" w:before="260"/>
      </w:pPr>
      <w:r>
        <w:rPr>
          <w:b/>
          <w:bCs/>
          <w:color w:val="1F4E79"/>
        </w:rPr>
        <w:t xml:space="preserve">12.2 Archivos generados</w:t>
      </w:r>
    </w:p>
    <w:p>
      <w:pPr>
        <w:pStyle w:val="ListParagraph"/>
        <w:numPr>
          <w:ilvl w:val="0"/>
          <w:numId w:val="2"/>
        </w:numPr>
        <w:spacing w:after="70"/>
      </w:pPr>
      <w:r>
        <w:rPr>
          <w:sz w:val="21"/>
          <w:szCs w:val="21"/>
        </w:rPr>
        <w:t xml:space="preserve">notebooks/comparacion_portafolio.ipynb — ejecución completa con sus salidas</w:t>
      </w:r>
    </w:p>
    <w:p>
      <w:pPr>
        <w:pStyle w:val="ListParagraph"/>
        <w:numPr>
          <w:ilvl w:val="0"/>
          <w:numId w:val="2"/>
        </w:numPr>
        <w:spacing w:after="70"/>
      </w:pPr>
      <w:r>
        <w:rPr>
          <w:sz w:val="21"/>
          <w:szCs w:val="21"/>
        </w:rPr>
        <w:t xml:space="preserve">resultados/tabla6_comparacion.csv, tabla7_lineas_base.csv, tabla8_perfiles.csv, tabla9_atipicos.csv</w:t>
      </w:r>
    </w:p>
    <w:p>
      <w:pPr>
        <w:pStyle w:val="ListParagraph"/>
        <w:numPr>
          <w:ilvl w:val="0"/>
          <w:numId w:val="2"/>
        </w:numPr>
        <w:spacing w:after="70"/>
      </w:pPr>
      <w:r>
        <w:rPr>
          <w:sz w:val="21"/>
          <w:szCs w:val="21"/>
        </w:rPr>
        <w:t xml:space="preserve">resultados/asignabilidad.csv, log_ejecucion.txt, matriz_procesos.csv</w:t>
      </w:r>
    </w:p>
    <w:p>
      <w:pPr>
        <w:pStyle w:val="ListParagraph"/>
        <w:numPr>
          <w:ilvl w:val="0"/>
          <w:numId w:val="2"/>
        </w:numPr>
        <w:spacing w:after="70"/>
      </w:pPr>
      <w:r>
        <w:rPr>
          <w:sz w:val="21"/>
          <w:szCs w:val="21"/>
        </w:rPr>
        <w:t xml:space="preserve">resultados/fig_modelo_*.png (uno por algoritmo) y fig_panel_comparativo.png</w:t>
      </w:r>
    </w:p>
    <w:p>
      <w:pPr>
        <w:pStyle w:val="ListParagraph"/>
        <w:numPr>
          <w:ilvl w:val="0"/>
          <w:numId w:val="2"/>
        </w:numPr>
        <w:spacing w:after="70"/>
      </w:pPr>
      <w:r>
        <w:rPr>
          <w:sz w:val="21"/>
          <w:szCs w:val="21"/>
        </w:rPr>
        <w:t xml:space="preserve">resultados/fig_codo_por_algoritmo.png, fig_silueta_por_grupo_ganador.png, fig_mds_grupos_ganador.png, fig_kdistancias_dbscan.png</w:t>
      </w:r>
    </w:p>
    <w:p>
      <w:pPr>
        <w:pStyle w:val="ListParagraph"/>
        <w:numPr>
          <w:ilvl w:val="0"/>
          <w:numId w:val="2"/>
        </w:numPr>
        <w:spacing w:after="70"/>
      </w:pPr>
      <w:r>
        <w:rPr>
          <w:sz w:val="21"/>
          <w:szCs w:val="21"/>
        </w:rPr>
        <w:t xml:space="preserve">resultados/comparacion_modelos.html — versión interactiva de esta comparación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CCPG1044 · Grupo #3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0251254988aff72d0abe8eb4907266ac3711d5.png"/><Relationship Id="rId9" Type="http://schemas.openxmlformats.org/officeDocument/2006/relationships/image" Target="media/4cb9495649e8c53e9bc2fc0f532780d4601c0efc.png"/><Relationship Id="rId10" Type="http://schemas.openxmlformats.org/officeDocument/2006/relationships/image" Target="media/b88f4f2c364302daa5ec24cabd5729e1f4d70bd0.png"/><Relationship Id="rId11" Type="http://schemas.openxmlformats.org/officeDocument/2006/relationships/image" Target="media/1a338ca83db298912c9e0f2ae322bad1ef1ad6a7.png"/><Relationship Id="rId12" Type="http://schemas.openxmlformats.org/officeDocument/2006/relationships/image" Target="media/cefac9d15926aafbaa6808edc5a022f09de6cfab.png"/><Relationship Id="rId13" Type="http://schemas.openxmlformats.org/officeDocument/2006/relationships/image" Target="media/1e4567cb70a00edd018fae5790e8d45bec6b8cc7.png"/><Relationship Id="rId14" Type="http://schemas.openxmlformats.org/officeDocument/2006/relationships/image" Target="media/8b41227f973329e628f2bb2d8744c468b650541d.png"/><Relationship Id="rId15" Type="http://schemas.openxmlformats.org/officeDocument/2006/relationships/image" Target="media/218b009509bc43742495a552826b2a433dbd6834.png"/><Relationship Id="rId16" Type="http://schemas.openxmlformats.org/officeDocument/2006/relationships/image" Target="media/6c964b70662844509045adb2e851663bcccb0f3f.png"/><Relationship Id="rId17" Type="http://schemas.openxmlformats.org/officeDocument/2006/relationships/image" Target="media/2b4f1fa9b784ab281c231cde4d83a4c71060164c.png"/><Relationship Id="rId18" Type="http://schemas.openxmlformats.org/officeDocument/2006/relationships/image" Target="media/3df8edf737ef9b8ace57dee408d510117a1d033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seis algoritmos de agrupamiento — SERCOP/OCDS</dc:title>
  <dc:creator>Grupo #3 — CCPG1044 ESPOL</dc:creator>
  <dc:description>Proyecto final de Inteligencia Artificial</dc:description>
  <cp:lastModifiedBy>Un-named</cp:lastModifiedBy>
  <cp:revision>1</cp:revision>
  <dcterms:created xsi:type="dcterms:W3CDTF">2026-07-30T05:43:32.415Z</dcterms:created>
  <dcterms:modified xsi:type="dcterms:W3CDTF">2026-07-30T05:43:32.415Z</dcterms:modified>
</cp:coreProperties>
</file>

<file path=docProps/custom.xml><?xml version="1.0" encoding="utf-8"?>
<Properties xmlns="http://schemas.openxmlformats.org/officeDocument/2006/custom-properties" xmlns:vt="http://schemas.openxmlformats.org/officeDocument/2006/docPropsVTypes"/>
</file>