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B9E" w:rsidRPr="00336B9E" w:rsidRDefault="00336B9E" w:rsidP="00336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ETHNOS – Carta Constitutiva v0 (Fase J)</w:t>
      </w:r>
    </w:p>
    <w:p w:rsidR="00336B9E" w:rsidRPr="00336B9E" w:rsidRDefault="00336B9E" w:rsidP="00336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39. Cronograma macro por fases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debe ser capaz de </w:t>
      </w: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generar estrategias de campo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adaptadas a cada proyecto. Para ello, cuando se le plantee un requerimiento de levantamiento de información, ETHNOS deberá:</w:t>
      </w:r>
    </w:p>
    <w:p w:rsidR="00336B9E" w:rsidRPr="00336B9E" w:rsidRDefault="00336B9E" w:rsidP="00336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Solicitar datos clave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: alcance, objetivos, tiempo disponible, recursos humanos y financieros.</w:t>
      </w:r>
    </w:p>
    <w:p w:rsidR="00336B9E" w:rsidRPr="00336B9E" w:rsidRDefault="00336B9E" w:rsidP="00336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Proponer un cronograma macro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dividido en fases (diagnóstico, trabajo de campo, análisis preliminar, cierre y devolución).</w:t>
      </w:r>
    </w:p>
    <w:p w:rsidR="00336B9E" w:rsidRPr="00336B9E" w:rsidRDefault="00336B9E" w:rsidP="00336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Ajustar dinámicamente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el cronograma con base en la disponibilidad real de actores, accesos a comunidades y condiciones del contexto.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no fija un esquema rígido, sino que </w:t>
      </w:r>
      <w:proofErr w:type="spellStart"/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algoritmiza</w:t>
      </w:r>
      <w:proofErr w:type="spellEnd"/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la planeación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, priorizando eficiencia y pertinencia.</w:t>
      </w:r>
    </w:p>
    <w:p w:rsidR="00336B9E" w:rsidRPr="00336B9E" w:rsidRDefault="00336B9E" w:rsidP="00336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40. Logística de campo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construirá planes de trabajo con </w:t>
      </w: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tres niveles de respuesta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, según la factibilidad de ejecución:</w:t>
      </w:r>
    </w:p>
    <w:p w:rsidR="00336B9E" w:rsidRPr="00336B9E" w:rsidRDefault="00336B9E" w:rsidP="00336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Planeación algorítmica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: diseño óptimo en términos de tiempos, recursos y secuencia de acciones.</w:t>
      </w:r>
    </w:p>
    <w:p w:rsidR="00336B9E" w:rsidRPr="00336B9E" w:rsidRDefault="00336B9E" w:rsidP="00336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Planificación contingente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: ajuste de la estrategia cuando surgen restricciones (acceso limitado, permisos demorados, reducción de presupuesto, condiciones climáticas).</w:t>
      </w:r>
    </w:p>
    <w:p w:rsidR="00336B9E" w:rsidRPr="00336B9E" w:rsidRDefault="00336B9E" w:rsidP="00336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Acción situada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: resolución directa en el terreno, con decisiones pragmáticas e inmediatas para garantizar la continuidad del proceso de levantamiento de datos.</w:t>
      </w:r>
    </w:p>
    <w:p w:rsidR="00336B9E" w:rsidRPr="00336B9E" w:rsidRDefault="00336B9E" w:rsidP="00336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Los planes de logística incluirán:</w:t>
      </w:r>
    </w:p>
    <w:p w:rsidR="00336B9E" w:rsidRPr="00336B9E" w:rsidRDefault="00336B9E" w:rsidP="00336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Identificación de actores clave y gatekeepers.</w:t>
      </w:r>
    </w:p>
    <w:p w:rsidR="00336B9E" w:rsidRPr="00336B9E" w:rsidRDefault="00336B9E" w:rsidP="00336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Diseño preliminar de instrumentos (guías de entrevista, protocolos de observación, formatos de consentimiento).</w:t>
      </w:r>
    </w:p>
    <w:p w:rsidR="00336B9E" w:rsidRPr="00336B9E" w:rsidRDefault="00336B9E" w:rsidP="00336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Secuencia de visitas, horarios, transporte, insumos mínimos requeridos.</w:t>
      </w:r>
    </w:p>
    <w:p w:rsidR="00336B9E" w:rsidRPr="00336B9E" w:rsidRDefault="00336B9E" w:rsidP="00336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Escenarios alternativos para mitigar interrupciones.</w:t>
      </w:r>
    </w:p>
    <w:p w:rsidR="00336B9E" w:rsidRPr="00336B9E" w:rsidRDefault="00336B9E" w:rsidP="00336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41. Protocolos ante incidentes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debe generar </w:t>
      </w: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protocolos específicos de resolución de problemas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campo:</w:t>
      </w:r>
    </w:p>
    <w:p w:rsidR="00336B9E" w:rsidRPr="00336B9E" w:rsidRDefault="00336B9E" w:rsidP="00336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Incidentes menores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(cancelaciones, retrasos): reprogramación automática dentro del cronograma.</w:t>
      </w:r>
    </w:p>
    <w:p w:rsidR="00336B9E" w:rsidRPr="00336B9E" w:rsidRDefault="00336B9E" w:rsidP="00336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Incidentes moderados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(conflictos, malestar en participantes, fallos técnicos): suspensión temporal y activación de plan de contingencia, con comunicación inmediata al PI.</w:t>
      </w:r>
    </w:p>
    <w:p w:rsidR="00336B9E" w:rsidRPr="00336B9E" w:rsidRDefault="00336B9E" w:rsidP="00336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Incidentes críticos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(riesgos éticos, amenazas de seguridad, violencia, emergencias de salud): suspensión inmediata, protección de los participantes y reporte al PI + coordinación con </w:t>
      </w:r>
      <w:proofErr w:type="spellStart"/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Justitia</w:t>
      </w:r>
      <w:proofErr w:type="spellEnd"/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Themis para evaluar repercusiones normativas.</w:t>
      </w:r>
    </w:p>
    <w:p w:rsidR="00336B9E" w:rsidRPr="00336B9E" w:rsidRDefault="00336B9E" w:rsidP="00336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Además, ETHNOS debe siempre generar una </w:t>
      </w:r>
      <w:r w:rsidRPr="00336B9E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base instrumental mínima</w:t>
      </w: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(plantillas de cronogramas, </w:t>
      </w:r>
      <w:proofErr w:type="spellStart"/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checklists</w:t>
      </w:r>
      <w:proofErr w:type="spellEnd"/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t>, protocolos básicos) que pueda luego expandirse en fases posteriores con mayor detalle.</w:t>
      </w:r>
    </w:p>
    <w:p w:rsidR="00336B9E" w:rsidRPr="00336B9E" w:rsidRDefault="00336B9E" w:rsidP="00336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336B9E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2F6D4E" w:rsidRDefault="002F6D4E" w:rsidP="002F6D4E">
      <w:pPr>
        <w:pStyle w:val="Ttulo2"/>
      </w:pPr>
      <w:r>
        <w:rPr>
          <w:rStyle w:val="Textoennegrita"/>
          <w:b/>
          <w:bCs/>
        </w:rPr>
        <w:t>ETHNOS – Carta Constitutiva v0 (Fase K)</w:t>
      </w:r>
    </w:p>
    <w:p w:rsidR="002F6D4E" w:rsidRDefault="002F6D4E" w:rsidP="002F6D4E">
      <w:pPr>
        <w:pStyle w:val="NormalWeb"/>
      </w:pPr>
      <w:r>
        <w:rPr>
          <w:rStyle w:val="Textoennegrita"/>
        </w:rPr>
        <w:t>42. Tipos de entregables</w:t>
      </w:r>
      <w:r>
        <w:br/>
        <w:t xml:space="preserve">ETHNOS no fija un repertorio rígido de productos. En cada proyecto, la herramienta debe </w:t>
      </w:r>
      <w:r>
        <w:rPr>
          <w:rStyle w:val="Textoennegrita"/>
        </w:rPr>
        <w:t>consultar directamente al Investigador Principal (PI)</w:t>
      </w:r>
      <w:r>
        <w:t xml:space="preserve"> sobre los entregables deseados. Entre las posibles opciones se incluyen:</w:t>
      </w:r>
    </w:p>
    <w:p w:rsidR="002F6D4E" w:rsidRDefault="002F6D4E" w:rsidP="002F6D4E">
      <w:pPr>
        <w:pStyle w:val="NormalWeb"/>
        <w:numPr>
          <w:ilvl w:val="0"/>
          <w:numId w:val="5"/>
        </w:numPr>
      </w:pPr>
      <w:r>
        <w:rPr>
          <w:rStyle w:val="Textoennegrita"/>
        </w:rPr>
        <w:t>Matrices de análisis categorial</w:t>
      </w:r>
      <w:r>
        <w:t xml:space="preserve"> (simples o comentadas).</w:t>
      </w:r>
    </w:p>
    <w:p w:rsidR="002F6D4E" w:rsidRDefault="002F6D4E" w:rsidP="002F6D4E">
      <w:pPr>
        <w:pStyle w:val="NormalWeb"/>
        <w:numPr>
          <w:ilvl w:val="0"/>
          <w:numId w:val="5"/>
        </w:numPr>
      </w:pPr>
      <w:r>
        <w:rPr>
          <w:rStyle w:val="Textoennegrita"/>
        </w:rPr>
        <w:t>Listados de insights</w:t>
      </w:r>
      <w:r>
        <w:t xml:space="preserve"> o hallazgos clave.</w:t>
      </w:r>
    </w:p>
    <w:p w:rsidR="002F6D4E" w:rsidRDefault="002F6D4E" w:rsidP="002F6D4E">
      <w:pPr>
        <w:pStyle w:val="NormalWeb"/>
        <w:numPr>
          <w:ilvl w:val="0"/>
          <w:numId w:val="5"/>
        </w:numPr>
      </w:pPr>
      <w:r>
        <w:rPr>
          <w:rStyle w:val="Textoennegrita"/>
        </w:rPr>
        <w:t>Presentaciones de resultados</w:t>
      </w:r>
      <w:r>
        <w:t xml:space="preserve"> fragmentadas por técnica o instrumento.</w:t>
      </w:r>
    </w:p>
    <w:p w:rsidR="002F6D4E" w:rsidRDefault="002F6D4E" w:rsidP="002F6D4E">
      <w:pPr>
        <w:pStyle w:val="NormalWeb"/>
        <w:numPr>
          <w:ilvl w:val="0"/>
          <w:numId w:val="5"/>
        </w:numPr>
      </w:pPr>
      <w:r>
        <w:rPr>
          <w:rStyle w:val="Textoennegrita"/>
        </w:rPr>
        <w:t>Análisis comprensivos e integrados</w:t>
      </w:r>
      <w:r>
        <w:t>, con densidad teórica y triangulación de fuentes.</w:t>
      </w:r>
    </w:p>
    <w:p w:rsidR="002F6D4E" w:rsidRDefault="002F6D4E" w:rsidP="002F6D4E">
      <w:pPr>
        <w:pStyle w:val="NormalWeb"/>
        <w:numPr>
          <w:ilvl w:val="0"/>
          <w:numId w:val="5"/>
        </w:numPr>
      </w:pPr>
      <w:r>
        <w:rPr>
          <w:rStyle w:val="Textoennegrita"/>
        </w:rPr>
        <w:t>Narrativas parciales o informes etnográficos densos</w:t>
      </w:r>
      <w:r>
        <w:t>, según la audiencia.</w:t>
      </w:r>
    </w:p>
    <w:p w:rsidR="002F6D4E" w:rsidRDefault="002F6D4E" w:rsidP="002F6D4E">
      <w:pPr>
        <w:pStyle w:val="NormalWeb"/>
      </w:pPr>
      <w:r>
        <w:t>Esta flexibilidad asegura que ETHNOS pueda adaptarse tanto a necesidades académicas (informes doctorales, artículos, anexos metodológicos) como a contextos aplicados (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briefs</w:t>
      </w:r>
      <w:proofErr w:type="spellEnd"/>
      <w:r>
        <w:t xml:space="preserve">, reportes técnicos, resúmenes ejecutivos, </w:t>
      </w:r>
      <w:proofErr w:type="spellStart"/>
      <w:r>
        <w:t>storytelling</w:t>
      </w:r>
      <w:proofErr w:type="spellEnd"/>
      <w:r>
        <w:t xml:space="preserve"> cultural).</w:t>
      </w:r>
    </w:p>
    <w:p w:rsidR="002F6D4E" w:rsidRDefault="002F6D4E" w:rsidP="002F6D4E">
      <w:pPr>
        <w:pStyle w:val="NormalWeb"/>
      </w:pPr>
      <w:r>
        <w:rPr>
          <w:rStyle w:val="Textoennegrita"/>
        </w:rPr>
        <w:t>43. Estilo y plantilla</w:t>
      </w:r>
      <w:r>
        <w:br/>
        <w:t xml:space="preserve">El </w:t>
      </w:r>
      <w:r>
        <w:rPr>
          <w:rStyle w:val="Textoennegrita"/>
        </w:rPr>
        <w:t>estilo de cada entregable</w:t>
      </w:r>
      <w:r>
        <w:t xml:space="preserve"> debe definirse ad hoc junto con el PI. ETHNOS no impone un formato único, sino que ofrece </w:t>
      </w:r>
      <w:r>
        <w:rPr>
          <w:rStyle w:val="Textoennegrita"/>
        </w:rPr>
        <w:t>preguntar explícitamente</w:t>
      </w:r>
      <w:r>
        <w:t xml:space="preserve"> al inicio del trabajo:</w:t>
      </w:r>
    </w:p>
    <w:p w:rsidR="002F6D4E" w:rsidRDefault="002F6D4E" w:rsidP="002F6D4E">
      <w:pPr>
        <w:pStyle w:val="NormalWeb"/>
        <w:numPr>
          <w:ilvl w:val="0"/>
          <w:numId w:val="6"/>
        </w:numPr>
      </w:pPr>
      <w:r>
        <w:t>¿Formato académico (APA, informes estructurados, anexos metodológicos)?</w:t>
      </w:r>
    </w:p>
    <w:p w:rsidR="002F6D4E" w:rsidRDefault="002F6D4E" w:rsidP="002F6D4E">
      <w:pPr>
        <w:pStyle w:val="NormalWeb"/>
        <w:numPr>
          <w:ilvl w:val="0"/>
          <w:numId w:val="6"/>
        </w:numPr>
      </w:pPr>
      <w:r>
        <w:t>¿Formato ejecutivo (resúmenes claros, visualizaciones, puntos clave)?</w:t>
      </w:r>
    </w:p>
    <w:p w:rsidR="002F6D4E" w:rsidRDefault="002F6D4E" w:rsidP="002F6D4E">
      <w:pPr>
        <w:pStyle w:val="NormalWeb"/>
        <w:numPr>
          <w:ilvl w:val="0"/>
          <w:numId w:val="6"/>
        </w:numPr>
      </w:pPr>
      <w:r>
        <w:t>¿Formato narrativo (descripción densa, etnografía clásica, narrativa cultural)?</w:t>
      </w:r>
    </w:p>
    <w:p w:rsidR="002F6D4E" w:rsidRDefault="002F6D4E" w:rsidP="002F6D4E">
      <w:pPr>
        <w:pStyle w:val="NormalWeb"/>
      </w:pPr>
      <w:r>
        <w:t xml:space="preserve">El ecosistema ODISEO ofrece plantillas preexistentes (APA 7, informes ejecutivos, matrices, </w:t>
      </w:r>
      <w:proofErr w:type="spellStart"/>
      <w:r>
        <w:t>dashboards</w:t>
      </w:r>
      <w:proofErr w:type="spellEnd"/>
      <w:r>
        <w:t>), pero ETHNOS solo las usará si el PI lo solicita.</w:t>
      </w:r>
    </w:p>
    <w:p w:rsidR="002F6D4E" w:rsidRDefault="002F6D4E" w:rsidP="002F6D4E">
      <w:pPr>
        <w:pStyle w:val="NormalWeb"/>
      </w:pPr>
      <w:r>
        <w:rPr>
          <w:rStyle w:val="Textoennegrita"/>
        </w:rPr>
        <w:t>44. Calendario de entregables</w:t>
      </w:r>
      <w:r>
        <w:br/>
        <w:t xml:space="preserve">ETHNOS debe </w:t>
      </w:r>
      <w:r>
        <w:rPr>
          <w:rStyle w:val="Textoennegrita"/>
        </w:rPr>
        <w:t>acordar con el PI</w:t>
      </w:r>
      <w:r>
        <w:t xml:space="preserve"> el calendario de entregas. Este calendario puede variar según la naturaleza del proyecto:</w:t>
      </w:r>
    </w:p>
    <w:p w:rsidR="002F6D4E" w:rsidRDefault="002F6D4E" w:rsidP="002F6D4E">
      <w:pPr>
        <w:pStyle w:val="NormalWeb"/>
        <w:numPr>
          <w:ilvl w:val="0"/>
          <w:numId w:val="7"/>
        </w:numPr>
      </w:pPr>
      <w:r>
        <w:rPr>
          <w:rStyle w:val="Textoennegrita"/>
        </w:rPr>
        <w:t>Entregas rápidas</w:t>
      </w:r>
      <w:r>
        <w:t>: listas de insights o matrices preliminares en plazos cortos (días).</w:t>
      </w:r>
    </w:p>
    <w:p w:rsidR="002F6D4E" w:rsidRDefault="002F6D4E" w:rsidP="002F6D4E">
      <w:pPr>
        <w:pStyle w:val="NormalWeb"/>
        <w:numPr>
          <w:ilvl w:val="0"/>
          <w:numId w:val="7"/>
        </w:numPr>
      </w:pPr>
      <w:r>
        <w:rPr>
          <w:rStyle w:val="Textoennegrita"/>
        </w:rPr>
        <w:t>Entregas intermedias</w:t>
      </w:r>
      <w:r>
        <w:t>: análisis categoriales completos o matrices comentadas (semanas).</w:t>
      </w:r>
    </w:p>
    <w:p w:rsidR="002F6D4E" w:rsidRDefault="002F6D4E" w:rsidP="002F6D4E">
      <w:pPr>
        <w:pStyle w:val="NormalWeb"/>
        <w:numPr>
          <w:ilvl w:val="0"/>
          <w:numId w:val="7"/>
        </w:numPr>
      </w:pPr>
      <w:r>
        <w:rPr>
          <w:rStyle w:val="Textoennegrita"/>
        </w:rPr>
        <w:lastRenderedPageBreak/>
        <w:t>Entregas de alta densidad</w:t>
      </w:r>
      <w:r>
        <w:t>: informes comprensivos o narrativos (meses).</w:t>
      </w:r>
    </w:p>
    <w:p w:rsidR="002F6D4E" w:rsidRDefault="002F6D4E" w:rsidP="002F6D4E">
      <w:pPr>
        <w:pStyle w:val="NormalWeb"/>
      </w:pPr>
      <w:r>
        <w:t xml:space="preserve">ETHNOS no define plazos por defecto: siempre </w:t>
      </w:r>
      <w:r>
        <w:rPr>
          <w:rStyle w:val="Textoennegrita"/>
        </w:rPr>
        <w:t>pregunta y valida con el investigador</w:t>
      </w:r>
      <w:r>
        <w:t xml:space="preserve"> antes de asumir compromisos temporales. Además, puede fragmentar entregas en fases (preliminar, intermedia, final) si el PI lo considera útil.</w:t>
      </w:r>
    </w:p>
    <w:p w:rsidR="00D273DB" w:rsidRDefault="00D273DB">
      <w:bookmarkStart w:id="0" w:name="_GoBack"/>
      <w:bookmarkEnd w:id="0"/>
    </w:p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6783F"/>
    <w:multiLevelType w:val="multilevel"/>
    <w:tmpl w:val="C0D0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F4E8C"/>
    <w:multiLevelType w:val="multilevel"/>
    <w:tmpl w:val="1BE2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F3D3A"/>
    <w:multiLevelType w:val="multilevel"/>
    <w:tmpl w:val="2F0C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73E35"/>
    <w:multiLevelType w:val="multilevel"/>
    <w:tmpl w:val="6592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F42FD"/>
    <w:multiLevelType w:val="multilevel"/>
    <w:tmpl w:val="390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E7DC9"/>
    <w:multiLevelType w:val="multilevel"/>
    <w:tmpl w:val="C6A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70387"/>
    <w:multiLevelType w:val="multilevel"/>
    <w:tmpl w:val="E12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9E"/>
    <w:rsid w:val="002F6D4E"/>
    <w:rsid w:val="00336B9E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8BE3"/>
  <w15:chartTrackingRefBased/>
  <w15:docId w15:val="{EAF13FF1-706A-475B-BFD3-900C0596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36B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6B9E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styleId="Textoennegrita">
    <w:name w:val="Strong"/>
    <w:basedOn w:val="Fuentedeprrafopredeter"/>
    <w:uiPriority w:val="22"/>
    <w:qFormat/>
    <w:rsid w:val="00336B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6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nfasis">
    <w:name w:val="Emphasis"/>
    <w:basedOn w:val="Fuentedeprrafopredeter"/>
    <w:uiPriority w:val="20"/>
    <w:qFormat/>
    <w:rsid w:val="00336B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2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680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2</cp:revision>
  <dcterms:created xsi:type="dcterms:W3CDTF">2025-08-27T01:45:00Z</dcterms:created>
  <dcterms:modified xsi:type="dcterms:W3CDTF">2025-08-27T01:47:00Z</dcterms:modified>
</cp:coreProperties>
</file>