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2231" w:rsidRPr="00372231" w:rsidRDefault="00372231" w:rsidP="0037223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R"/>
        </w:rPr>
      </w:pPr>
      <w:r w:rsidRPr="00372231">
        <w:rPr>
          <w:rFonts w:ascii="Times New Roman" w:eastAsia="Times New Roman" w:hAnsi="Times New Roman" w:cs="Times New Roman"/>
          <w:b/>
          <w:bCs/>
          <w:kern w:val="36"/>
          <w:sz w:val="48"/>
          <w:szCs w:val="48"/>
          <w:lang w:eastAsia="es-CR"/>
        </w:rPr>
        <w:t>Documento Derivado ETHNOS-HRM</w:t>
      </w:r>
    </w:p>
    <w:p w:rsidR="00372231" w:rsidRPr="00372231" w:rsidRDefault="00372231" w:rsidP="00372231">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372231">
        <w:rPr>
          <w:rFonts w:ascii="Times New Roman" w:eastAsia="Times New Roman" w:hAnsi="Times New Roman" w:cs="Times New Roman"/>
          <w:b/>
          <w:bCs/>
          <w:sz w:val="27"/>
          <w:szCs w:val="27"/>
          <w:lang w:eastAsia="es-CR"/>
        </w:rPr>
        <w:t>1. Introducción: el reto del razonamiento sostenido en etnografía</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El proyecto ETHNOS se funda en la necesidad de contar con una inteligencia asistida capaz de acompañar al investigador en la interpretación profunda de discursos, prácticas y narrativas culturales. A diferencia de la lógica cuantitativa, donde los modelos estadísticos se orientan a la síntesis numérica, ETHNOS se enfrenta a materiales densos, ambiguos y cargados de matices simbólicos: entrevistas, relatos de vida, observaciones de campo, registros de interacciones comunitarias. Estos insumos exigen una capacidad de razonamiento prolongado y una sensibilidad hermenéutica que pocas veces los modelos de IA logran sostener.</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 xml:space="preserve">El problema central, identificado también en la literatura especializada, es la </w:t>
      </w:r>
      <w:r w:rsidRPr="00372231">
        <w:rPr>
          <w:rFonts w:ascii="Times New Roman" w:eastAsia="Times New Roman" w:hAnsi="Times New Roman" w:cs="Times New Roman"/>
          <w:b/>
          <w:bCs/>
          <w:sz w:val="24"/>
          <w:szCs w:val="24"/>
          <w:lang w:eastAsia="es-CR"/>
        </w:rPr>
        <w:t>fragilidad de los modelos de lenguaje en cadenas largas de razonamiento</w:t>
      </w:r>
      <w:r w:rsidRPr="00372231">
        <w:rPr>
          <w:rFonts w:ascii="Times New Roman" w:eastAsia="Times New Roman" w:hAnsi="Times New Roman" w:cs="Times New Roman"/>
          <w:sz w:val="24"/>
          <w:szCs w:val="24"/>
          <w:lang w:eastAsia="es-CR"/>
        </w:rPr>
        <w:t>. Aunque pueden identificar patrones o producir resúmenes inmediatos, suelen perder coherencia a medida que aumenta la extensión del análisis (Ji et al., 2023). En análisis narrativos extensos, donde la contradicción y la ambigüedad forman parte intrínseca del corpus, los modelos colapsan en reiteraciones o inferencias incoherentes.</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 xml:space="preserve">Aquí es donde el </w:t>
      </w:r>
      <w:proofErr w:type="spellStart"/>
      <w:r w:rsidRPr="00372231">
        <w:rPr>
          <w:rFonts w:ascii="Times New Roman" w:eastAsia="Times New Roman" w:hAnsi="Times New Roman" w:cs="Times New Roman"/>
          <w:b/>
          <w:bCs/>
          <w:sz w:val="24"/>
          <w:szCs w:val="24"/>
          <w:lang w:eastAsia="es-CR"/>
        </w:rPr>
        <w:t>Hierarchical</w:t>
      </w:r>
      <w:proofErr w:type="spellEnd"/>
      <w:r w:rsidRPr="00372231">
        <w:rPr>
          <w:rFonts w:ascii="Times New Roman" w:eastAsia="Times New Roman" w:hAnsi="Times New Roman" w:cs="Times New Roman"/>
          <w:b/>
          <w:bCs/>
          <w:sz w:val="24"/>
          <w:szCs w:val="24"/>
          <w:lang w:eastAsia="es-CR"/>
        </w:rPr>
        <w:t xml:space="preserve"> </w:t>
      </w:r>
      <w:proofErr w:type="spellStart"/>
      <w:r w:rsidRPr="00372231">
        <w:rPr>
          <w:rFonts w:ascii="Times New Roman" w:eastAsia="Times New Roman" w:hAnsi="Times New Roman" w:cs="Times New Roman"/>
          <w:b/>
          <w:bCs/>
          <w:sz w:val="24"/>
          <w:szCs w:val="24"/>
          <w:lang w:eastAsia="es-CR"/>
        </w:rPr>
        <w:t>Reasoning</w:t>
      </w:r>
      <w:proofErr w:type="spellEnd"/>
      <w:r w:rsidRPr="00372231">
        <w:rPr>
          <w:rFonts w:ascii="Times New Roman" w:eastAsia="Times New Roman" w:hAnsi="Times New Roman" w:cs="Times New Roman"/>
          <w:b/>
          <w:bCs/>
          <w:sz w:val="24"/>
          <w:szCs w:val="24"/>
          <w:lang w:eastAsia="es-CR"/>
        </w:rPr>
        <w:t xml:space="preserve"> </w:t>
      </w:r>
      <w:proofErr w:type="spellStart"/>
      <w:r w:rsidRPr="00372231">
        <w:rPr>
          <w:rFonts w:ascii="Times New Roman" w:eastAsia="Times New Roman" w:hAnsi="Times New Roman" w:cs="Times New Roman"/>
          <w:b/>
          <w:bCs/>
          <w:sz w:val="24"/>
          <w:szCs w:val="24"/>
          <w:lang w:eastAsia="es-CR"/>
        </w:rPr>
        <w:t>Model</w:t>
      </w:r>
      <w:proofErr w:type="spellEnd"/>
      <w:r w:rsidRPr="00372231">
        <w:rPr>
          <w:rFonts w:ascii="Times New Roman" w:eastAsia="Times New Roman" w:hAnsi="Times New Roman" w:cs="Times New Roman"/>
          <w:b/>
          <w:bCs/>
          <w:sz w:val="24"/>
          <w:szCs w:val="24"/>
          <w:lang w:eastAsia="es-CR"/>
        </w:rPr>
        <w:t xml:space="preserve"> (HRM)</w:t>
      </w:r>
      <w:r w:rsidRPr="00372231">
        <w:rPr>
          <w:rFonts w:ascii="Times New Roman" w:eastAsia="Times New Roman" w:hAnsi="Times New Roman" w:cs="Times New Roman"/>
          <w:sz w:val="24"/>
          <w:szCs w:val="24"/>
          <w:lang w:eastAsia="es-CR"/>
        </w:rPr>
        <w:t xml:space="preserve"> ofrece un horizonte nuevo. Al introducir la dinámica entre un módulo de alto nivel (H) encargado de supervisar y organizar estrategias abstractas, y un módulo de bajo nivel (L) dedicado a ejecutar tareas rápidas y concretas, HRM demuestra que la coherencia prolongada no requiere millones de parámetros adicionales, sino una arquitectura jerárquica que distribuya funciones y mantenga un diálogo constante entre niveles. Para ETHNOS, que aspira a sostener procesos de interpretación densos y a la vez rigurosos, HRM se convierte en un </w:t>
      </w:r>
      <w:r w:rsidRPr="00372231">
        <w:rPr>
          <w:rFonts w:ascii="Times New Roman" w:eastAsia="Times New Roman" w:hAnsi="Times New Roman" w:cs="Times New Roman"/>
          <w:b/>
          <w:bCs/>
          <w:sz w:val="24"/>
          <w:szCs w:val="24"/>
          <w:lang w:eastAsia="es-CR"/>
        </w:rPr>
        <w:t>modelo de diseño inspirador</w:t>
      </w:r>
      <w:r w:rsidRPr="00372231">
        <w:rPr>
          <w:rFonts w:ascii="Times New Roman" w:eastAsia="Times New Roman" w:hAnsi="Times New Roman" w:cs="Times New Roman"/>
          <w:sz w:val="24"/>
          <w:szCs w:val="24"/>
          <w:lang w:eastAsia="es-CR"/>
        </w:rPr>
        <w:t xml:space="preserve"> para articular protocolos cualitativos de mayor consistencia.</w:t>
      </w:r>
    </w:p>
    <w:p w:rsidR="00372231" w:rsidRPr="00372231" w:rsidRDefault="00372231" w:rsidP="00372231">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372231">
        <w:rPr>
          <w:rFonts w:ascii="Times New Roman" w:eastAsia="Times New Roman" w:hAnsi="Times New Roman" w:cs="Times New Roman"/>
          <w:b/>
          <w:bCs/>
          <w:sz w:val="27"/>
          <w:szCs w:val="27"/>
          <w:lang w:eastAsia="es-CR"/>
        </w:rPr>
        <w:t>2. Hermenéutica y jerarquía: afinidades teóricas</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 xml:space="preserve">La hermenéutica, desde Schleiermacher hasta Ricoeur, ha insistido en que la interpretación no es un acto lineal, sino un </w:t>
      </w:r>
      <w:r w:rsidRPr="00372231">
        <w:rPr>
          <w:rFonts w:ascii="Times New Roman" w:eastAsia="Times New Roman" w:hAnsi="Times New Roman" w:cs="Times New Roman"/>
          <w:b/>
          <w:bCs/>
          <w:sz w:val="24"/>
          <w:szCs w:val="24"/>
          <w:lang w:eastAsia="es-CR"/>
        </w:rPr>
        <w:t>círculo</w:t>
      </w:r>
      <w:r w:rsidRPr="00372231">
        <w:rPr>
          <w:rFonts w:ascii="Times New Roman" w:eastAsia="Times New Roman" w:hAnsi="Times New Roman" w:cs="Times New Roman"/>
          <w:sz w:val="24"/>
          <w:szCs w:val="24"/>
          <w:lang w:eastAsia="es-CR"/>
        </w:rPr>
        <w:t xml:space="preserve"> en el que el todo ilumina las partes y las partes redefinen el todo (Ricoeur, 1981). Esta dinámica circular se asemeja notablemente al ciclo HRM: el módulo H (el todo) formula hipótesis interpretativas, mientras el módulo L (las partes) examina fragmentos concretos y devuelve resultados que reconfiguran la hipótesis general.</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 xml:space="preserve">Además, la antropología interpretativa de Clifford Geertz (1973) subrayó la necesidad de una “descripción densa” que capture los múltiples niveles de significado en las prácticas culturales. Esta densidad solo puede sostenerse si existe un mecanismo que evite la dispersión. En este sentido, HRM aporta una </w:t>
      </w:r>
      <w:r w:rsidRPr="00372231">
        <w:rPr>
          <w:rFonts w:ascii="Times New Roman" w:eastAsia="Times New Roman" w:hAnsi="Times New Roman" w:cs="Times New Roman"/>
          <w:b/>
          <w:bCs/>
          <w:sz w:val="24"/>
          <w:szCs w:val="24"/>
          <w:lang w:eastAsia="es-CR"/>
        </w:rPr>
        <w:t>estructura jerárquica</w:t>
      </w:r>
      <w:r w:rsidRPr="00372231">
        <w:rPr>
          <w:rFonts w:ascii="Times New Roman" w:eastAsia="Times New Roman" w:hAnsi="Times New Roman" w:cs="Times New Roman"/>
          <w:sz w:val="24"/>
          <w:szCs w:val="24"/>
          <w:lang w:eastAsia="es-CR"/>
        </w:rPr>
        <w:t xml:space="preserve"> que permite mantener a raya el riesgo de perderse en detalles, sin sacrificar la riqueza interpretativa. El módulo H asegura la coherencia de la “trama cultural”, mientras el módulo L se sumerge en el detalle empírico.</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lastRenderedPageBreak/>
        <w:t>Por tanto, la afinidad entre hermenéutica y HRM no es superficial, sino estructural. Ambos modelos entienden que la interpretación requiere ritmos diferenciados y retroalimentación constante. ETHNOS puede traducir esta coincidencia en protocolos prácticos que fortalezcan la lectura de corpus cualitativos.</w:t>
      </w:r>
    </w:p>
    <w:p w:rsidR="00372231" w:rsidRPr="00372231" w:rsidRDefault="00372231" w:rsidP="00372231">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372231">
        <w:rPr>
          <w:rFonts w:ascii="Times New Roman" w:eastAsia="Times New Roman" w:hAnsi="Times New Roman" w:cs="Times New Roman"/>
          <w:b/>
          <w:bCs/>
          <w:sz w:val="27"/>
          <w:szCs w:val="27"/>
          <w:lang w:eastAsia="es-CR"/>
        </w:rPr>
        <w:t>3. Aplicación práctica en ETHNOS: protocolo de análisis jerárquico</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 xml:space="preserve">La traducción de HRM a ETHNOS puede concretarse en un protocolo de análisis jerárquico de materiales etnográficos. Este protocolo no sustituye la interpretación humana, sino que la </w:t>
      </w:r>
      <w:r w:rsidRPr="00372231">
        <w:rPr>
          <w:rFonts w:ascii="Times New Roman" w:eastAsia="Times New Roman" w:hAnsi="Times New Roman" w:cs="Times New Roman"/>
          <w:b/>
          <w:bCs/>
          <w:sz w:val="24"/>
          <w:szCs w:val="24"/>
          <w:lang w:eastAsia="es-CR"/>
        </w:rPr>
        <w:t>acompaña como asistente dialógico</w:t>
      </w:r>
      <w:r w:rsidRPr="00372231">
        <w:rPr>
          <w:rFonts w:ascii="Times New Roman" w:eastAsia="Times New Roman" w:hAnsi="Times New Roman" w:cs="Times New Roman"/>
          <w:sz w:val="24"/>
          <w:szCs w:val="24"/>
          <w:lang w:eastAsia="es-CR"/>
        </w:rPr>
        <w:t>, distribuyendo las funciones entre un nivel estratégico y un nivel ejecutor:</w:t>
      </w:r>
    </w:p>
    <w:p w:rsidR="00372231" w:rsidRPr="00372231" w:rsidRDefault="00372231" w:rsidP="003722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b/>
          <w:bCs/>
          <w:sz w:val="24"/>
          <w:szCs w:val="24"/>
          <w:lang w:eastAsia="es-CR"/>
        </w:rPr>
        <w:t>Definición de hipótesis interpretativa inicial</w:t>
      </w:r>
      <w:r w:rsidRPr="00372231">
        <w:rPr>
          <w:rFonts w:ascii="Times New Roman" w:eastAsia="Times New Roman" w:hAnsi="Times New Roman" w:cs="Times New Roman"/>
          <w:sz w:val="24"/>
          <w:szCs w:val="24"/>
          <w:lang w:eastAsia="es-CR"/>
        </w:rPr>
        <w:t>: el módulo H formula una hipótesis sobre el sentido de un conjunto de entrevistas o textos.</w:t>
      </w:r>
    </w:p>
    <w:p w:rsidR="00372231" w:rsidRPr="00372231" w:rsidRDefault="00372231" w:rsidP="003722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b/>
          <w:bCs/>
          <w:sz w:val="24"/>
          <w:szCs w:val="24"/>
          <w:lang w:eastAsia="es-CR"/>
        </w:rPr>
        <w:t>Exploración de fragmentos concretos</w:t>
      </w:r>
      <w:r w:rsidRPr="00372231">
        <w:rPr>
          <w:rFonts w:ascii="Times New Roman" w:eastAsia="Times New Roman" w:hAnsi="Times New Roman" w:cs="Times New Roman"/>
          <w:sz w:val="24"/>
          <w:szCs w:val="24"/>
          <w:lang w:eastAsia="es-CR"/>
        </w:rPr>
        <w:t>: el módulo L identifica patrones léxicos, metáforas recurrentes o contradicciones en segmentos específicos del corpus.</w:t>
      </w:r>
    </w:p>
    <w:p w:rsidR="00372231" w:rsidRPr="00372231" w:rsidRDefault="00372231" w:rsidP="003722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b/>
          <w:bCs/>
          <w:sz w:val="24"/>
          <w:szCs w:val="24"/>
          <w:lang w:eastAsia="es-CR"/>
        </w:rPr>
        <w:t>Retroalimentación jerárquica</w:t>
      </w:r>
      <w:r w:rsidRPr="00372231">
        <w:rPr>
          <w:rFonts w:ascii="Times New Roman" w:eastAsia="Times New Roman" w:hAnsi="Times New Roman" w:cs="Times New Roman"/>
          <w:sz w:val="24"/>
          <w:szCs w:val="24"/>
          <w:lang w:eastAsia="es-CR"/>
        </w:rPr>
        <w:t>: los hallazgos de L se devuelven a H, que revisa la hipótesis inicial y decide si ajustarla, refinarla o ampliarla.</w:t>
      </w:r>
    </w:p>
    <w:p w:rsidR="00372231" w:rsidRPr="00372231" w:rsidRDefault="00372231" w:rsidP="0037223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b/>
          <w:bCs/>
          <w:sz w:val="24"/>
          <w:szCs w:val="24"/>
          <w:lang w:eastAsia="es-CR"/>
        </w:rPr>
        <w:t>Iteración prolongada</w:t>
      </w:r>
      <w:r w:rsidRPr="00372231">
        <w:rPr>
          <w:rFonts w:ascii="Times New Roman" w:eastAsia="Times New Roman" w:hAnsi="Times New Roman" w:cs="Times New Roman"/>
          <w:sz w:val="24"/>
          <w:szCs w:val="24"/>
          <w:lang w:eastAsia="es-CR"/>
        </w:rPr>
        <w:t>: el ciclo se repite hasta alcanzar una interpretación robusta que integre coherencia global y riqueza de detalles.</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 xml:space="preserve">Este procedimiento imita el </w:t>
      </w:r>
      <w:r w:rsidRPr="00372231">
        <w:rPr>
          <w:rFonts w:ascii="Times New Roman" w:eastAsia="Times New Roman" w:hAnsi="Times New Roman" w:cs="Times New Roman"/>
          <w:b/>
          <w:bCs/>
          <w:sz w:val="24"/>
          <w:szCs w:val="24"/>
          <w:lang w:eastAsia="es-CR"/>
        </w:rPr>
        <w:t>círculo hermenéutico</w:t>
      </w:r>
      <w:r w:rsidRPr="00372231">
        <w:rPr>
          <w:rFonts w:ascii="Times New Roman" w:eastAsia="Times New Roman" w:hAnsi="Times New Roman" w:cs="Times New Roman"/>
          <w:sz w:val="24"/>
          <w:szCs w:val="24"/>
          <w:lang w:eastAsia="es-CR"/>
        </w:rPr>
        <w:t xml:space="preserve"> en clave computacional. Permite que ETHNOS no se limite a resumir textos, sino que genere un razonamiento sostenido capaz de articular hipótesis interpretativas complejas.</w:t>
      </w:r>
    </w:p>
    <w:p w:rsidR="00372231" w:rsidRPr="00372231" w:rsidRDefault="00372231" w:rsidP="00372231">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372231">
        <w:rPr>
          <w:rFonts w:ascii="Times New Roman" w:eastAsia="Times New Roman" w:hAnsi="Times New Roman" w:cs="Times New Roman"/>
          <w:b/>
          <w:bCs/>
          <w:sz w:val="27"/>
          <w:szCs w:val="27"/>
          <w:lang w:eastAsia="es-CR"/>
        </w:rPr>
        <w:t>4. Sostener el razonamiento en el tiempo: de los laberintos al discurso social</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Los resultados de HRM en tareas como los laberintos de 30x30 o los sudokus de alta dificultad muestran que puede mantener la coherencia de un proceso largo sin colapsar. Trasladado a ETHNOS, esto significa que el sistema podría acompañar análisis narrativos prolongados sin caer en reiteraciones vacías. Por ejemplo, en un estudio de acreditación universitaria, donde los discursos de estudiantes, docentes y pares evaluadores deben integrarse, ETHNOS-HRM permitiría sostener una línea interpretativa durante cientos de páginas de transcripción, preservando la coherencia general.</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 xml:space="preserve">En este sentido, HRM dota a ETHNOS de una capacidad crucial: la de </w:t>
      </w:r>
      <w:r w:rsidRPr="00372231">
        <w:rPr>
          <w:rFonts w:ascii="Times New Roman" w:eastAsia="Times New Roman" w:hAnsi="Times New Roman" w:cs="Times New Roman"/>
          <w:b/>
          <w:bCs/>
          <w:sz w:val="24"/>
          <w:szCs w:val="24"/>
          <w:lang w:eastAsia="es-CR"/>
        </w:rPr>
        <w:t>actuar como maratonista hermenéutico</w:t>
      </w:r>
      <w:r w:rsidRPr="00372231">
        <w:rPr>
          <w:rFonts w:ascii="Times New Roman" w:eastAsia="Times New Roman" w:hAnsi="Times New Roman" w:cs="Times New Roman"/>
          <w:sz w:val="24"/>
          <w:szCs w:val="24"/>
          <w:lang w:eastAsia="es-CR"/>
        </w:rPr>
        <w:t>, capaz de sostener razonamientos largos, a diferencia de los modelos actuales que actúan como velocistas. Esto se traduce en mayor fiabilidad en estudios cualitativos de largo aliento, donde la riqueza interpretativa depende de la capacidad de mantener viva la coherencia global.</w:t>
      </w:r>
    </w:p>
    <w:p w:rsidR="00372231" w:rsidRPr="00372231" w:rsidRDefault="00372231" w:rsidP="00372231">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372231">
        <w:rPr>
          <w:rFonts w:ascii="Times New Roman" w:eastAsia="Times New Roman" w:hAnsi="Times New Roman" w:cs="Times New Roman"/>
          <w:b/>
          <w:bCs/>
          <w:sz w:val="27"/>
          <w:szCs w:val="27"/>
          <w:lang w:eastAsia="es-CR"/>
        </w:rPr>
        <w:t>5. Eficiencia interpretativa y economía de recursos</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 xml:space="preserve">El hecho de que HRM logre resultados superiores con apenas 27 millones de parámetros y 1,000 ejemplos de entrenamiento ofrece una lección valiosa para ETHNOS. No se requiere un consumo masivo de datos para producir interpretaciones significativas. De hecho, la </w:t>
      </w:r>
      <w:r w:rsidRPr="00372231">
        <w:rPr>
          <w:rFonts w:ascii="Times New Roman" w:eastAsia="Times New Roman" w:hAnsi="Times New Roman" w:cs="Times New Roman"/>
          <w:sz w:val="24"/>
          <w:szCs w:val="24"/>
          <w:lang w:eastAsia="es-CR"/>
        </w:rPr>
        <w:lastRenderedPageBreak/>
        <w:t>antropología cualitativa siempre ha sostenido que un número reducido de casos, analizados en profundidad, puede producir generalizaciones interpretativas poderosas (Small, 2009). HRM confirma esta intuición: la clave no está en la cantidad de insumos, sino en la forma jerárquica de procesarlos.</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 xml:space="preserve">ETHNOS puede entonces diseñar protocolos de </w:t>
      </w:r>
      <w:r w:rsidRPr="00372231">
        <w:rPr>
          <w:rFonts w:ascii="Times New Roman" w:eastAsia="Times New Roman" w:hAnsi="Times New Roman" w:cs="Times New Roman"/>
          <w:b/>
          <w:bCs/>
          <w:sz w:val="24"/>
          <w:szCs w:val="24"/>
          <w:lang w:eastAsia="es-CR"/>
        </w:rPr>
        <w:t>economía interpretativa</w:t>
      </w:r>
      <w:r w:rsidRPr="00372231">
        <w:rPr>
          <w:rFonts w:ascii="Times New Roman" w:eastAsia="Times New Roman" w:hAnsi="Times New Roman" w:cs="Times New Roman"/>
          <w:sz w:val="24"/>
          <w:szCs w:val="24"/>
          <w:lang w:eastAsia="es-CR"/>
        </w:rPr>
        <w:t>, donde pocos casos se analicen de manera densa gracias a la interacción jerárquica entre niveles. Esto no solo aumenta la eficiencia, sino que respeta la tradición cualitativa de privilegiar la profundidad sobre la amplitud.</w:t>
      </w:r>
    </w:p>
    <w:p w:rsidR="00372231" w:rsidRPr="00372231" w:rsidRDefault="00372231" w:rsidP="00372231">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372231">
        <w:rPr>
          <w:rFonts w:ascii="Times New Roman" w:eastAsia="Times New Roman" w:hAnsi="Times New Roman" w:cs="Times New Roman"/>
          <w:b/>
          <w:bCs/>
          <w:sz w:val="27"/>
          <w:szCs w:val="27"/>
          <w:lang w:eastAsia="es-CR"/>
        </w:rPr>
        <w:t>6. Integración documental en ODISEO</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Como derivado del Documento Madre HRM-ODISEO, este instructivo se subordina a su marco epistemológico. Toda aplicación en ETHNOS debe enlazarse explícitamente con el documento central, de manera que la coherencia se mantenga y las actualizaciones del paradigma HRM se propaguen automáticamente. Así, si ODISEO actualiza el documento madre con nuevos hallazgos neurocognitivos, ETHNOS podrá adaptar sus protocolos interpretativos sin generar duplicidades.</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En la práctica, esto significa que cada análisis hermenéutico desarrollado en ETHNOS debe declarar qué parte de su protocolo se inspira en HRM, especificando el rol del módulo H (coherencia narrativa) y del módulo L (análisis fragmentario). De este modo, la metodología etnográfica se mantiene alineada con la filosofía general de ODISEO.</w:t>
      </w:r>
    </w:p>
    <w:p w:rsidR="00372231" w:rsidRPr="00372231" w:rsidRDefault="00372231" w:rsidP="00372231">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372231">
        <w:rPr>
          <w:rFonts w:ascii="Times New Roman" w:eastAsia="Times New Roman" w:hAnsi="Times New Roman" w:cs="Times New Roman"/>
          <w:b/>
          <w:bCs/>
          <w:sz w:val="27"/>
          <w:szCs w:val="27"/>
          <w:lang w:eastAsia="es-CR"/>
        </w:rPr>
        <w:t>7. Proyección: hacia una hermenéutica asistida jerárquicamente</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 xml:space="preserve">El mayor aporte de HRM a ETHNOS es abrir la posibilidad de una </w:t>
      </w:r>
      <w:r w:rsidRPr="00372231">
        <w:rPr>
          <w:rFonts w:ascii="Times New Roman" w:eastAsia="Times New Roman" w:hAnsi="Times New Roman" w:cs="Times New Roman"/>
          <w:b/>
          <w:bCs/>
          <w:sz w:val="24"/>
          <w:szCs w:val="24"/>
          <w:lang w:eastAsia="es-CR"/>
        </w:rPr>
        <w:t>hermenéutica asistida jerárquicamente</w:t>
      </w:r>
      <w:r w:rsidRPr="00372231">
        <w:rPr>
          <w:rFonts w:ascii="Times New Roman" w:eastAsia="Times New Roman" w:hAnsi="Times New Roman" w:cs="Times New Roman"/>
          <w:sz w:val="24"/>
          <w:szCs w:val="24"/>
          <w:lang w:eastAsia="es-CR"/>
        </w:rPr>
        <w:t>. Hasta ahora, la IA en análisis cualitativo se limitaba a búsquedas temáticas o codificación automática, pero carecía de la capacidad de sostener razonamientos interpretativos prolongados. HRM muestra que esa limitación no es estructural: con una arquitectura jerárquica adecuada, un modelo puede organizar hipótesis, evaluar fragmentos y mantener coherencia global.</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t>ETHNOS, al adoptar este paradigma, se proyecta como un laboratorio pionero en la construcción de una inteligencia cualitativa capaz de dialogar con los investigadores humanos en procesos interpretativos largos y complejos. Esto no sustituye la labor etnográfica, pero sí la potencia, ofreciendo un acompañamiento que reduce la dispersión, aumenta la coherencia y respeta la densidad de los materiales culturales.</w:t>
      </w:r>
    </w:p>
    <w:p w:rsidR="00372231" w:rsidRPr="00372231" w:rsidRDefault="00372231" w:rsidP="00372231">
      <w:pPr>
        <w:spacing w:after="0"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eastAsia="es-CR"/>
        </w:rPr>
        <w:pict>
          <v:rect id="_x0000_i1025" style="width:0;height:1.5pt" o:hralign="center" o:hrstd="t" o:hr="t" fillcolor="#a0a0a0" stroked="f"/>
        </w:pict>
      </w:r>
    </w:p>
    <w:p w:rsidR="00372231" w:rsidRPr="00372231" w:rsidRDefault="00372231" w:rsidP="00372231">
      <w:pPr>
        <w:spacing w:before="100" w:beforeAutospacing="1" w:after="100" w:afterAutospacing="1" w:line="240" w:lineRule="auto"/>
        <w:outlineLvl w:val="2"/>
        <w:rPr>
          <w:rFonts w:ascii="Times New Roman" w:eastAsia="Times New Roman" w:hAnsi="Times New Roman" w:cs="Times New Roman"/>
          <w:b/>
          <w:bCs/>
          <w:sz w:val="27"/>
          <w:szCs w:val="27"/>
          <w:lang w:eastAsia="es-CR"/>
        </w:rPr>
      </w:pPr>
      <w:r w:rsidRPr="00372231">
        <w:rPr>
          <w:rFonts w:ascii="Times New Roman" w:eastAsia="Times New Roman" w:hAnsi="Times New Roman" w:cs="Times New Roman"/>
          <w:b/>
          <w:bCs/>
          <w:sz w:val="27"/>
          <w:szCs w:val="27"/>
          <w:lang w:eastAsia="es-CR"/>
        </w:rPr>
        <w:t>Referencias</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val="en-US" w:eastAsia="es-CR"/>
        </w:rPr>
      </w:pPr>
      <w:r w:rsidRPr="00372231">
        <w:rPr>
          <w:rFonts w:ascii="Times New Roman" w:eastAsia="Times New Roman" w:hAnsi="Times New Roman" w:cs="Times New Roman"/>
          <w:sz w:val="24"/>
          <w:szCs w:val="24"/>
          <w:lang w:val="en-US" w:eastAsia="es-CR"/>
        </w:rPr>
        <w:t xml:space="preserve">Geertz, C. (1973). </w:t>
      </w:r>
      <w:r w:rsidRPr="00372231">
        <w:rPr>
          <w:rFonts w:ascii="Times New Roman" w:eastAsia="Times New Roman" w:hAnsi="Times New Roman" w:cs="Times New Roman"/>
          <w:i/>
          <w:iCs/>
          <w:sz w:val="24"/>
          <w:szCs w:val="24"/>
          <w:lang w:val="en-US" w:eastAsia="es-CR"/>
        </w:rPr>
        <w:t>The interpretation of cultures</w:t>
      </w:r>
      <w:r w:rsidRPr="00372231">
        <w:rPr>
          <w:rFonts w:ascii="Times New Roman" w:eastAsia="Times New Roman" w:hAnsi="Times New Roman" w:cs="Times New Roman"/>
          <w:sz w:val="24"/>
          <w:szCs w:val="24"/>
          <w:lang w:val="en-US" w:eastAsia="es-CR"/>
        </w:rPr>
        <w:t>. Basic Books.</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val="en-US" w:eastAsia="es-CR"/>
        </w:rPr>
      </w:pPr>
      <w:r w:rsidRPr="00372231">
        <w:rPr>
          <w:rFonts w:ascii="Times New Roman" w:eastAsia="Times New Roman" w:hAnsi="Times New Roman" w:cs="Times New Roman"/>
          <w:sz w:val="24"/>
          <w:szCs w:val="24"/>
          <w:lang w:val="en-US" w:eastAsia="es-CR"/>
        </w:rPr>
        <w:lastRenderedPageBreak/>
        <w:t xml:space="preserve">Ji, Z., Lee, N., Fries, J., Yu, T., &amp; Yang, Y. (2023). Survey of hallucination in natural language generation. </w:t>
      </w:r>
      <w:r w:rsidRPr="00372231">
        <w:rPr>
          <w:rFonts w:ascii="Times New Roman" w:eastAsia="Times New Roman" w:hAnsi="Times New Roman" w:cs="Times New Roman"/>
          <w:i/>
          <w:iCs/>
          <w:sz w:val="24"/>
          <w:szCs w:val="24"/>
          <w:lang w:val="en-US" w:eastAsia="es-CR"/>
        </w:rPr>
        <w:t>ACM Computing Surveys, 55</w:t>
      </w:r>
      <w:r w:rsidRPr="00372231">
        <w:rPr>
          <w:rFonts w:ascii="Times New Roman" w:eastAsia="Times New Roman" w:hAnsi="Times New Roman" w:cs="Times New Roman"/>
          <w:sz w:val="24"/>
          <w:szCs w:val="24"/>
          <w:lang w:val="en-US" w:eastAsia="es-CR"/>
        </w:rPr>
        <w:t>(12), 1–38. https://doi.org/10.1145/3571730</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val="en-US" w:eastAsia="es-CR"/>
        </w:rPr>
      </w:pPr>
      <w:r w:rsidRPr="00372231">
        <w:rPr>
          <w:rFonts w:ascii="Times New Roman" w:eastAsia="Times New Roman" w:hAnsi="Times New Roman" w:cs="Times New Roman"/>
          <w:sz w:val="24"/>
          <w:szCs w:val="24"/>
          <w:lang w:val="en-US" w:eastAsia="es-CR"/>
        </w:rPr>
        <w:t xml:space="preserve">Ricoeur, P. (1981). </w:t>
      </w:r>
      <w:r w:rsidRPr="00372231">
        <w:rPr>
          <w:rFonts w:ascii="Times New Roman" w:eastAsia="Times New Roman" w:hAnsi="Times New Roman" w:cs="Times New Roman"/>
          <w:i/>
          <w:iCs/>
          <w:sz w:val="24"/>
          <w:szCs w:val="24"/>
          <w:lang w:val="en-US" w:eastAsia="es-CR"/>
        </w:rPr>
        <w:t>Hermeneutics and the human sciences</w:t>
      </w:r>
      <w:r w:rsidRPr="00372231">
        <w:rPr>
          <w:rFonts w:ascii="Times New Roman" w:eastAsia="Times New Roman" w:hAnsi="Times New Roman" w:cs="Times New Roman"/>
          <w:sz w:val="24"/>
          <w:szCs w:val="24"/>
          <w:lang w:val="en-US" w:eastAsia="es-CR"/>
        </w:rPr>
        <w:t>. Cambridge University Press.</w:t>
      </w:r>
    </w:p>
    <w:p w:rsidR="00372231" w:rsidRPr="00372231" w:rsidRDefault="00372231" w:rsidP="00372231">
      <w:pPr>
        <w:spacing w:before="100" w:beforeAutospacing="1" w:after="100" w:afterAutospacing="1" w:line="240" w:lineRule="auto"/>
        <w:rPr>
          <w:rFonts w:ascii="Times New Roman" w:eastAsia="Times New Roman" w:hAnsi="Times New Roman" w:cs="Times New Roman"/>
          <w:sz w:val="24"/>
          <w:szCs w:val="24"/>
          <w:lang w:eastAsia="es-CR"/>
        </w:rPr>
      </w:pPr>
      <w:r w:rsidRPr="00372231">
        <w:rPr>
          <w:rFonts w:ascii="Times New Roman" w:eastAsia="Times New Roman" w:hAnsi="Times New Roman" w:cs="Times New Roman"/>
          <w:sz w:val="24"/>
          <w:szCs w:val="24"/>
          <w:lang w:val="en-US" w:eastAsia="es-CR"/>
        </w:rPr>
        <w:t xml:space="preserve">Small, M. L. (2009). “How many cases do I need?”: On science and the logic of case selection in field-based research. </w:t>
      </w:r>
      <w:proofErr w:type="spellStart"/>
      <w:r w:rsidRPr="00372231">
        <w:rPr>
          <w:rFonts w:ascii="Times New Roman" w:eastAsia="Times New Roman" w:hAnsi="Times New Roman" w:cs="Times New Roman"/>
          <w:i/>
          <w:iCs/>
          <w:sz w:val="24"/>
          <w:szCs w:val="24"/>
          <w:lang w:eastAsia="es-CR"/>
        </w:rPr>
        <w:t>Ethnography</w:t>
      </w:r>
      <w:proofErr w:type="spellEnd"/>
      <w:r w:rsidRPr="00372231">
        <w:rPr>
          <w:rFonts w:ascii="Times New Roman" w:eastAsia="Times New Roman" w:hAnsi="Times New Roman" w:cs="Times New Roman"/>
          <w:i/>
          <w:iCs/>
          <w:sz w:val="24"/>
          <w:szCs w:val="24"/>
          <w:lang w:eastAsia="es-CR"/>
        </w:rPr>
        <w:t>, 10</w:t>
      </w:r>
      <w:r w:rsidRPr="00372231">
        <w:rPr>
          <w:rFonts w:ascii="Times New Roman" w:eastAsia="Times New Roman" w:hAnsi="Times New Roman" w:cs="Times New Roman"/>
          <w:sz w:val="24"/>
          <w:szCs w:val="24"/>
          <w:lang w:eastAsia="es-CR"/>
        </w:rPr>
        <w:t>(1), 5–38. https://doi.org/10.1177/1466138108099586</w:t>
      </w:r>
    </w:p>
    <w:p w:rsidR="00D273DB" w:rsidRDefault="00D273DB">
      <w:bookmarkStart w:id="0" w:name="_GoBack"/>
      <w:bookmarkEnd w:id="0"/>
    </w:p>
    <w:sectPr w:rsidR="00D273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DE01CC"/>
    <w:multiLevelType w:val="multilevel"/>
    <w:tmpl w:val="28468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231"/>
    <w:rsid w:val="00372231"/>
    <w:rsid w:val="00D273DB"/>
    <w:rsid w:val="00DD3D6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F6D550-783B-4800-8C43-435C445A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3722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R"/>
    </w:rPr>
  </w:style>
  <w:style w:type="paragraph" w:styleId="Ttulo3">
    <w:name w:val="heading 3"/>
    <w:basedOn w:val="Normal"/>
    <w:link w:val="Ttulo3Car"/>
    <w:uiPriority w:val="9"/>
    <w:qFormat/>
    <w:rsid w:val="00372231"/>
    <w:pPr>
      <w:spacing w:before="100" w:beforeAutospacing="1" w:after="100" w:afterAutospacing="1" w:line="240" w:lineRule="auto"/>
      <w:outlineLvl w:val="2"/>
    </w:pPr>
    <w:rPr>
      <w:rFonts w:ascii="Times New Roman" w:eastAsia="Times New Roman" w:hAnsi="Times New Roman" w:cs="Times New Roman"/>
      <w:b/>
      <w:bCs/>
      <w:sz w:val="27"/>
      <w:szCs w:val="27"/>
      <w:lang w:eastAsia="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2231"/>
    <w:rPr>
      <w:rFonts w:ascii="Times New Roman" w:eastAsia="Times New Roman" w:hAnsi="Times New Roman" w:cs="Times New Roman"/>
      <w:b/>
      <w:bCs/>
      <w:kern w:val="36"/>
      <w:sz w:val="48"/>
      <w:szCs w:val="48"/>
      <w:lang w:eastAsia="es-CR"/>
    </w:rPr>
  </w:style>
  <w:style w:type="character" w:customStyle="1" w:styleId="Ttulo3Car">
    <w:name w:val="Título 3 Car"/>
    <w:basedOn w:val="Fuentedeprrafopredeter"/>
    <w:link w:val="Ttulo3"/>
    <w:uiPriority w:val="9"/>
    <w:rsid w:val="00372231"/>
    <w:rPr>
      <w:rFonts w:ascii="Times New Roman" w:eastAsia="Times New Roman" w:hAnsi="Times New Roman" w:cs="Times New Roman"/>
      <w:b/>
      <w:bCs/>
      <w:sz w:val="27"/>
      <w:szCs w:val="27"/>
      <w:lang w:eastAsia="es-CR"/>
    </w:rPr>
  </w:style>
  <w:style w:type="paragraph" w:styleId="NormalWeb">
    <w:name w:val="Normal (Web)"/>
    <w:basedOn w:val="Normal"/>
    <w:uiPriority w:val="99"/>
    <w:semiHidden/>
    <w:unhideWhenUsed/>
    <w:rsid w:val="00372231"/>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Textoennegrita">
    <w:name w:val="Strong"/>
    <w:basedOn w:val="Fuentedeprrafopredeter"/>
    <w:uiPriority w:val="22"/>
    <w:qFormat/>
    <w:rsid w:val="00372231"/>
    <w:rPr>
      <w:b/>
      <w:bCs/>
    </w:rPr>
  </w:style>
  <w:style w:type="character" w:styleId="nfasis">
    <w:name w:val="Emphasis"/>
    <w:basedOn w:val="Fuentedeprrafopredeter"/>
    <w:uiPriority w:val="20"/>
    <w:qFormat/>
    <w:rsid w:val="003722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74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1330</Words>
  <Characters>7321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CARTIN QUESADA</dc:creator>
  <cp:keywords/>
  <dc:description/>
  <cp:lastModifiedBy>JOHNNY CARTIN QUESADA</cp:lastModifiedBy>
  <cp:revision>1</cp:revision>
  <dcterms:created xsi:type="dcterms:W3CDTF">2025-09-01T03:14:00Z</dcterms:created>
  <dcterms:modified xsi:type="dcterms:W3CDTF">2025-09-01T03:14:00Z</dcterms:modified>
</cp:coreProperties>
</file>