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Become Manus Docling Fixture</w:t>
      </w:r>
    </w:p>
    <w:p>
      <w:r>
        <w:t>Docling should parse this local DOCX fixture without external credentials.</w:t>
      </w:r>
    </w:p>
    <w:p>
      <w:r>
        <w:t>The document mentions Crawl4AI, Playwright MCP, sandbox runtimes, and durable reports.</w:t>
      </w:r>
    </w:p>
    <w:sectPr/>
  </w:body>
</w:document>
</file>