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line="300"/>
        <w:jc w:val="center"/>
      </w:pPr>
      <w:r>
        <w:rPr>
          <w:b/>
          <w:bCs/>
          <w:color w:val="0F172A"/>
          <w:sz w:val="22"/>
          <w:szCs w:val="22"/>
        </w:rPr>
        <w:t xml:space="preserve">CORPORACIÓN UNIFICADA NACIONAL DE EDUCACIÓN SUPERIOR — CUN</w:t>
      </w:r>
    </w:p>
    <w:p>
      <w:pPr>
        <w:spacing w:after="800" w:line="300"/>
        <w:jc w:val="center"/>
      </w:pPr>
      <w:r>
        <w:rPr>
          <w:color w:val="475569"/>
          <w:sz w:val="22"/>
          <w:szCs w:val="22"/>
        </w:rPr>
        <w:t xml:space="preserve">Taller de Creación de Contenidos  ·  CSP0344</w:t>
      </w:r>
    </w:p>
    <w:p>
      <w:pPr>
        <w:spacing w:after="120" w:line="400"/>
        <w:jc w:val="center"/>
      </w:pPr>
      <w:r>
        <w:rPr>
          <w:color w:val="475569"/>
          <w:sz w:val="24"/>
          <w:szCs w:val="24"/>
        </w:rPr>
        <w:t xml:space="preserve">Actividad de Construcción Aplicada</w:t>
      </w:r>
    </w:p>
    <w:p>
      <w:pPr>
        <w:spacing w:after="200" w:line="480"/>
        <w:jc w:val="center"/>
      </w:pPr>
      <w:r>
        <w:rPr>
          <w:b/>
          <w:bCs/>
          <w:color w:val="0F172A"/>
          <w:sz w:val="44"/>
          <w:szCs w:val="44"/>
        </w:rPr>
        <w:t xml:space="preserve">El turno de la madrugada</w:t>
      </w:r>
    </w:p>
    <w:p>
      <w:pPr>
        <w:spacing w:after="900" w:line="320"/>
        <w:jc w:val="center"/>
      </w:pPr>
      <w:r>
        <w:rPr>
          <w:i/>
          <w:iCs/>
          <w:color w:val="475569"/>
          <w:sz w:val="22"/>
          <w:szCs w:val="22"/>
        </w:rPr>
        <w:t xml:space="preserve">Crónica hipertextual y episodio de audio  ·  Serie Turno de madrugada</w:t>
      </w:r>
    </w:p>
    <w:p>
      <w:pPr>
        <w:spacing w:after="100" w:line="320"/>
        <w:jc w:val="center"/>
      </w:pPr>
      <w:r>
        <w:rPr>
          <w:b/>
          <w:bCs/>
          <w:sz w:val="26"/>
          <w:szCs w:val="26"/>
        </w:rPr>
        <w:t xml:space="preserve">Leidy Carolina Granados Celis</w:t>
      </w:r>
    </w:p>
    <w:p>
      <w:pPr>
        <w:spacing w:after="900" w:line="320"/>
        <w:jc w:val="center"/>
      </w:pPr>
      <w:r>
        <w:rPr>
          <w:color w:val="475569"/>
          <w:sz w:val="22"/>
          <w:szCs w:val="22"/>
        </w:rPr>
        <w:t xml:space="preserve">Santa Marta, Magdalena</w:t>
      </w:r>
    </w:p>
    <w:p>
      <w:pPr>
        <w:spacing w:line="320"/>
        <w:jc w:val="center"/>
      </w:pPr>
      <w:r>
        <w:rPr>
          <w:color w:val="475569"/>
          <w:sz w:val="22"/>
          <w:szCs w:val="22"/>
        </w:rPr>
        <w:t xml:space="preserve">Septiembre de 2026</w:t>
      </w:r>
    </w:p>
    <w:p>
      <w:pPr>
        <w:shd w:color="FEF3C7" w:val="solid"/>
        <w:spacing w:after="160" w:before="120" w:line="300"/>
      </w:pPr>
      <w:r>
        <w:rPr>
          <w:b/>
          <w:bCs/>
          <w:color w:val="92400E"/>
          <w:sz w:val="22"/>
          <w:szCs w:val="22"/>
        </w:rPr>
        <w:t xml:space="preserve">PENDIENTE: insertar el logotipo institucional de la CUN en el encabezado de esta portada.</w:t>
      </w:r>
    </w:p>
    <w:p>
      <w:r>
        <w:br w:type="page"/>
      </w:r>
    </w:p>
    <w:p>
      <w:pPr>
        <w:sectPr>
          <w:pgSz w:w="11906" w:h="16838" w:orient="portrait"/>
          <w:pgMar w:top="1440" w:right="1440" w:bottom="1440" w:left="1440" w:header="708" w:footer="708" w:gutter="0"/>
          <w:pgNumType/>
          <w:docGrid w:linePitch="360"/>
        </w:sectPr>
      </w:pPr>
    </w:p>
    <w:p>
      <w:pPr>
        <w:pStyle w:val="Heading1"/>
        <w:spacing w:after="200" w:before="360" w:line="360"/>
      </w:pPr>
      <w:r>
        <w:rPr>
          <w:b/>
          <w:bCs/>
          <w:color w:val="0F172A"/>
          <w:sz w:val="30"/>
          <w:szCs w:val="30"/>
        </w:rPr>
        <w:t xml:space="preserve">Sección 1. Justificación estratégica: el mundo narrativo</w:t>
      </w:r>
    </w:p>
    <w:p>
      <w:pPr>
        <w:pStyle w:val="Heading2"/>
        <w:spacing w:after="140" w:before="280" w:line="360"/>
      </w:pPr>
      <w:r>
        <w:rPr>
          <w:b/>
          <w:bCs/>
          <w:color w:val="0369A1"/>
          <w:sz w:val="26"/>
          <w:szCs w:val="26"/>
        </w:rPr>
        <w:t xml:space="preserve">1.1 La temática y por qué se eligió</w:t>
      </w:r>
    </w:p>
    <w:p>
      <w:pPr>
        <w:spacing w:after="120" w:line="480"/>
        <w:jc w:val="both"/>
      </w:pPr>
      <w:r>
        <w:rPr>
          <w:sz w:val="24"/>
          <w:szCs w:val="24"/>
        </w:rPr>
        <w:t xml:space="preserve">La pieza parte de una observación sencilla y verificable: para una estudiante virtual que además trabaja y sostiene el cuidado de una casa, el estudio no ocupa un horario propio. Ocupa lo que sobra. Esa franja —la madrugada— no aparece en el sistema de cuentas nacionales, no aparece en el Código Sustantivo del Trabajo y no aparece en el reglamento estudiantil.</w:t>
      </w:r>
    </w:p>
    <w:p>
      <w:pPr>
        <w:spacing w:after="120" w:line="480"/>
        <w:jc w:val="both"/>
      </w:pPr>
      <w:r>
        <w:rPr>
          <w:sz w:val="24"/>
          <w:szCs w:val="24"/>
        </w:rPr>
        <w:t xml:space="preserve">El proyecto sostiene que trasnochar para estudiar no es un rasgo de indisciplina sino el resultado de una aritmética: cuando el trabajo remunerado, el trabajo de cuidado y las clases ya ocuparon el día, la única hora disponible es la que nadie reclama. Y demuestra esa tesis con documentos del propio Estado, no con opiniones.</w:t>
      </w:r>
    </w:p>
    <w:p>
      <w:pPr>
        <w:spacing w:after="120" w:line="480"/>
        <w:jc w:val="both"/>
      </w:pPr>
      <w:r>
        <w:rPr>
          <w:sz w:val="24"/>
          <w:szCs w:val="24"/>
        </w:rPr>
        <w:t xml:space="preserve">El tema se cruza con la salud mental, y por eso la cobertura se trató con reglas estrictas: ninguna descripción de métodos de autolesión, ningún testimonio inventado presentado como real, ninguna cifra sin fuente, y rutas de ayuda al cierre de cada pieza.</w:t>
      </w:r>
    </w:p>
    <w:p>
      <w:pPr>
        <w:pStyle w:val="Heading2"/>
        <w:spacing w:after="140" w:before="280" w:line="360"/>
      </w:pPr>
      <w:r>
        <w:rPr>
          <w:b/>
          <w:bCs/>
          <w:color w:val="0369A1"/>
          <w:sz w:val="26"/>
          <w:szCs w:val="26"/>
        </w:rPr>
        <w:t xml:space="preserve">1.2 Por qué estos dos formatos</w:t>
      </w:r>
    </w:p>
    <w:p>
      <w:pPr>
        <w:spacing w:after="120" w:line="480"/>
        <w:jc w:val="both"/>
      </w:pPr>
      <w:r>
        <w:rPr>
          <w:sz w:val="24"/>
          <w:szCs w:val="24"/>
        </w:rPr>
        <w:t xml:space="preserve">La crónica hipertextual se eligió porque el argumento depende de documentos que el lector debe poder comprobar sin abandonar el texto. Una capa que se abre desde una palabra permite enseñar el dato, su lectura correcta y su fuente en el mismo gesto de lectura. En papel esa comprobación obligaría a notas al pie; en video, a una sobreimpresión que nadie puede verificar.</w:t>
      </w:r>
    </w:p>
    <w:p>
      <w:pPr>
        <w:spacing w:after="120" w:line="480"/>
        <w:jc w:val="both"/>
      </w:pPr>
      <w:r>
        <w:rPr>
          <w:sz w:val="24"/>
          <w:szCs w:val="24"/>
        </w:rPr>
        <w:t xml:space="preserve">El episodio de audio se eligió porque hay una parte del asunto que ningún documento registra: el cansancio se oye. La voz en primera persona transmite el desgaste, la culpa y el silencio de la casa a esa hora sin necesidad de describirlos. El audio no repite la crónica: aporta la jornada completa, hora por hora, y la textura emocional que el texto documental no puede sostener sin volverse sentimental.</w:t>
      </w:r>
    </w:p>
    <w:p>
      <w:pPr>
        <w:pStyle w:val="Heading2"/>
        <w:spacing w:after="140" w:before="280" w:line="360"/>
      </w:pPr>
      <w:r>
        <w:rPr>
          <w:b/>
          <w:bCs/>
          <w:color w:val="0369A1"/>
          <w:sz w:val="26"/>
          <w:szCs w:val="26"/>
        </w:rPr>
        <w:t xml:space="preserve">1.3 Público objetivo</w:t>
      </w:r>
    </w:p>
    <w:p>
      <w:pPr>
        <w:spacing w:after="120" w:line="480"/>
        <w:jc w:val="both"/>
      </w:pPr>
      <w:r>
        <w:rPr>
          <w:sz w:val="24"/>
          <w:szCs w:val="24"/>
        </w:rPr>
        <w:t xml:space="preserve">Público principal. Estudiantes de educación superior en modalidad virtual en Colombia, entre 25 y 45 años, que compaginan el estudio con trabajo remunerado y con trabajo de cuidado no remunerado. Mayoritariamente mujeres, en ciudades intermedias.</w:t>
      </w:r>
    </w:p>
    <w:p>
      <w:pPr>
        <w:spacing w:after="120" w:line="480"/>
        <w:jc w:val="both"/>
      </w:pPr>
      <w:r>
        <w:rPr>
          <w:sz w:val="24"/>
          <w:szCs w:val="24"/>
        </w:rPr>
        <w:t xml:space="preserve">Público secundario. Personal de bienestar universitario, coordinaciones académicas de programas virtuales y responsables de políticas institucionales de salud mental.</w:t>
      </w:r>
    </w:p>
    <w:p>
      <w:pPr>
        <w:spacing w:after="120" w:line="480"/>
        <w:jc w:val="both"/>
      </w:pPr>
      <w:r>
        <w:rPr>
          <w:sz w:val="24"/>
          <w:szCs w:val="24"/>
        </w:rPr>
        <w:t xml:space="preserve">Público terciario. Periodistas y comunicadores interesados en economía del cuidado y en educación virtual.</w:t>
      </w:r>
    </w:p>
    <w:p>
      <w:pPr>
        <w:pStyle w:val="Heading2"/>
        <w:spacing w:after="140" w:before="280" w:line="360"/>
      </w:pPr>
      <w:r>
        <w:rPr>
          <w:b/>
          <w:bCs/>
          <w:color w:val="0369A1"/>
          <w:sz w:val="26"/>
          <w:szCs w:val="26"/>
        </w:rPr>
        <w:t xml:space="preserve">1.4 Mapa de empatía del prosumidor</w:t>
      </w:r>
    </w:p>
    <w:tbl>
      <w:tblPr>
        <w:tblW w:type="pct" w:w="100%"/>
        <w:tblBorders>
          <w:top w:val="single" w:color="CBD5E1" w:sz="2"/>
          <w:left w:val="single" w:color="CBD5E1" w:sz="2"/>
          <w:bottom w:val="single" w:color="CBD5E1" w:sz="2"/>
          <w:right w:val="single" w:color="CBD5E1" w:sz="2"/>
          <w:insideH w:val="single" w:color="E2E8F0" w:sz="1"/>
          <w:insideV w:val="single" w:color="E2E8F0" w:sz="1"/>
        </w:tblBorders>
      </w:tblPr>
      <w:tblGrid>
        <w:gridCol w:w="100"/>
        <w:gridCol w:w="100"/>
      </w:tblGrid>
      <w:tr>
        <w:trPr>
          <w:tblHeader/>
        </w:trPr>
        <w:tc>
          <w:tcPr>
            <w:tcW w:type="pct" w:w="24%"/>
            <w:shd w:color="0F172A" w:val="solid"/>
            <w:tcMar>
              <w:top w:type="dxa" w:w="80"/>
              <w:left w:type="dxa" w:w="110"/>
              <w:bottom w:type="dxa" w:w="80"/>
              <w:right w:type="dxa" w:w="110"/>
            </w:tcMar>
          </w:tcPr>
          <w:p>
            <w:pPr>
              <w:spacing w:line="260"/>
            </w:pPr>
            <w:r>
              <w:rPr>
                <w:b/>
                <w:bCs/>
                <w:color w:val="FFFFFF"/>
                <w:sz w:val="19"/>
                <w:szCs w:val="19"/>
              </w:rPr>
              <w:t xml:space="preserve">Dimensión</w:t>
            </w:r>
          </w:p>
        </w:tc>
        <w:tc>
          <w:tcPr>
            <w:tcW w:type="pct" w:w="76%"/>
            <w:shd w:color="0F172A" w:val="solid"/>
            <w:tcMar>
              <w:top w:type="dxa" w:w="80"/>
              <w:left w:type="dxa" w:w="110"/>
              <w:bottom w:type="dxa" w:w="80"/>
              <w:right w:type="dxa" w:w="110"/>
            </w:tcMar>
          </w:tcPr>
          <w:p>
            <w:pPr>
              <w:spacing w:line="260"/>
            </w:pPr>
            <w:r>
              <w:rPr>
                <w:b/>
                <w:bCs/>
                <w:color w:val="FFFFFF"/>
                <w:sz w:val="19"/>
                <w:szCs w:val="19"/>
              </w:rPr>
              <w:t xml:space="preserve">Descripción</w:t>
            </w:r>
          </w:p>
        </w:tc>
      </w:tr>
      <w:tr>
        <w:tc>
          <w:tcPr>
            <w:tcW w:type="pct" w:w="24%"/>
            <w:tcMar>
              <w:top w:type="dxa" w:w="80"/>
              <w:left w:type="dxa" w:w="110"/>
              <w:bottom w:type="dxa" w:w="80"/>
              <w:right w:type="dxa" w:w="110"/>
            </w:tcMar>
          </w:tcPr>
          <w:p>
            <w:pPr>
              <w:spacing w:line="260"/>
            </w:pPr>
            <w:r>
              <w:rPr>
                <w:b w:val="false"/>
                <w:bCs w:val="false"/>
                <w:color w:val="000000"/>
                <w:sz w:val="19"/>
                <w:szCs w:val="19"/>
              </w:rPr>
              <w:t xml:space="preserve">¿Qué piensa y siente?</w:t>
            </w:r>
          </w:p>
        </w:tc>
        <w:tc>
          <w:tcPr>
            <w:tcW w:type="pct" w:w="76%"/>
            <w:tcMar>
              <w:top w:type="dxa" w:w="80"/>
              <w:left w:type="dxa" w:w="110"/>
              <w:bottom w:type="dxa" w:w="80"/>
              <w:right w:type="dxa" w:w="110"/>
            </w:tcMar>
          </w:tcPr>
          <w:p>
            <w:pPr>
              <w:spacing w:line="260"/>
            </w:pPr>
            <w:r>
              <w:rPr>
                <w:b w:val="false"/>
                <w:bCs w:val="false"/>
                <w:color w:val="000000"/>
                <w:sz w:val="19"/>
                <w:szCs w:val="19"/>
              </w:rPr>
              <w:t xml:space="preserve">Que el cansancio es culpa suya. Que si se organizara mejor le alcanzaría el día. Culpa por el tiempo que no le da a su familia, aunque haya estado presente todo el día.</w:t>
            </w:r>
          </w:p>
        </w:tc>
      </w:tr>
      <w:tr>
        <w:tc>
          <w:tcPr>
            <w:tcW w:type="pct" w:w="24%"/>
            <w:tcMar>
              <w:top w:type="dxa" w:w="80"/>
              <w:left w:type="dxa" w:w="110"/>
              <w:bottom w:type="dxa" w:w="80"/>
              <w:right w:type="dxa" w:w="110"/>
            </w:tcMar>
          </w:tcPr>
          <w:p>
            <w:pPr>
              <w:spacing w:line="260"/>
            </w:pPr>
            <w:r>
              <w:rPr>
                <w:b w:val="false"/>
                <w:bCs w:val="false"/>
                <w:color w:val="000000"/>
                <w:sz w:val="19"/>
                <w:szCs w:val="19"/>
              </w:rPr>
              <w:t xml:space="preserve">¿Qué ve?</w:t>
            </w:r>
          </w:p>
        </w:tc>
        <w:tc>
          <w:tcPr>
            <w:tcW w:type="pct" w:w="76%"/>
            <w:tcMar>
              <w:top w:type="dxa" w:w="80"/>
              <w:left w:type="dxa" w:w="110"/>
              <w:bottom w:type="dxa" w:w="80"/>
              <w:right w:type="dxa" w:w="110"/>
            </w:tcMar>
          </w:tcPr>
          <w:p>
            <w:pPr>
              <w:spacing w:line="260"/>
            </w:pPr>
            <w:r>
              <w:rPr>
                <w:b w:val="false"/>
                <w:bCs w:val="false"/>
                <w:color w:val="000000"/>
                <w:sz w:val="19"/>
                <w:szCs w:val="19"/>
              </w:rPr>
              <w:t xml:space="preserve">Compañeros que parecen ir al mismo ritmo. Plataformas que cierran a las 11:59. Publicidad institucional que promete flexibilidad. Ningún edificio al que acudir.</w:t>
            </w:r>
          </w:p>
        </w:tc>
      </w:tr>
      <w:tr>
        <w:tc>
          <w:tcPr>
            <w:tcW w:type="pct" w:w="24%"/>
            <w:tcMar>
              <w:top w:type="dxa" w:w="80"/>
              <w:left w:type="dxa" w:w="110"/>
              <w:bottom w:type="dxa" w:w="80"/>
              <w:right w:type="dxa" w:w="110"/>
            </w:tcMar>
          </w:tcPr>
          <w:p>
            <w:pPr>
              <w:spacing w:line="260"/>
            </w:pPr>
            <w:r>
              <w:rPr>
                <w:b w:val="false"/>
                <w:bCs w:val="false"/>
                <w:color w:val="000000"/>
                <w:sz w:val="19"/>
                <w:szCs w:val="19"/>
              </w:rPr>
              <w:t xml:space="preserve">¿Qué oye?</w:t>
            </w:r>
          </w:p>
        </w:tc>
        <w:tc>
          <w:tcPr>
            <w:tcW w:type="pct" w:w="76%"/>
            <w:tcMar>
              <w:top w:type="dxa" w:w="80"/>
              <w:left w:type="dxa" w:w="110"/>
              <w:bottom w:type="dxa" w:w="80"/>
              <w:right w:type="dxa" w:w="110"/>
            </w:tcMar>
          </w:tcPr>
          <w:p>
            <w:pPr>
              <w:spacing w:line="260"/>
            </w:pPr>
            <w:r>
              <w:rPr>
                <w:b w:val="false"/>
                <w:bCs w:val="false"/>
                <w:color w:val="000000"/>
                <w:sz w:val="19"/>
                <w:szCs w:val="19"/>
              </w:rPr>
              <w:t xml:space="preserve">Que la modalidad virtual es más cómoda. Que estudiar a su ritmo es una ventaja. Chistes del grupo sobre trasnochar, que normalizan el desgaste.</w:t>
            </w:r>
          </w:p>
        </w:tc>
      </w:tr>
      <w:tr>
        <w:tc>
          <w:tcPr>
            <w:tcW w:type="pct" w:w="24%"/>
            <w:tcMar>
              <w:top w:type="dxa" w:w="80"/>
              <w:left w:type="dxa" w:w="110"/>
              <w:bottom w:type="dxa" w:w="80"/>
              <w:right w:type="dxa" w:w="110"/>
            </w:tcMar>
          </w:tcPr>
          <w:p>
            <w:pPr>
              <w:spacing w:line="260"/>
            </w:pPr>
            <w:r>
              <w:rPr>
                <w:b w:val="false"/>
                <w:bCs w:val="false"/>
                <w:color w:val="000000"/>
                <w:sz w:val="19"/>
                <w:szCs w:val="19"/>
              </w:rPr>
              <w:t xml:space="preserve">¿Qué dice y hace?</w:t>
            </w:r>
          </w:p>
        </w:tc>
        <w:tc>
          <w:tcPr>
            <w:tcW w:type="pct" w:w="76%"/>
            <w:tcMar>
              <w:top w:type="dxa" w:w="80"/>
              <w:left w:type="dxa" w:w="110"/>
              <w:bottom w:type="dxa" w:w="80"/>
              <w:right w:type="dxa" w:w="110"/>
            </w:tcMar>
          </w:tcPr>
          <w:p>
            <w:pPr>
              <w:spacing w:line="260"/>
            </w:pPr>
            <w:r>
              <w:rPr>
                <w:b w:val="false"/>
                <w:bCs w:val="false"/>
                <w:color w:val="000000"/>
                <w:sz w:val="19"/>
                <w:szCs w:val="19"/>
              </w:rPr>
              <w:t xml:space="preserve">Responde "bien, con mucho trabajo". Llama disciplina a lo que es aritmética. Estudia entre la una y las tres de la mañana. No pide ayuda.</w:t>
            </w:r>
          </w:p>
        </w:tc>
      </w:tr>
      <w:tr>
        <w:tc>
          <w:tcPr>
            <w:tcW w:type="pct" w:w="24%"/>
            <w:tcMar>
              <w:top w:type="dxa" w:w="80"/>
              <w:left w:type="dxa" w:w="110"/>
              <w:bottom w:type="dxa" w:w="80"/>
              <w:right w:type="dxa" w:w="110"/>
            </w:tcMar>
          </w:tcPr>
          <w:p>
            <w:pPr>
              <w:spacing w:line="260"/>
            </w:pPr>
            <w:r>
              <w:rPr>
                <w:b w:val="false"/>
                <w:bCs w:val="false"/>
                <w:color w:val="000000"/>
                <w:sz w:val="19"/>
                <w:szCs w:val="19"/>
              </w:rPr>
              <w:t xml:space="preserve">Dolores</w:t>
            </w:r>
          </w:p>
        </w:tc>
        <w:tc>
          <w:tcPr>
            <w:tcW w:type="pct" w:w="76%"/>
            <w:tcMar>
              <w:top w:type="dxa" w:w="80"/>
              <w:left w:type="dxa" w:w="110"/>
              <w:bottom w:type="dxa" w:w="80"/>
              <w:right w:type="dxa" w:w="110"/>
            </w:tcMar>
          </w:tcPr>
          <w:p>
            <w:pPr>
              <w:spacing w:line="260"/>
            </w:pPr>
            <w:r>
              <w:rPr>
                <w:b w:val="false"/>
                <w:bCs w:val="false"/>
                <w:color w:val="000000"/>
                <w:sz w:val="19"/>
                <w:szCs w:val="19"/>
              </w:rPr>
              <w:t xml:space="preserve">No tener una hora propia. No saber a quién acudir de madrugada. No distinguir cuándo el cansancio deja de ser cansancio. Sentir que llega tarde a su propia familia.</w:t>
            </w:r>
          </w:p>
        </w:tc>
      </w:tr>
      <w:tr>
        <w:tc>
          <w:tcPr>
            <w:tcW w:type="pct" w:w="24%"/>
            <w:tcMar>
              <w:top w:type="dxa" w:w="80"/>
              <w:left w:type="dxa" w:w="110"/>
              <w:bottom w:type="dxa" w:w="80"/>
              <w:right w:type="dxa" w:w="110"/>
            </w:tcMar>
          </w:tcPr>
          <w:p>
            <w:pPr>
              <w:spacing w:line="260"/>
            </w:pPr>
            <w:r>
              <w:rPr>
                <w:b w:val="false"/>
                <w:bCs w:val="false"/>
                <w:color w:val="000000"/>
                <w:sz w:val="19"/>
                <w:szCs w:val="19"/>
              </w:rPr>
              <w:t xml:space="preserve">Ganancias esperadas</w:t>
            </w:r>
          </w:p>
        </w:tc>
        <w:tc>
          <w:tcPr>
            <w:tcW w:type="pct" w:w="76%"/>
            <w:tcMar>
              <w:top w:type="dxa" w:w="80"/>
              <w:left w:type="dxa" w:w="110"/>
              <w:bottom w:type="dxa" w:w="80"/>
              <w:right w:type="dxa" w:w="110"/>
            </w:tcMar>
          </w:tcPr>
          <w:p>
            <w:pPr>
              <w:spacing w:line="260"/>
            </w:pPr>
            <w:r>
              <w:rPr>
                <w:b w:val="false"/>
                <w:bCs w:val="false"/>
                <w:color w:val="000000"/>
                <w:sz w:val="19"/>
                <w:szCs w:val="19"/>
              </w:rPr>
              <w:t xml:space="preserve">Nombrar lo que le pasa y descubrir que está medido. Saber que existe la Línea 106. Comprobar que no es la única. Tener argumentos documentados para pedirle algo concreto a su institución.</w:t>
            </w:r>
          </w:p>
        </w:tc>
      </w:tr>
    </w:tbl>
    <w:p>
      <w:r>
        <w:br w:type="page"/>
      </w:r>
    </w:p>
    <w:p>
      <w:pPr>
        <w:pStyle w:val="Heading1"/>
        <w:spacing w:after="200" w:before="360" w:line="360"/>
      </w:pPr>
      <w:r>
        <w:rPr>
          <w:b/>
          <w:bCs/>
          <w:color w:val="0F172A"/>
          <w:sz w:val="30"/>
          <w:szCs w:val="30"/>
        </w:rPr>
        <w:t xml:space="preserve">Sección 2. Soporte teórico y arquitectura transmedia</w:t>
      </w:r>
    </w:p>
    <w:p>
      <w:pPr>
        <w:pStyle w:val="Heading2"/>
        <w:spacing w:after="140" w:before="280" w:line="360"/>
      </w:pPr>
      <w:r>
        <w:rPr>
          <w:b/>
          <w:bCs/>
          <w:color w:val="0369A1"/>
          <w:sz w:val="26"/>
          <w:szCs w:val="26"/>
        </w:rPr>
        <w:t xml:space="preserve">2.1 Cultura de la convergencia (Jenkins)</w:t>
      </w:r>
    </w:p>
    <w:p>
      <w:pPr>
        <w:spacing w:after="120" w:line="480"/>
        <w:jc w:val="both"/>
      </w:pPr>
      <w:r>
        <w:rPr>
          <w:sz w:val="24"/>
          <w:szCs w:val="24"/>
        </w:rPr>
        <w:t xml:space="preserve">Jenkins describe la convergencia no como un fenómeno tecnológico sino cultural: el contenido fluye entre plataformas y el público participa activamente en su circulación. En este proyecto esa lógica se aplica en dos direcciones. Hacia afuera, la historia existe en dos soportes que no se sustituyen. Hacia adentro, el público no es receptor: el muro de aportes y la encuesta convierten la lectura en una contribución que se incorpora a la pieza y queda visible para quien llegue después.</w:t>
      </w:r>
    </w:p>
    <w:p>
      <w:pPr>
        <w:pStyle w:val="Heading2"/>
        <w:spacing w:after="140" w:before="280" w:line="360"/>
      </w:pPr>
      <w:r>
        <w:rPr>
          <w:b/>
          <w:bCs/>
          <w:color w:val="0369A1"/>
          <w:sz w:val="26"/>
          <w:szCs w:val="26"/>
        </w:rPr>
        <w:t xml:space="preserve">2.2 Narrativas transmedia y prosumidor (Scolari)</w:t>
      </w:r>
    </w:p>
    <w:p>
      <w:pPr>
        <w:spacing w:after="120" w:line="480"/>
        <w:jc w:val="both"/>
      </w:pPr>
      <w:r>
        <w:rPr>
          <w:sz w:val="24"/>
          <w:szCs w:val="24"/>
        </w:rPr>
        <w:t xml:space="preserve">Scolari define las narrativas transmedia por dos rasgos: la expansión del relato a través de varios medios y la participación del usuario. El proyecto aplica dos de sus estrategias. La expansión, porque el episodio de audio añade la jornada completa y su textura emocional, que el texto documental no contiene. Y la que Scolari llama el prosumidor, porque el lector puede escribir su propio turno y ese aporte pasa a formar parte del relato colectivo tras una revisión editorial.</w:t>
      </w:r>
    </w:p>
    <w:p>
      <w:pPr>
        <w:pStyle w:val="Heading2"/>
        <w:spacing w:after="140" w:before="280" w:line="360"/>
      </w:pPr>
      <w:r>
        <w:rPr>
          <w:b/>
          <w:bCs/>
          <w:color w:val="0369A1"/>
          <w:sz w:val="26"/>
          <w:szCs w:val="26"/>
        </w:rPr>
        <w:t xml:space="preserve">2.3 Aporte de Sierra</w:t>
      </w:r>
    </w:p>
    <w:p>
      <w:pPr>
        <w:shd w:color="FEF3C7" w:val="solid"/>
        <w:spacing w:after="160" w:before="120" w:line="300"/>
      </w:pPr>
      <w:r>
        <w:rPr>
          <w:b/>
          <w:bCs/>
          <w:color w:val="92400E"/>
          <w:sz w:val="22"/>
          <w:szCs w:val="22"/>
        </w:rPr>
        <w:t xml:space="preserve">[PENDIENTE: completar con el concepto de Sierra estudiado en clase y su cita exacta. No se incluye una referencia inventada.]</w:t>
      </w:r>
    </w:p>
    <w:p>
      <w:pPr>
        <w:pStyle w:val="Heading2"/>
        <w:spacing w:after="140" w:before="280" w:line="360"/>
      </w:pPr>
      <w:r>
        <w:rPr>
          <w:b/>
          <w:bCs/>
          <w:color w:val="0369A1"/>
          <w:sz w:val="26"/>
          <w:szCs w:val="26"/>
        </w:rPr>
        <w:t xml:space="preserve">2.4 Los dos nodos</w:t>
      </w:r>
    </w:p>
    <w:tbl>
      <w:tblPr>
        <w:tblW w:type="pct" w:w="100%"/>
        <w:tblBorders>
          <w:top w:val="single" w:color="CBD5E1" w:sz="2"/>
          <w:left w:val="single" w:color="CBD5E1" w:sz="2"/>
          <w:bottom w:val="single" w:color="CBD5E1" w:sz="2"/>
          <w:right w:val="single" w:color="CBD5E1" w:sz="2"/>
          <w:insideH w:val="single" w:color="E2E8F0" w:sz="1"/>
          <w:insideV w:val="single" w:color="E2E8F0" w:sz="1"/>
        </w:tblBorders>
      </w:tblPr>
      <w:tblGrid>
        <w:gridCol w:w="100"/>
        <w:gridCol w:w="100"/>
        <w:gridCol w:w="100"/>
        <w:gridCol w:w="100"/>
      </w:tblGrid>
      <w:tr>
        <w:trPr>
          <w:tblHeader/>
        </w:trPr>
        <w:tc>
          <w:tcPr>
            <w:tcW w:type="pct" w:w="16%"/>
            <w:shd w:color="0F172A" w:val="solid"/>
            <w:tcMar>
              <w:top w:type="dxa" w:w="80"/>
              <w:left w:type="dxa" w:w="110"/>
              <w:bottom w:type="dxa" w:w="80"/>
              <w:right w:type="dxa" w:w="110"/>
            </w:tcMar>
          </w:tcPr>
          <w:p>
            <w:pPr>
              <w:spacing w:line="260"/>
            </w:pPr>
            <w:r>
              <w:rPr>
                <w:b/>
                <w:bCs/>
                <w:color w:val="FFFFFF"/>
                <w:sz w:val="19"/>
                <w:szCs w:val="19"/>
              </w:rPr>
              <w:t xml:space="preserve">Nodo</w:t>
            </w:r>
          </w:p>
        </w:tc>
        <w:tc>
          <w:tcPr>
            <w:tcW w:type="pct" w:w="22%"/>
            <w:shd w:color="0F172A" w:val="solid"/>
            <w:tcMar>
              <w:top w:type="dxa" w:w="80"/>
              <w:left w:type="dxa" w:w="110"/>
              <w:bottom w:type="dxa" w:w="80"/>
              <w:right w:type="dxa" w:w="110"/>
            </w:tcMar>
          </w:tcPr>
          <w:p>
            <w:pPr>
              <w:spacing w:line="260"/>
            </w:pPr>
            <w:r>
              <w:rPr>
                <w:b/>
                <w:bCs/>
                <w:color w:val="FFFFFF"/>
                <w:sz w:val="19"/>
                <w:szCs w:val="19"/>
              </w:rPr>
              <w:t xml:space="preserve">Pieza</w:t>
            </w:r>
          </w:p>
        </w:tc>
        <w:tc>
          <w:tcPr>
            <w:tcW w:type="pct" w:w="14%"/>
            <w:shd w:color="0F172A" w:val="solid"/>
            <w:tcMar>
              <w:top w:type="dxa" w:w="80"/>
              <w:left w:type="dxa" w:w="110"/>
              <w:bottom w:type="dxa" w:w="80"/>
              <w:right w:type="dxa" w:w="110"/>
            </w:tcMar>
          </w:tcPr>
          <w:p>
            <w:pPr>
              <w:spacing w:line="260"/>
            </w:pPr>
            <w:r>
              <w:rPr>
                <w:b/>
                <w:bCs/>
                <w:color w:val="FFFFFF"/>
                <w:sz w:val="19"/>
                <w:szCs w:val="19"/>
              </w:rPr>
              <w:t xml:space="preserve">Plataforma</w:t>
            </w:r>
          </w:p>
        </w:tc>
        <w:tc>
          <w:tcPr>
            <w:tcW w:type="pct" w:w="48%"/>
            <w:shd w:color="0F172A" w:val="solid"/>
            <w:tcMar>
              <w:top w:type="dxa" w:w="80"/>
              <w:left w:type="dxa" w:w="110"/>
              <w:bottom w:type="dxa" w:w="80"/>
              <w:right w:type="dxa" w:w="110"/>
            </w:tcMar>
          </w:tcPr>
          <w:p>
            <w:pPr>
              <w:spacing w:line="260"/>
            </w:pPr>
            <w:r>
              <w:rPr>
                <w:b/>
                <w:bCs/>
                <w:color w:val="FFFFFF"/>
                <w:sz w:val="19"/>
                <w:szCs w:val="19"/>
              </w:rPr>
              <w:t xml:space="preserve">Qué aporta que no está en el otro</w:t>
            </w:r>
          </w:p>
        </w:tc>
      </w:tr>
      <w:tr>
        <w:tc>
          <w:tcPr>
            <w:tcW w:type="pct" w:w="16%"/>
            <w:tcMar>
              <w:top w:type="dxa" w:w="80"/>
              <w:left w:type="dxa" w:w="110"/>
              <w:bottom w:type="dxa" w:w="80"/>
              <w:right w:type="dxa" w:w="110"/>
            </w:tcMar>
          </w:tcPr>
          <w:p>
            <w:pPr>
              <w:spacing w:line="260"/>
            </w:pPr>
            <w:r>
              <w:rPr>
                <w:b w:val="false"/>
                <w:bCs w:val="false"/>
                <w:color w:val="000000"/>
                <w:sz w:val="19"/>
                <w:szCs w:val="19"/>
              </w:rPr>
              <w:t xml:space="preserve">Nodo 1 — El átomo</w:t>
            </w:r>
          </w:p>
        </w:tc>
        <w:tc>
          <w:tcPr>
            <w:tcW w:type="pct" w:w="22%"/>
            <w:tcMar>
              <w:top w:type="dxa" w:w="80"/>
              <w:left w:type="dxa" w:w="110"/>
              <w:bottom w:type="dxa" w:w="80"/>
              <w:right w:type="dxa" w:w="110"/>
            </w:tcMar>
          </w:tcPr>
          <w:p>
            <w:pPr>
              <w:spacing w:line="260"/>
            </w:pPr>
            <w:r>
              <w:rPr>
                <w:b w:val="false"/>
                <w:bCs w:val="false"/>
                <w:color w:val="000000"/>
                <w:sz w:val="19"/>
                <w:szCs w:val="19"/>
              </w:rPr>
              <w:t xml:space="preserve">Crónica hipertextual "El turno de la madrugada"</w:t>
            </w:r>
          </w:p>
        </w:tc>
        <w:tc>
          <w:tcPr>
            <w:tcW w:type="pct" w:w="14%"/>
            <w:tcMar>
              <w:top w:type="dxa" w:w="80"/>
              <w:left w:type="dxa" w:w="110"/>
              <w:bottom w:type="dxa" w:w="80"/>
              <w:right w:type="dxa" w:w="110"/>
            </w:tcMar>
          </w:tcPr>
          <w:p>
            <w:pPr>
              <w:spacing w:line="260"/>
            </w:pPr>
            <w:r>
              <w:rPr>
                <w:b w:val="false"/>
                <w:bCs w:val="false"/>
                <w:color w:val="000000"/>
                <w:sz w:val="19"/>
                <w:szCs w:val="19"/>
              </w:rPr>
              <w:t xml:space="preserve">Web propia</w:t>
            </w:r>
          </w:p>
        </w:tc>
        <w:tc>
          <w:tcPr>
            <w:tcW w:type="pct" w:w="48%"/>
            <w:tcMar>
              <w:top w:type="dxa" w:w="80"/>
              <w:left w:type="dxa" w:w="110"/>
              <w:bottom w:type="dxa" w:w="80"/>
              <w:right w:type="dxa" w:w="110"/>
            </w:tcMar>
          </w:tcPr>
          <w:p>
            <w:pPr>
              <w:spacing w:line="260"/>
            </w:pPr>
            <w:r>
              <w:rPr>
                <w:b w:val="false"/>
                <w:bCs w:val="false"/>
                <w:color w:val="000000"/>
                <w:sz w:val="19"/>
                <w:szCs w:val="19"/>
              </w:rPr>
              <w:t xml:space="preserve">El argumento documentado. Cinco capas complementarias que abren desde una palabra del texto y muestran el dato, su lectura correcta y su fuente. La cuenta del DANE, las tres leyes y la casilla vacía del Magdalena.</w:t>
            </w:r>
          </w:p>
        </w:tc>
      </w:tr>
      <w:tr>
        <w:tc>
          <w:tcPr>
            <w:tcW w:type="pct" w:w="16%"/>
            <w:tcMar>
              <w:top w:type="dxa" w:w="80"/>
              <w:left w:type="dxa" w:w="110"/>
              <w:bottom w:type="dxa" w:w="80"/>
              <w:right w:type="dxa" w:w="110"/>
            </w:tcMar>
          </w:tcPr>
          <w:p>
            <w:pPr>
              <w:spacing w:line="260"/>
            </w:pPr>
            <w:r>
              <w:rPr>
                <w:b w:val="false"/>
                <w:bCs w:val="false"/>
                <w:color w:val="000000"/>
                <w:sz w:val="19"/>
                <w:szCs w:val="19"/>
              </w:rPr>
              <w:t xml:space="preserve">Nodo 2 — La expansión</w:t>
            </w:r>
          </w:p>
        </w:tc>
        <w:tc>
          <w:tcPr>
            <w:tcW w:type="pct" w:w="22%"/>
            <w:tcMar>
              <w:top w:type="dxa" w:w="80"/>
              <w:left w:type="dxa" w:w="110"/>
              <w:bottom w:type="dxa" w:w="80"/>
              <w:right w:type="dxa" w:w="110"/>
            </w:tcMar>
          </w:tcPr>
          <w:p>
            <w:pPr>
              <w:spacing w:line="260"/>
            </w:pPr>
            <w:r>
              <w:rPr>
                <w:b w:val="false"/>
                <w:bCs w:val="false"/>
                <w:color w:val="000000"/>
                <w:sz w:val="19"/>
                <w:szCs w:val="19"/>
              </w:rPr>
              <w:t xml:space="preserve">Episodio de audio "Lo que queda del día"</w:t>
            </w:r>
          </w:p>
        </w:tc>
        <w:tc>
          <w:tcPr>
            <w:tcW w:type="pct" w:w="14%"/>
            <w:tcMar>
              <w:top w:type="dxa" w:w="80"/>
              <w:left w:type="dxa" w:w="110"/>
              <w:bottom w:type="dxa" w:w="80"/>
              <w:right w:type="dxa" w:w="110"/>
            </w:tcMar>
          </w:tcPr>
          <w:p>
            <w:pPr>
              <w:spacing w:line="260"/>
            </w:pPr>
            <w:r>
              <w:rPr>
                <w:b w:val="false"/>
                <w:bCs w:val="false"/>
                <w:color w:val="000000"/>
                <w:sz w:val="19"/>
                <w:szCs w:val="19"/>
              </w:rPr>
              <w:t xml:space="preserve">Spotify</w:t>
            </w:r>
          </w:p>
        </w:tc>
        <w:tc>
          <w:tcPr>
            <w:tcW w:type="pct" w:w="48%"/>
            <w:tcMar>
              <w:top w:type="dxa" w:w="80"/>
              <w:left w:type="dxa" w:w="110"/>
              <w:bottom w:type="dxa" w:w="80"/>
              <w:right w:type="dxa" w:w="110"/>
            </w:tcMar>
          </w:tcPr>
          <w:p>
            <w:pPr>
              <w:spacing w:line="260"/>
            </w:pPr>
            <w:r>
              <w:rPr>
                <w:b w:val="false"/>
                <w:bCs w:val="false"/>
                <w:color w:val="000000"/>
                <w:sz w:val="19"/>
                <w:szCs w:val="19"/>
              </w:rPr>
              <w:t xml:space="preserve">La jornada completa hora por hora, desde las cinco de la mañana. El hijo, la culpa, el fin de semana, el grupo de WhatsApp a las dos de la mañana. Información nueva que no cabe en el nodo principal y que en voz pesa distinto.</w:t>
            </w:r>
          </w:p>
        </w:tc>
      </w:tr>
    </w:tbl>
    <w:p>
      <w:pPr>
        <w:pStyle w:val="Heading2"/>
        <w:spacing w:after="140" w:before="280" w:line="360"/>
      </w:pPr>
      <w:r>
        <w:rPr>
          <w:b/>
          <w:bCs/>
          <w:color w:val="0369A1"/>
          <w:sz w:val="26"/>
          <w:szCs w:val="26"/>
        </w:rPr>
        <w:t xml:space="preserve">2.5 Navegación hipertextual</w:t>
      </w:r>
    </w:p>
    <w:p>
      <w:pPr>
        <w:spacing w:after="120" w:line="480"/>
        <w:jc w:val="both"/>
      </w:pPr>
      <w:r>
        <w:rPr>
          <w:sz w:val="24"/>
          <w:szCs w:val="24"/>
        </w:rPr>
        <w:t xml:space="preserve">La navegación no es lineal. La crónica se lee completa sin abrir ninguna capa: son complemento, no requisito. Desde el texto, cinco palabras marcadas abren su capa correspondiente; desde la barra lateral, cualquiera de las cinco es alcanzable sin recorrer el texto. El lector decide la profundidad.</w:t>
      </w:r>
    </w:p>
    <w:p>
      <w:pPr>
        <w:spacing w:after="120" w:line="480"/>
        <w:jc w:val="both"/>
      </w:pPr>
      <w:r>
        <w:rPr>
          <w:sz w:val="24"/>
          <w:szCs w:val="24"/>
        </w:rPr>
        <w:t xml:space="preserve">El panel cumple los requisitos de accesibilidad de un diálogo modal: rol declarado, atrapado de foco, cierre con Escape, con clic fuera y con botón visible, y devolución del foco a la palabra de origen al cerrar.</w:t>
      </w:r>
    </w:p>
    <w:p>
      <w:pPr>
        <w:pStyle w:val="Heading2"/>
        <w:spacing w:after="140" w:before="280" w:line="360"/>
      </w:pPr>
      <w:r>
        <w:rPr>
          <w:b/>
          <w:bCs/>
          <w:color w:val="0369A1"/>
          <w:sz w:val="26"/>
          <w:szCs w:val="26"/>
        </w:rPr>
        <w:t xml:space="preserve">2.6 Mapa rizomático de la estructura</w:t>
      </w:r>
    </w:p>
    <w:p>
      <w:pPr>
        <w:spacing w:after="80" w:before="200"/>
        <w:jc w:val="center"/>
      </w:pPr>
      <w:r>
        <w:drawing>
          <wp:inline distT="0" distB="0" distL="0" distR="0">
            <wp:extent cx="4953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343275"/>
                    </a:xfrm>
                    <a:prstGeom prst="rect">
                      <a:avLst/>
                    </a:prstGeom>
                  </pic:spPr>
                </pic:pic>
              </a:graphicData>
            </a:graphic>
          </wp:inline>
        </w:drawing>
      </w:r>
    </w:p>
    <w:p>
      <w:pPr>
        <w:spacing w:after="240" w:line="240"/>
        <w:jc w:val="center"/>
      </w:pPr>
      <w:r>
        <w:rPr>
          <w:i/>
          <w:iCs/>
          <w:color w:val="475569"/>
          <w:sz w:val="18"/>
          <w:szCs w:val="18"/>
        </w:rPr>
        <w:t xml:space="preserve">Figura 1. Mapa rizomático. La crónica al centro; con línea continua las cinco capas que abren desde una palabra del texto; con línea punteada las dos piezas que la acompañan.</w:t>
      </w:r>
    </w:p>
    <w:p>
      <w:r>
        <w:br w:type="page"/>
      </w:r>
    </w:p>
    <w:p>
      <w:pPr>
        <w:pStyle w:val="Heading1"/>
        <w:spacing w:after="200" w:before="360" w:line="360"/>
      </w:pPr>
      <w:r>
        <w:rPr>
          <w:b/>
          <w:bCs/>
          <w:color w:val="0F172A"/>
          <w:sz w:val="30"/>
          <w:szCs w:val="30"/>
        </w:rPr>
        <w:t xml:space="preserve">Sección 3. Enlaces y evidencias de los productos publicados</w:t>
      </w:r>
    </w:p>
    <w:tbl>
      <w:tblPr>
        <w:tblW w:type="pct" w:w="100%"/>
        <w:tblBorders>
          <w:top w:val="single" w:color="CBD5E1" w:sz="2"/>
          <w:left w:val="single" w:color="CBD5E1" w:sz="2"/>
          <w:bottom w:val="single" w:color="CBD5E1" w:sz="2"/>
          <w:right w:val="single" w:color="CBD5E1" w:sz="2"/>
          <w:insideH w:val="single" w:color="E2E8F0" w:sz="1"/>
          <w:insideV w:val="single" w:color="E2E8F0" w:sz="1"/>
        </w:tblBorders>
      </w:tblPr>
      <w:tblGrid>
        <w:gridCol w:w="100"/>
        <w:gridCol w:w="100"/>
      </w:tblGrid>
      <w:tr>
        <w:trPr>
          <w:tblHeader/>
        </w:trPr>
        <w:tc>
          <w:tcPr>
            <w:tcW w:type="pct" w:w="34%"/>
            <w:shd w:color="0F172A" w:val="solid"/>
            <w:tcMar>
              <w:top w:type="dxa" w:w="80"/>
              <w:left w:type="dxa" w:w="110"/>
              <w:bottom w:type="dxa" w:w="80"/>
              <w:right w:type="dxa" w:w="110"/>
            </w:tcMar>
          </w:tcPr>
          <w:p>
            <w:pPr>
              <w:spacing w:line="260"/>
            </w:pPr>
            <w:r>
              <w:rPr>
                <w:b/>
                <w:bCs/>
                <w:color w:val="FFFFFF"/>
                <w:sz w:val="19"/>
                <w:szCs w:val="19"/>
              </w:rPr>
              <w:t xml:space="preserve">Nodo</w:t>
            </w:r>
          </w:p>
        </w:tc>
        <w:tc>
          <w:tcPr>
            <w:tcW w:type="pct" w:w="66%"/>
            <w:shd w:color="0F172A" w:val="solid"/>
            <w:tcMar>
              <w:top w:type="dxa" w:w="80"/>
              <w:left w:type="dxa" w:w="110"/>
              <w:bottom w:type="dxa" w:w="80"/>
              <w:right w:type="dxa" w:w="110"/>
            </w:tcMar>
          </w:tcPr>
          <w:p>
            <w:pPr>
              <w:spacing w:line="260"/>
            </w:pPr>
            <w:r>
              <w:rPr>
                <w:b/>
                <w:bCs/>
                <w:color w:val="FFFFFF"/>
                <w:sz w:val="19"/>
                <w:szCs w:val="19"/>
              </w:rPr>
              <w:t xml:space="preserve">Enlace</w:t>
            </w:r>
          </w:p>
        </w:tc>
      </w:tr>
      <w:tr>
        <w:tc>
          <w:tcPr>
            <w:tcW w:type="pct" w:w="34%"/>
            <w:tcMar>
              <w:top w:type="dxa" w:w="80"/>
              <w:left w:type="dxa" w:w="110"/>
              <w:bottom w:type="dxa" w:w="80"/>
              <w:right w:type="dxa" w:w="110"/>
            </w:tcMar>
          </w:tcPr>
          <w:p>
            <w:pPr>
              <w:spacing w:line="260"/>
            </w:pPr>
            <w:r>
              <w:rPr>
                <w:b w:val="false"/>
                <w:bCs w:val="false"/>
                <w:color w:val="000000"/>
                <w:sz w:val="19"/>
                <w:szCs w:val="19"/>
              </w:rPr>
              <w:t xml:space="preserve">Nodo 1 — Crónica hipertextual</w:t>
            </w:r>
          </w:p>
        </w:tc>
        <w:tc>
          <w:tcPr>
            <w:tcW w:type="pct" w:w="66%"/>
            <w:tcMar>
              <w:top w:type="dxa" w:w="80"/>
              <w:left w:type="dxa" w:w="110"/>
              <w:bottom w:type="dxa" w:w="80"/>
              <w:right w:type="dxa" w:w="110"/>
            </w:tcMar>
          </w:tcPr>
          <w:p>
            <w:pPr>
              <w:spacing w:line="260"/>
            </w:pPr>
            <w:r>
              <w:rPr>
                <w:b w:val="false"/>
                <w:bCs w:val="false"/>
                <w:color w:val="000000"/>
                <w:sz w:val="19"/>
                <w:szCs w:val="19"/>
              </w:rPr>
              <w:t xml:space="preserve">https://turno-de-madrugada.vercel.app</w:t>
            </w:r>
          </w:p>
        </w:tc>
      </w:tr>
      <w:tr>
        <w:tc>
          <w:tcPr>
            <w:tcW w:type="pct" w:w="34%"/>
            <w:tcMar>
              <w:top w:type="dxa" w:w="80"/>
              <w:left w:type="dxa" w:w="110"/>
              <w:bottom w:type="dxa" w:w="80"/>
              <w:right w:type="dxa" w:w="110"/>
            </w:tcMar>
          </w:tcPr>
          <w:p>
            <w:pPr>
              <w:spacing w:line="260"/>
            </w:pPr>
            <w:r>
              <w:rPr>
                <w:b w:val="false"/>
                <w:bCs w:val="false"/>
                <w:color w:val="000000"/>
                <w:sz w:val="19"/>
                <w:szCs w:val="19"/>
              </w:rPr>
              <w:t xml:space="preserve">Nodo 2 — Episodio de audio</w:t>
            </w:r>
          </w:p>
        </w:tc>
        <w:tc>
          <w:tcPr>
            <w:tcW w:type="pct" w:w="66%"/>
            <w:tcMar>
              <w:top w:type="dxa" w:w="80"/>
              <w:left w:type="dxa" w:w="110"/>
              <w:bottom w:type="dxa" w:w="80"/>
              <w:right w:type="dxa" w:w="110"/>
            </w:tcMar>
          </w:tcPr>
          <w:p>
            <w:pPr>
              <w:spacing w:line="260"/>
            </w:pPr>
            <w:r>
              <w:rPr>
                <w:b w:val="false"/>
                <w:bCs w:val="false"/>
                <w:color w:val="000000"/>
                <w:sz w:val="19"/>
                <w:szCs w:val="19"/>
              </w:rPr>
              <w:t xml:space="preserve">[PENDIENTE: URL de Spotify]</w:t>
            </w:r>
          </w:p>
        </w:tc>
      </w:tr>
      <w:tr>
        <w:tc>
          <w:tcPr>
            <w:tcW w:type="pct" w:w="34%"/>
            <w:tcMar>
              <w:top w:type="dxa" w:w="80"/>
              <w:left w:type="dxa" w:w="110"/>
              <w:bottom w:type="dxa" w:w="80"/>
              <w:right w:type="dxa" w:w="110"/>
            </w:tcMar>
          </w:tcPr>
          <w:p>
            <w:pPr>
              <w:spacing w:line="260"/>
            </w:pPr>
            <w:r>
              <w:rPr>
                <w:b w:val="false"/>
                <w:bCs w:val="false"/>
                <w:color w:val="000000"/>
                <w:sz w:val="19"/>
                <w:szCs w:val="19"/>
              </w:rPr>
              <w:t xml:space="preserve">Código fuente del Nodo 1</w:t>
            </w:r>
          </w:p>
        </w:tc>
        <w:tc>
          <w:tcPr>
            <w:tcW w:type="pct" w:w="66%"/>
            <w:tcMar>
              <w:top w:type="dxa" w:w="80"/>
              <w:left w:type="dxa" w:w="110"/>
              <w:bottom w:type="dxa" w:w="80"/>
              <w:right w:type="dxa" w:w="110"/>
            </w:tcMar>
          </w:tcPr>
          <w:p>
            <w:pPr>
              <w:spacing w:line="260"/>
            </w:pPr>
            <w:r>
              <w:rPr>
                <w:b w:val="false"/>
                <w:bCs w:val="false"/>
                <w:color w:val="000000"/>
                <w:sz w:val="19"/>
                <w:szCs w:val="19"/>
              </w:rPr>
              <w:t xml:space="preserve">https://github.com/jcastr0polo/turno-de-madrugada</w:t>
            </w:r>
          </w:p>
        </w:tc>
      </w:tr>
    </w:tbl>
    <w:p>
      <w:pPr>
        <w:pStyle w:val="Heading2"/>
        <w:spacing w:after="140" w:before="280" w:line="360"/>
      </w:pPr>
      <w:r>
        <w:rPr>
          <w:b/>
          <w:bCs/>
          <w:color w:val="0369A1"/>
          <w:sz w:val="26"/>
          <w:szCs w:val="26"/>
        </w:rPr>
        <w:t xml:space="preserve">3.1 Nodo 1 publicado</w:t>
      </w:r>
    </w:p>
    <w:p>
      <w:pPr>
        <w:spacing w:after="80" w:before="2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19500"/>
                    </a:xfrm>
                    <a:prstGeom prst="rect">
                      <a:avLst/>
                    </a:prstGeom>
                  </pic:spPr>
                </pic:pic>
              </a:graphicData>
            </a:graphic>
          </wp:inline>
        </w:drawing>
      </w:r>
    </w:p>
    <w:p>
      <w:pPr>
        <w:spacing w:after="240" w:line="240"/>
        <w:jc w:val="center"/>
      </w:pPr>
      <w:r>
        <w:rPr>
          <w:i/>
          <w:iCs/>
          <w:color w:val="475569"/>
          <w:sz w:val="18"/>
          <w:szCs w:val="18"/>
        </w:rPr>
        <w:t xml:space="preserve">Figura 2. Portada de la crónica.</w:t>
      </w:r>
    </w:p>
    <w:p>
      <w:pPr>
        <w:spacing w:after="80" w:before="2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19500"/>
                    </a:xfrm>
                    <a:prstGeom prst="rect">
                      <a:avLst/>
                    </a:prstGeom>
                  </pic:spPr>
                </pic:pic>
              </a:graphicData>
            </a:graphic>
          </wp:inline>
        </w:drawing>
      </w:r>
    </w:p>
    <w:p>
      <w:pPr>
        <w:spacing w:after="240" w:line="240"/>
        <w:jc w:val="center"/>
      </w:pPr>
      <w:r>
        <w:rPr>
          <w:i/>
          <w:iCs/>
          <w:color w:val="475569"/>
          <w:sz w:val="18"/>
          <w:szCs w:val="18"/>
        </w:rPr>
        <w:t xml:space="preserve">Figura 3. Capa complementaria abierta desde una palabra del texto: la cifra, su lectura correcta y sus dos fuentes.</w:t>
      </w:r>
    </w:p>
    <w:p>
      <w:pPr>
        <w:spacing w:after="80" w:before="2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19500"/>
                    </a:xfrm>
                    <a:prstGeom prst="rect">
                      <a:avLst/>
                    </a:prstGeom>
                  </pic:spPr>
                </pic:pic>
              </a:graphicData>
            </a:graphic>
          </wp:inline>
        </w:drawing>
      </w:r>
    </w:p>
    <w:p>
      <w:pPr>
        <w:spacing w:after="240" w:line="240"/>
        <w:jc w:val="center"/>
      </w:pPr>
      <w:r>
        <w:rPr>
          <w:i/>
          <w:iCs/>
          <w:color w:val="475569"/>
          <w:sz w:val="18"/>
          <w:szCs w:val="18"/>
        </w:rPr>
        <w:t xml:space="preserve">Figura 4. Zona de participación: encuesta con resultados y muro de aportes del público.</w:t>
      </w:r>
    </w:p>
    <w:p>
      <w:pPr>
        <w:spacing w:after="80" w:before="2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19500"/>
                    </a:xfrm>
                    <a:prstGeom prst="rect">
                      <a:avLst/>
                    </a:prstGeom>
                  </pic:spPr>
                </pic:pic>
              </a:graphicData>
            </a:graphic>
          </wp:inline>
        </w:drawing>
      </w:r>
    </w:p>
    <w:p>
      <w:pPr>
        <w:spacing w:after="240" w:line="240"/>
        <w:jc w:val="center"/>
      </w:pPr>
      <w:r>
        <w:rPr>
          <w:i/>
          <w:iCs/>
          <w:color w:val="475569"/>
          <w:sz w:val="18"/>
          <w:szCs w:val="18"/>
        </w:rPr>
        <w:t xml:space="preserve">Figura 5. Lista pública de documentos con enlace a cada fuente oficial.</w:t>
      </w:r>
    </w:p>
    <w:p>
      <w:pPr>
        <w:pStyle w:val="Heading2"/>
        <w:spacing w:after="140" w:before="280" w:line="360"/>
      </w:pPr>
      <w:r>
        <w:rPr>
          <w:b/>
          <w:bCs/>
          <w:color w:val="0369A1"/>
          <w:sz w:val="26"/>
          <w:szCs w:val="26"/>
        </w:rPr>
        <w:t xml:space="preserve">3.2 Nodo 2 publicado</w:t>
      </w:r>
    </w:p>
    <w:p>
      <w:pPr>
        <w:shd w:color="FEF3C7" w:val="solid"/>
        <w:spacing w:after="160" w:before="120" w:line="300"/>
      </w:pPr>
      <w:r>
        <w:rPr>
          <w:b/>
          <w:bCs/>
          <w:color w:val="92400E"/>
          <w:sz w:val="22"/>
          <w:szCs w:val="22"/>
        </w:rPr>
        <w:t xml:space="preserve">PENDIENTE: insertar la URL de Spotify y la captura del episodio publicado.</w:t>
      </w:r>
    </w:p>
    <w:p>
      <w:r>
        <w:br w:type="page"/>
      </w:r>
    </w:p>
    <w:p>
      <w:pPr>
        <w:pStyle w:val="Heading1"/>
        <w:spacing w:after="200" w:before="360" w:line="360"/>
      </w:pPr>
      <w:r>
        <w:rPr>
          <w:b/>
          <w:bCs/>
          <w:color w:val="0F172A"/>
          <w:sz w:val="30"/>
          <w:szCs w:val="30"/>
        </w:rPr>
        <w:t xml:space="preserve">Sección 4. Control ético de la verdad</w:t>
      </w:r>
    </w:p>
    <w:p>
      <w:pPr>
        <w:pStyle w:val="Heading2"/>
        <w:spacing w:after="140" w:before="280" w:line="360"/>
      </w:pPr>
      <w:r>
        <w:rPr>
          <w:b/>
          <w:bCs/>
          <w:color w:val="0369A1"/>
          <w:sz w:val="26"/>
          <w:szCs w:val="26"/>
        </w:rPr>
        <w:t xml:space="preserve">4.1 Protocolo de verificación</w:t>
      </w:r>
    </w:p>
    <w:p>
      <w:pPr>
        <w:spacing w:after="60" w:before="160" w:line="360"/>
      </w:pPr>
      <w:r>
        <w:rPr>
          <w:b/>
          <w:bCs/>
          <w:sz w:val="24"/>
          <w:szCs w:val="24"/>
        </w:rPr>
        <w:t xml:space="preserve">Trazabilidad</w:t>
      </w:r>
    </w:p>
    <w:p>
      <w:pPr>
        <w:spacing w:after="120" w:line="480"/>
        <w:jc w:val="both"/>
      </w:pPr>
      <w:r>
        <w:rPr>
          <w:sz w:val="24"/>
          <w:szCs w:val="24"/>
        </w:rPr>
        <w:t xml:space="preserve">Ningún dato entra por la vía del medio que lo publicó primero: todo se rastrea hasta el documento que lo produjo. Las cifras del cuidado se tomaron del boletín del DANE, no de la nota de prensa que lo replicó. La ausencia de línea territorial en el Magdalena se comprobó en el directorio del Ministerio de Salud, no en una reseña.</w:t>
      </w:r>
    </w:p>
    <w:p>
      <w:pPr>
        <w:spacing w:after="60" w:before="160" w:line="360"/>
      </w:pPr>
      <w:r>
        <w:rPr>
          <w:b/>
          <w:bCs/>
          <w:sz w:val="24"/>
          <w:szCs w:val="24"/>
        </w:rPr>
        <w:t xml:space="preserve">Separación entre testimonio y afirmación</w:t>
      </w:r>
    </w:p>
    <w:p>
      <w:pPr>
        <w:spacing w:after="120" w:line="480"/>
        <w:jc w:val="both"/>
      </w:pPr>
      <w:r>
        <w:rPr>
          <w:sz w:val="24"/>
          <w:szCs w:val="24"/>
        </w:rPr>
        <w:t xml:space="preserve">Lo que le ocurre a la autora se narra en primera persona sin pretender representar a nadie. Todo lo que excede su experiencia solo se afirma con un documento detrás. Por eso la pieza no dice que las estudiantes virtuales trasnochan: dice que el trabajo de cuidado está medido y que esas horas existen.</w:t>
      </w:r>
    </w:p>
    <w:p>
      <w:pPr>
        <w:spacing w:after="60" w:before="160" w:line="360"/>
      </w:pPr>
      <w:r>
        <w:rPr>
          <w:b/>
          <w:bCs/>
          <w:sz w:val="24"/>
          <w:szCs w:val="24"/>
        </w:rPr>
        <w:t xml:space="preserve">Lectura del dato</w:t>
      </w:r>
    </w:p>
    <w:p>
      <w:pPr>
        <w:spacing w:after="120" w:line="480"/>
        <w:jc w:val="both"/>
      </w:pPr>
      <w:r>
        <w:rPr>
          <w:sz w:val="24"/>
          <w:szCs w:val="24"/>
        </w:rPr>
        <w:t xml:space="preserve">Cada cifra publicada va acompañada de una advertencia sobre cómo no debe leerse. La valoración del trabajo de cuidado es una estimación del costo de mercado de unas horas, no un ingreso que alguien reciba. Publicar la cifra sin esa aclaración induciría al error.</w:t>
      </w:r>
    </w:p>
    <w:p>
      <w:pPr>
        <w:spacing w:after="60" w:before="160" w:line="360"/>
      </w:pPr>
      <w:r>
        <w:rPr>
          <w:b/>
          <w:bCs/>
          <w:sz w:val="24"/>
          <w:szCs w:val="24"/>
        </w:rPr>
        <w:t xml:space="preserve">Declaración de lo pendiente</w:t>
      </w:r>
    </w:p>
    <w:p>
      <w:pPr>
        <w:spacing w:after="120" w:line="480"/>
        <w:jc w:val="both"/>
      </w:pPr>
      <w:r>
        <w:rPr>
          <w:sz w:val="24"/>
          <w:szCs w:val="24"/>
        </w:rPr>
        <w:t xml:space="preserve">Lo que no se pudo confirmar se marca como tal en la propia publicación. La vigencia de los Centros de Escucha del Distrito procede de un boletín de 2024 y se advierte que conviene comprobarla antes de acudir.</w:t>
      </w:r>
    </w:p>
    <w:p>
      <w:pPr>
        <w:pStyle w:val="Heading2"/>
        <w:spacing w:after="140" w:before="280" w:line="360"/>
      </w:pPr>
      <w:r>
        <w:rPr>
          <w:b/>
          <w:bCs/>
          <w:color w:val="0369A1"/>
          <w:sz w:val="26"/>
          <w:szCs w:val="26"/>
        </w:rPr>
        <w:t xml:space="preserve">4.2 Reportería en curso</w:t>
      </w:r>
    </w:p>
    <w:p>
      <w:pPr>
        <w:spacing w:after="120" w:line="480"/>
        <w:jc w:val="both"/>
      </w:pPr>
      <w:r>
        <w:rPr>
          <w:sz w:val="24"/>
          <w:szCs w:val="24"/>
        </w:rPr>
        <w:t xml:space="preserve">El 7 de septiembre de 2026 se radicó un derecho de petición ante Bienestar Universitario de la CUN solicitando tres datos: el tiempo promedio de espera para una cita, la existencia de un protocolo para crisis fuera del horario de atención, y el lugar donde está publicado el número que atiende de madrugada. El término legal de respuesta es de quince días hábiles, que vencen después de la publicación de esta pieza. La respuesta se incorporará a la crónica cuando llegue.</w:t>
      </w:r>
    </w:p>
    <w:p>
      <w:pPr>
        <w:pStyle w:val="Heading2"/>
        <w:spacing w:after="140" w:before="280" w:line="360"/>
      </w:pPr>
      <w:r>
        <w:rPr>
          <w:b/>
          <w:bCs/>
          <w:color w:val="0369A1"/>
          <w:sz w:val="26"/>
          <w:szCs w:val="26"/>
        </w:rPr>
        <w:t xml:space="preserve">4.3 Matriz de seguimiento de fuentes</w:t>
      </w:r>
    </w:p>
    <w:tbl>
      <w:tblPr>
        <w:tblW w:type="pct" w:w="100%"/>
        <w:tblBorders>
          <w:top w:val="single" w:color="CBD5E1" w:sz="2"/>
          <w:left w:val="single" w:color="CBD5E1" w:sz="2"/>
          <w:bottom w:val="single" w:color="CBD5E1" w:sz="2"/>
          <w:right w:val="single" w:color="CBD5E1" w:sz="2"/>
          <w:insideH w:val="single" w:color="E2E8F0" w:sz="1"/>
          <w:insideV w:val="single" w:color="E2E8F0" w:sz="1"/>
        </w:tblBorders>
      </w:tblPr>
      <w:tblGrid>
        <w:gridCol w:w="100"/>
        <w:gridCol w:w="100"/>
        <w:gridCol w:w="100"/>
        <w:gridCol w:w="100"/>
        <w:gridCol w:w="100"/>
        <w:gridCol w:w="100"/>
      </w:tblGrid>
      <w:tr>
        <w:trPr>
          <w:tblHeader/>
        </w:trPr>
        <w:tc>
          <w:tcPr>
            <w:tcW w:type="pct" w:w="20%"/>
            <w:shd w:color="0F172A" w:val="solid"/>
            <w:tcMar>
              <w:top w:type="dxa" w:w="80"/>
              <w:left w:type="dxa" w:w="110"/>
              <w:bottom w:type="dxa" w:w="80"/>
              <w:right w:type="dxa" w:w="110"/>
            </w:tcMar>
          </w:tcPr>
          <w:p>
            <w:pPr>
              <w:spacing w:line="260"/>
            </w:pPr>
            <w:r>
              <w:rPr>
                <w:b/>
                <w:bCs/>
                <w:color w:val="FFFFFF"/>
                <w:sz w:val="19"/>
                <w:szCs w:val="19"/>
              </w:rPr>
              <w:t xml:space="preserve">Fuente</w:t>
            </w:r>
          </w:p>
        </w:tc>
        <w:tc>
          <w:tcPr>
            <w:tcW w:type="pct" w:w="9%"/>
            <w:shd w:color="0F172A" w:val="solid"/>
            <w:tcMar>
              <w:top w:type="dxa" w:w="80"/>
              <w:left w:type="dxa" w:w="110"/>
              <w:bottom w:type="dxa" w:w="80"/>
              <w:right w:type="dxa" w:w="110"/>
            </w:tcMar>
          </w:tcPr>
          <w:p>
            <w:pPr>
              <w:spacing w:line="260"/>
            </w:pPr>
            <w:r>
              <w:rPr>
                <w:b/>
                <w:bCs/>
                <w:color w:val="FFFFFF"/>
                <w:sz w:val="19"/>
                <w:szCs w:val="19"/>
              </w:rPr>
              <w:t xml:space="preserve">Tipo</w:t>
            </w:r>
          </w:p>
        </w:tc>
        <w:tc>
          <w:tcPr>
            <w:tcW w:type="pct" w:w="24%"/>
            <w:shd w:color="0F172A" w:val="solid"/>
            <w:tcMar>
              <w:top w:type="dxa" w:w="80"/>
              <w:left w:type="dxa" w:w="110"/>
              <w:bottom w:type="dxa" w:w="80"/>
              <w:right w:type="dxa" w:w="110"/>
            </w:tcMar>
          </w:tcPr>
          <w:p>
            <w:pPr>
              <w:spacing w:line="260"/>
            </w:pPr>
            <w:r>
              <w:rPr>
                <w:b/>
                <w:bCs/>
                <w:color w:val="FFFFFF"/>
                <w:sz w:val="19"/>
                <w:szCs w:val="19"/>
              </w:rPr>
              <w:t xml:space="preserve">Aporte</w:t>
            </w:r>
          </w:p>
        </w:tc>
        <w:tc>
          <w:tcPr>
            <w:tcW w:type="pct" w:w="24%"/>
            <w:shd w:color="0F172A" w:val="solid"/>
            <w:tcMar>
              <w:top w:type="dxa" w:w="80"/>
              <w:left w:type="dxa" w:w="110"/>
              <w:bottom w:type="dxa" w:w="80"/>
              <w:right w:type="dxa" w:w="110"/>
            </w:tcMar>
          </w:tcPr>
          <w:p>
            <w:pPr>
              <w:spacing w:line="260"/>
            </w:pPr>
            <w:r>
              <w:rPr>
                <w:b/>
                <w:bCs/>
                <w:color w:val="FFFFFF"/>
                <w:sz w:val="19"/>
                <w:szCs w:val="19"/>
              </w:rPr>
              <w:t xml:space="preserve">Contraste realizado</w:t>
            </w:r>
          </w:p>
        </w:tc>
        <w:tc>
          <w:tcPr>
            <w:tcW w:type="pct" w:w="12%"/>
            <w:shd w:color="0F172A" w:val="solid"/>
            <w:tcMar>
              <w:top w:type="dxa" w:w="80"/>
              <w:left w:type="dxa" w:w="110"/>
              <w:bottom w:type="dxa" w:w="80"/>
              <w:right w:type="dxa" w:w="110"/>
            </w:tcMar>
          </w:tcPr>
          <w:p>
            <w:pPr>
              <w:spacing w:line="260"/>
            </w:pPr>
            <w:r>
              <w:rPr>
                <w:b/>
                <w:bCs/>
                <w:color w:val="FFFFFF"/>
                <w:sz w:val="19"/>
                <w:szCs w:val="19"/>
              </w:rPr>
              <w:t xml:space="preserve">Consentimiento</w:t>
            </w:r>
          </w:p>
        </w:tc>
        <w:tc>
          <w:tcPr>
            <w:tcW w:type="pct" w:w="11%"/>
            <w:shd w:color="0F172A" w:val="solid"/>
            <w:tcMar>
              <w:top w:type="dxa" w:w="80"/>
              <w:left w:type="dxa" w:w="110"/>
              <w:bottom w:type="dxa" w:w="80"/>
              <w:right w:type="dxa" w:w="110"/>
            </w:tcMar>
          </w:tcPr>
          <w:p>
            <w:pPr>
              <w:spacing w:line="260"/>
            </w:pPr>
            <w:r>
              <w:rPr>
                <w:b/>
                <w:bCs/>
                <w:color w:val="FFFFFF"/>
                <w:sz w:val="19"/>
                <w:szCs w:val="19"/>
              </w:rPr>
              <w:t xml:space="preserve">Estado</w:t>
            </w:r>
          </w:p>
        </w:tc>
      </w:tr>
      <w:tr>
        <w:tc>
          <w:tcPr>
            <w:tcW w:type="pct" w:w="20%"/>
            <w:tcMar>
              <w:top w:type="dxa" w:w="80"/>
              <w:left w:type="dxa" w:w="110"/>
              <w:bottom w:type="dxa" w:w="80"/>
              <w:right w:type="dxa" w:w="110"/>
            </w:tcMar>
          </w:tcPr>
          <w:p>
            <w:pPr>
              <w:spacing w:line="260"/>
            </w:pPr>
            <w:r>
              <w:rPr>
                <w:b w:val="false"/>
                <w:bCs w:val="false"/>
                <w:color w:val="000000"/>
                <w:sz w:val="19"/>
                <w:szCs w:val="19"/>
              </w:rPr>
              <w:t xml:space="preserve">DANE, Cuenta Satélite de Economía del Cuidado (resultados 2024)</w:t>
            </w:r>
          </w:p>
        </w:tc>
        <w:tc>
          <w:tcPr>
            <w:tcW w:type="pct" w:w="9%"/>
            <w:tcMar>
              <w:top w:type="dxa" w:w="80"/>
              <w:left w:type="dxa" w:w="110"/>
              <w:bottom w:type="dxa" w:w="80"/>
              <w:right w:type="dxa" w:w="110"/>
            </w:tcMar>
          </w:tcPr>
          <w:p>
            <w:pPr>
              <w:spacing w:line="260"/>
            </w:pPr>
            <w:r>
              <w:rPr>
                <w:b w:val="false"/>
                <w:bCs w:val="false"/>
                <w:color w:val="000000"/>
                <w:sz w:val="19"/>
                <w:szCs w:val="19"/>
              </w:rPr>
              <w:t xml:space="preserve">Documental</w:t>
            </w:r>
          </w:p>
        </w:tc>
        <w:tc>
          <w:tcPr>
            <w:tcW w:type="pct" w:w="24%"/>
            <w:tcMar>
              <w:top w:type="dxa" w:w="80"/>
              <w:left w:type="dxa" w:w="110"/>
              <w:bottom w:type="dxa" w:w="80"/>
              <w:right w:type="dxa" w:w="110"/>
            </w:tcMar>
          </w:tcPr>
          <w:p>
            <w:pPr>
              <w:spacing w:line="260"/>
            </w:pPr>
            <w:r>
              <w:rPr>
                <w:b w:val="false"/>
                <w:bCs w:val="false"/>
                <w:color w:val="000000"/>
                <w:sz w:val="19"/>
                <w:szCs w:val="19"/>
              </w:rPr>
              <w:t xml:space="preserve">Valoración del trabajo doméstico y de cuidado no remunerado: 340,5 billones de pesos, 19,9 % del PIB, 44.326 millones de horas, 75,9 % aportado por mujeres</w:t>
            </w:r>
          </w:p>
        </w:tc>
        <w:tc>
          <w:tcPr>
            <w:tcW w:type="pct" w:w="24%"/>
            <w:tcMar>
              <w:top w:type="dxa" w:w="80"/>
              <w:left w:type="dxa" w:w="110"/>
              <w:bottom w:type="dxa" w:w="80"/>
              <w:right w:type="dxa" w:w="110"/>
            </w:tcMar>
          </w:tcPr>
          <w:p>
            <w:pPr>
              <w:spacing w:line="260"/>
            </w:pPr>
            <w:r>
              <w:rPr>
                <w:b w:val="false"/>
                <w:bCs w:val="false"/>
                <w:color w:val="000000"/>
                <w:sz w:val="19"/>
                <w:szCs w:val="19"/>
              </w:rPr>
              <w:t xml:space="preserve">Boletín oficial de la entidad, descargado del sitio del DANE</w:t>
            </w:r>
          </w:p>
        </w:tc>
        <w:tc>
          <w:tcPr>
            <w:tcW w:type="pct" w:w="12%"/>
            <w:tcMar>
              <w:top w:type="dxa" w:w="80"/>
              <w:left w:type="dxa" w:w="110"/>
              <w:bottom w:type="dxa" w:w="80"/>
              <w:right w:type="dxa" w:w="110"/>
            </w:tcMar>
          </w:tcPr>
          <w:p>
            <w:pPr>
              <w:spacing w:line="260"/>
            </w:pPr>
            <w:r>
              <w:rPr>
                <w:b w:val="false"/>
                <w:bCs w:val="false"/>
                <w:color w:val="000000"/>
                <w:sz w:val="19"/>
                <w:szCs w:val="19"/>
              </w:rPr>
              <w:t xml:space="preserve">Fuente pública</w:t>
            </w:r>
          </w:p>
        </w:tc>
        <w:tc>
          <w:tcPr>
            <w:tcW w:type="pct" w:w="11%"/>
            <w:tcMar>
              <w:top w:type="dxa" w:w="80"/>
              <w:left w:type="dxa" w:w="110"/>
              <w:bottom w:type="dxa" w:w="80"/>
              <w:right w:type="dxa" w:w="110"/>
            </w:tcMar>
          </w:tcPr>
          <w:p>
            <w:pPr>
              <w:spacing w:line="260"/>
            </w:pPr>
            <w:r>
              <w:rPr>
                <w:b w:val="false"/>
                <w:bCs w:val="false"/>
                <w:color w:val="000000"/>
                <w:sz w:val="19"/>
                <w:szCs w:val="19"/>
              </w:rPr>
              <w:t xml:space="preserve">Verificado</w:t>
            </w:r>
          </w:p>
        </w:tc>
      </w:tr>
      <w:tr>
        <w:tc>
          <w:tcPr>
            <w:tcW w:type="pct" w:w="20%"/>
            <w:tcMar>
              <w:top w:type="dxa" w:w="80"/>
              <w:left w:type="dxa" w:w="110"/>
              <w:bottom w:type="dxa" w:w="80"/>
              <w:right w:type="dxa" w:w="110"/>
            </w:tcMar>
          </w:tcPr>
          <w:p>
            <w:pPr>
              <w:spacing w:line="260"/>
            </w:pPr>
            <w:r>
              <w:rPr>
                <w:b w:val="false"/>
                <w:bCs w:val="false"/>
                <w:color w:val="000000"/>
                <w:sz w:val="19"/>
                <w:szCs w:val="19"/>
              </w:rPr>
              <w:t xml:space="preserve">Ministerio de Salud, directorio nacional de líneas de atención en salud mental (agosto de 2025)</w:t>
            </w:r>
          </w:p>
        </w:tc>
        <w:tc>
          <w:tcPr>
            <w:tcW w:type="pct" w:w="9%"/>
            <w:tcMar>
              <w:top w:type="dxa" w:w="80"/>
              <w:left w:type="dxa" w:w="110"/>
              <w:bottom w:type="dxa" w:w="80"/>
              <w:right w:type="dxa" w:w="110"/>
            </w:tcMar>
          </w:tcPr>
          <w:p>
            <w:pPr>
              <w:spacing w:line="260"/>
            </w:pPr>
            <w:r>
              <w:rPr>
                <w:b w:val="false"/>
                <w:bCs w:val="false"/>
                <w:color w:val="000000"/>
                <w:sz w:val="19"/>
                <w:szCs w:val="19"/>
              </w:rPr>
              <w:t xml:space="preserve">Documental</w:t>
            </w:r>
          </w:p>
        </w:tc>
        <w:tc>
          <w:tcPr>
            <w:tcW w:type="pct" w:w="24%"/>
            <w:tcMar>
              <w:top w:type="dxa" w:w="80"/>
              <w:left w:type="dxa" w:w="110"/>
              <w:bottom w:type="dxa" w:w="80"/>
              <w:right w:type="dxa" w:w="110"/>
            </w:tcMar>
          </w:tcPr>
          <w:p>
            <w:pPr>
              <w:spacing w:line="260"/>
            </w:pPr>
            <w:r>
              <w:rPr>
                <w:b w:val="false"/>
                <w:bCs w:val="false"/>
                <w:color w:val="000000"/>
                <w:sz w:val="19"/>
                <w:szCs w:val="19"/>
              </w:rPr>
              <w:t xml:space="preserve">La casilla del Magdalena no registra línea territorial activa; Atlántico y La Guajira sí</w:t>
            </w:r>
          </w:p>
        </w:tc>
        <w:tc>
          <w:tcPr>
            <w:tcW w:type="pct" w:w="24%"/>
            <w:tcMar>
              <w:top w:type="dxa" w:w="80"/>
              <w:left w:type="dxa" w:w="110"/>
              <w:bottom w:type="dxa" w:w="80"/>
              <w:right w:type="dxa" w:w="110"/>
            </w:tcMar>
          </w:tcPr>
          <w:p>
            <w:pPr>
              <w:spacing w:line="260"/>
            </w:pPr>
            <w:r>
              <w:rPr>
                <w:b w:val="false"/>
                <w:bCs w:val="false"/>
                <w:color w:val="000000"/>
                <w:sz w:val="19"/>
                <w:szCs w:val="19"/>
              </w:rPr>
              <w:t xml:space="preserve">Documento oficial descargado del sitio institucional</w:t>
            </w:r>
          </w:p>
        </w:tc>
        <w:tc>
          <w:tcPr>
            <w:tcW w:type="pct" w:w="12%"/>
            <w:tcMar>
              <w:top w:type="dxa" w:w="80"/>
              <w:left w:type="dxa" w:w="110"/>
              <w:bottom w:type="dxa" w:w="80"/>
              <w:right w:type="dxa" w:w="110"/>
            </w:tcMar>
          </w:tcPr>
          <w:p>
            <w:pPr>
              <w:spacing w:line="260"/>
            </w:pPr>
            <w:r>
              <w:rPr>
                <w:b w:val="false"/>
                <w:bCs w:val="false"/>
                <w:color w:val="000000"/>
                <w:sz w:val="19"/>
                <w:szCs w:val="19"/>
              </w:rPr>
              <w:t xml:space="preserve">Fuente pública</w:t>
            </w:r>
          </w:p>
        </w:tc>
        <w:tc>
          <w:tcPr>
            <w:tcW w:type="pct" w:w="11%"/>
            <w:tcMar>
              <w:top w:type="dxa" w:w="80"/>
              <w:left w:type="dxa" w:w="110"/>
              <w:bottom w:type="dxa" w:w="80"/>
              <w:right w:type="dxa" w:w="110"/>
            </w:tcMar>
          </w:tcPr>
          <w:p>
            <w:pPr>
              <w:spacing w:line="260"/>
            </w:pPr>
            <w:r>
              <w:rPr>
                <w:b w:val="false"/>
                <w:bCs w:val="false"/>
                <w:color w:val="000000"/>
                <w:sz w:val="19"/>
                <w:szCs w:val="19"/>
              </w:rPr>
              <w:t xml:space="preserve">Verificado</w:t>
            </w:r>
          </w:p>
        </w:tc>
      </w:tr>
      <w:tr>
        <w:tc>
          <w:tcPr>
            <w:tcW w:type="pct" w:w="20%"/>
            <w:tcMar>
              <w:top w:type="dxa" w:w="80"/>
              <w:left w:type="dxa" w:w="110"/>
              <w:bottom w:type="dxa" w:w="80"/>
              <w:right w:type="dxa" w:w="110"/>
            </w:tcMar>
          </w:tcPr>
          <w:p>
            <w:pPr>
              <w:spacing w:line="260"/>
            </w:pPr>
            <w:r>
              <w:rPr>
                <w:b w:val="false"/>
                <w:bCs w:val="false"/>
                <w:color w:val="000000"/>
                <w:sz w:val="19"/>
                <w:szCs w:val="19"/>
              </w:rPr>
              <w:t xml:space="preserve">Congreso de la República, Ley 1413 de 2010</w:t>
            </w:r>
          </w:p>
        </w:tc>
        <w:tc>
          <w:tcPr>
            <w:tcW w:type="pct" w:w="9%"/>
            <w:tcMar>
              <w:top w:type="dxa" w:w="80"/>
              <w:left w:type="dxa" w:w="110"/>
              <w:bottom w:type="dxa" w:w="80"/>
              <w:right w:type="dxa" w:w="110"/>
            </w:tcMar>
          </w:tcPr>
          <w:p>
            <w:pPr>
              <w:spacing w:line="260"/>
            </w:pPr>
            <w:r>
              <w:rPr>
                <w:b w:val="false"/>
                <w:bCs w:val="false"/>
                <w:color w:val="000000"/>
                <w:sz w:val="19"/>
                <w:szCs w:val="19"/>
              </w:rPr>
              <w:t xml:space="preserve">Normativa</w:t>
            </w:r>
          </w:p>
        </w:tc>
        <w:tc>
          <w:tcPr>
            <w:tcW w:type="pct" w:w="24%"/>
            <w:tcMar>
              <w:top w:type="dxa" w:w="80"/>
              <w:left w:type="dxa" w:w="110"/>
              <w:bottom w:type="dxa" w:w="80"/>
              <w:right w:type="dxa" w:w="110"/>
            </w:tcMar>
          </w:tcPr>
          <w:p>
            <w:pPr>
              <w:spacing w:line="260"/>
            </w:pPr>
            <w:r>
              <w:rPr>
                <w:b w:val="false"/>
                <w:bCs w:val="false"/>
                <w:color w:val="000000"/>
                <w:sz w:val="19"/>
                <w:szCs w:val="19"/>
              </w:rPr>
              <w:t xml:space="preserve">Obligación del Estado de incluir la economía del cuidado en el sistema de cuentas nacionales</w:t>
            </w:r>
          </w:p>
        </w:tc>
        <w:tc>
          <w:tcPr>
            <w:tcW w:type="pct" w:w="24%"/>
            <w:tcMar>
              <w:top w:type="dxa" w:w="80"/>
              <w:left w:type="dxa" w:w="110"/>
              <w:bottom w:type="dxa" w:w="80"/>
              <w:right w:type="dxa" w:w="110"/>
            </w:tcMar>
          </w:tcPr>
          <w:p>
            <w:pPr>
              <w:spacing w:line="260"/>
            </w:pPr>
            <w:r>
              <w:rPr>
                <w:b w:val="false"/>
                <w:bCs w:val="false"/>
                <w:color w:val="000000"/>
                <w:sz w:val="19"/>
                <w:szCs w:val="19"/>
              </w:rPr>
              <w:t xml:space="preserve">Texto oficial</w:t>
            </w:r>
          </w:p>
        </w:tc>
        <w:tc>
          <w:tcPr>
            <w:tcW w:type="pct" w:w="12%"/>
            <w:tcMar>
              <w:top w:type="dxa" w:w="80"/>
              <w:left w:type="dxa" w:w="110"/>
              <w:bottom w:type="dxa" w:w="80"/>
              <w:right w:type="dxa" w:w="110"/>
            </w:tcMar>
          </w:tcPr>
          <w:p>
            <w:pPr>
              <w:spacing w:line="260"/>
            </w:pPr>
            <w:r>
              <w:rPr>
                <w:b w:val="false"/>
                <w:bCs w:val="false"/>
                <w:color w:val="000000"/>
                <w:sz w:val="19"/>
                <w:szCs w:val="19"/>
              </w:rPr>
              <w:t xml:space="preserve">Fuente pública</w:t>
            </w:r>
          </w:p>
        </w:tc>
        <w:tc>
          <w:tcPr>
            <w:tcW w:type="pct" w:w="11%"/>
            <w:tcMar>
              <w:top w:type="dxa" w:w="80"/>
              <w:left w:type="dxa" w:w="110"/>
              <w:bottom w:type="dxa" w:w="80"/>
              <w:right w:type="dxa" w:w="110"/>
            </w:tcMar>
          </w:tcPr>
          <w:p>
            <w:pPr>
              <w:spacing w:line="260"/>
            </w:pPr>
            <w:r>
              <w:rPr>
                <w:b w:val="false"/>
                <w:bCs w:val="false"/>
                <w:color w:val="000000"/>
                <w:sz w:val="19"/>
                <w:szCs w:val="19"/>
              </w:rPr>
              <w:t xml:space="preserve">Verificado</w:t>
            </w:r>
          </w:p>
        </w:tc>
      </w:tr>
      <w:tr>
        <w:tc>
          <w:tcPr>
            <w:tcW w:type="pct" w:w="20%"/>
            <w:tcMar>
              <w:top w:type="dxa" w:w="80"/>
              <w:left w:type="dxa" w:w="110"/>
              <w:bottom w:type="dxa" w:w="80"/>
              <w:right w:type="dxa" w:w="110"/>
            </w:tcMar>
          </w:tcPr>
          <w:p>
            <w:pPr>
              <w:spacing w:line="260"/>
            </w:pPr>
            <w:r>
              <w:rPr>
                <w:b w:val="false"/>
                <w:bCs w:val="false"/>
                <w:color w:val="000000"/>
                <w:sz w:val="19"/>
                <w:szCs w:val="19"/>
              </w:rPr>
              <w:t xml:space="preserve">Congreso de la República, Ley 1616 de 2013</w:t>
            </w:r>
          </w:p>
        </w:tc>
        <w:tc>
          <w:tcPr>
            <w:tcW w:type="pct" w:w="9%"/>
            <w:tcMar>
              <w:top w:type="dxa" w:w="80"/>
              <w:left w:type="dxa" w:w="110"/>
              <w:bottom w:type="dxa" w:w="80"/>
              <w:right w:type="dxa" w:w="110"/>
            </w:tcMar>
          </w:tcPr>
          <w:p>
            <w:pPr>
              <w:spacing w:line="260"/>
            </w:pPr>
            <w:r>
              <w:rPr>
                <w:b w:val="false"/>
                <w:bCs w:val="false"/>
                <w:color w:val="000000"/>
                <w:sz w:val="19"/>
                <w:szCs w:val="19"/>
              </w:rPr>
              <w:t xml:space="preserve">Normativa</w:t>
            </w:r>
          </w:p>
        </w:tc>
        <w:tc>
          <w:tcPr>
            <w:tcW w:type="pct" w:w="24%"/>
            <w:tcMar>
              <w:top w:type="dxa" w:w="80"/>
              <w:left w:type="dxa" w:w="110"/>
              <w:bottom w:type="dxa" w:w="80"/>
              <w:right w:type="dxa" w:w="110"/>
            </w:tcMar>
          </w:tcPr>
          <w:p>
            <w:pPr>
              <w:spacing w:line="260"/>
            </w:pPr>
            <w:r>
              <w:rPr>
                <w:b w:val="false"/>
                <w:bCs w:val="false"/>
                <w:color w:val="000000"/>
                <w:sz w:val="19"/>
                <w:szCs w:val="19"/>
              </w:rPr>
              <w:t xml:space="preserve">Salud mental como derecho y deberes de promoción y prevención del entorno educativo</w:t>
            </w:r>
          </w:p>
        </w:tc>
        <w:tc>
          <w:tcPr>
            <w:tcW w:type="pct" w:w="24%"/>
            <w:tcMar>
              <w:top w:type="dxa" w:w="80"/>
              <w:left w:type="dxa" w:w="110"/>
              <w:bottom w:type="dxa" w:w="80"/>
              <w:right w:type="dxa" w:w="110"/>
            </w:tcMar>
          </w:tcPr>
          <w:p>
            <w:pPr>
              <w:spacing w:line="260"/>
            </w:pPr>
            <w:r>
              <w:rPr>
                <w:b w:val="false"/>
                <w:bCs w:val="false"/>
                <w:color w:val="000000"/>
                <w:sz w:val="19"/>
                <w:szCs w:val="19"/>
              </w:rPr>
              <w:t xml:space="preserve">Texto oficial</w:t>
            </w:r>
          </w:p>
        </w:tc>
        <w:tc>
          <w:tcPr>
            <w:tcW w:type="pct" w:w="12%"/>
            <w:tcMar>
              <w:top w:type="dxa" w:w="80"/>
              <w:left w:type="dxa" w:w="110"/>
              <w:bottom w:type="dxa" w:w="80"/>
              <w:right w:type="dxa" w:w="110"/>
            </w:tcMar>
          </w:tcPr>
          <w:p>
            <w:pPr>
              <w:spacing w:line="260"/>
            </w:pPr>
            <w:r>
              <w:rPr>
                <w:b w:val="false"/>
                <w:bCs w:val="false"/>
                <w:color w:val="000000"/>
                <w:sz w:val="19"/>
                <w:szCs w:val="19"/>
              </w:rPr>
              <w:t xml:space="preserve">Fuente pública</w:t>
            </w:r>
          </w:p>
        </w:tc>
        <w:tc>
          <w:tcPr>
            <w:tcW w:type="pct" w:w="11%"/>
            <w:tcMar>
              <w:top w:type="dxa" w:w="80"/>
              <w:left w:type="dxa" w:w="110"/>
              <w:bottom w:type="dxa" w:w="80"/>
              <w:right w:type="dxa" w:w="110"/>
            </w:tcMar>
          </w:tcPr>
          <w:p>
            <w:pPr>
              <w:spacing w:line="260"/>
            </w:pPr>
            <w:r>
              <w:rPr>
                <w:b w:val="false"/>
                <w:bCs w:val="false"/>
                <w:color w:val="000000"/>
                <w:sz w:val="19"/>
                <w:szCs w:val="19"/>
              </w:rPr>
              <w:t xml:space="preserve">Verificado</w:t>
            </w:r>
          </w:p>
        </w:tc>
      </w:tr>
      <w:tr>
        <w:tc>
          <w:tcPr>
            <w:tcW w:type="pct" w:w="20%"/>
            <w:tcMar>
              <w:top w:type="dxa" w:w="80"/>
              <w:left w:type="dxa" w:w="110"/>
              <w:bottom w:type="dxa" w:w="80"/>
              <w:right w:type="dxa" w:w="110"/>
            </w:tcMar>
          </w:tcPr>
          <w:p>
            <w:pPr>
              <w:spacing w:line="260"/>
            </w:pPr>
            <w:r>
              <w:rPr>
                <w:b w:val="false"/>
                <w:bCs w:val="false"/>
                <w:color w:val="000000"/>
                <w:sz w:val="19"/>
                <w:szCs w:val="19"/>
              </w:rPr>
              <w:t xml:space="preserve">Congreso de la República, Ley 2466 de 2025</w:t>
            </w:r>
          </w:p>
        </w:tc>
        <w:tc>
          <w:tcPr>
            <w:tcW w:type="pct" w:w="9%"/>
            <w:tcMar>
              <w:top w:type="dxa" w:w="80"/>
              <w:left w:type="dxa" w:w="110"/>
              <w:bottom w:type="dxa" w:w="80"/>
              <w:right w:type="dxa" w:w="110"/>
            </w:tcMar>
          </w:tcPr>
          <w:p>
            <w:pPr>
              <w:spacing w:line="260"/>
            </w:pPr>
            <w:r>
              <w:rPr>
                <w:b w:val="false"/>
                <w:bCs w:val="false"/>
                <w:color w:val="000000"/>
                <w:sz w:val="19"/>
                <w:szCs w:val="19"/>
              </w:rPr>
              <w:t xml:space="preserve">Normativa</w:t>
            </w:r>
          </w:p>
        </w:tc>
        <w:tc>
          <w:tcPr>
            <w:tcW w:type="pct" w:w="24%"/>
            <w:tcMar>
              <w:top w:type="dxa" w:w="80"/>
              <w:left w:type="dxa" w:w="110"/>
              <w:bottom w:type="dxa" w:w="80"/>
              <w:right w:type="dxa" w:w="110"/>
            </w:tcMar>
          </w:tcPr>
          <w:p>
            <w:pPr>
              <w:spacing w:line="260"/>
            </w:pPr>
            <w:r>
              <w:rPr>
                <w:b w:val="false"/>
                <w:bCs w:val="false"/>
                <w:color w:val="000000"/>
                <w:sz w:val="19"/>
                <w:szCs w:val="19"/>
              </w:rPr>
              <w:t xml:space="preserve">Inicio de la jornada nocturna a las 7:00 p. m. y recargo hasta las 6:00 a. m.</w:t>
            </w:r>
          </w:p>
        </w:tc>
        <w:tc>
          <w:tcPr>
            <w:tcW w:type="pct" w:w="24%"/>
            <w:tcMar>
              <w:top w:type="dxa" w:w="80"/>
              <w:left w:type="dxa" w:w="110"/>
              <w:bottom w:type="dxa" w:w="80"/>
              <w:right w:type="dxa" w:w="110"/>
            </w:tcMar>
          </w:tcPr>
          <w:p>
            <w:pPr>
              <w:spacing w:line="260"/>
            </w:pPr>
            <w:r>
              <w:rPr>
                <w:b w:val="false"/>
                <w:bCs w:val="false"/>
                <w:color w:val="000000"/>
                <w:sz w:val="19"/>
                <w:szCs w:val="19"/>
              </w:rPr>
              <w:t xml:space="preserve">Texto oficial</w:t>
            </w:r>
          </w:p>
        </w:tc>
        <w:tc>
          <w:tcPr>
            <w:tcW w:type="pct" w:w="12%"/>
            <w:tcMar>
              <w:top w:type="dxa" w:w="80"/>
              <w:left w:type="dxa" w:w="110"/>
              <w:bottom w:type="dxa" w:w="80"/>
              <w:right w:type="dxa" w:w="110"/>
            </w:tcMar>
          </w:tcPr>
          <w:p>
            <w:pPr>
              <w:spacing w:line="260"/>
            </w:pPr>
            <w:r>
              <w:rPr>
                <w:b w:val="false"/>
                <w:bCs w:val="false"/>
                <w:color w:val="000000"/>
                <w:sz w:val="19"/>
                <w:szCs w:val="19"/>
              </w:rPr>
              <w:t xml:space="preserve">Fuente pública</w:t>
            </w:r>
          </w:p>
        </w:tc>
        <w:tc>
          <w:tcPr>
            <w:tcW w:type="pct" w:w="11%"/>
            <w:tcMar>
              <w:top w:type="dxa" w:w="80"/>
              <w:left w:type="dxa" w:w="110"/>
              <w:bottom w:type="dxa" w:w="80"/>
              <w:right w:type="dxa" w:w="110"/>
            </w:tcMar>
          </w:tcPr>
          <w:p>
            <w:pPr>
              <w:spacing w:line="260"/>
            </w:pPr>
            <w:r>
              <w:rPr>
                <w:b w:val="false"/>
                <w:bCs w:val="false"/>
                <w:color w:val="000000"/>
                <w:sz w:val="19"/>
                <w:szCs w:val="19"/>
              </w:rPr>
              <w:t xml:space="preserve">Verificado</w:t>
            </w:r>
          </w:p>
        </w:tc>
      </w:tr>
      <w:tr>
        <w:tc>
          <w:tcPr>
            <w:tcW w:type="pct" w:w="20%"/>
            <w:tcMar>
              <w:top w:type="dxa" w:w="80"/>
              <w:left w:type="dxa" w:w="110"/>
              <w:bottom w:type="dxa" w:w="80"/>
              <w:right w:type="dxa" w:w="110"/>
            </w:tcMar>
          </w:tcPr>
          <w:p>
            <w:pPr>
              <w:spacing w:line="260"/>
            </w:pPr>
            <w:r>
              <w:rPr>
                <w:b w:val="false"/>
                <w:bCs w:val="false"/>
                <w:color w:val="000000"/>
                <w:sz w:val="19"/>
                <w:szCs w:val="19"/>
              </w:rPr>
              <w:t xml:space="preserve">Alcaldía Distrital de Santa Marta, boletín institucional (2024)</w:t>
            </w:r>
          </w:p>
        </w:tc>
        <w:tc>
          <w:tcPr>
            <w:tcW w:type="pct" w:w="9%"/>
            <w:tcMar>
              <w:top w:type="dxa" w:w="80"/>
              <w:left w:type="dxa" w:w="110"/>
              <w:bottom w:type="dxa" w:w="80"/>
              <w:right w:type="dxa" w:w="110"/>
            </w:tcMar>
          </w:tcPr>
          <w:p>
            <w:pPr>
              <w:spacing w:line="260"/>
            </w:pPr>
            <w:r>
              <w:rPr>
                <w:b w:val="false"/>
                <w:bCs w:val="false"/>
                <w:color w:val="000000"/>
                <w:sz w:val="19"/>
                <w:szCs w:val="19"/>
              </w:rPr>
              <w:t xml:space="preserve">Institucional</w:t>
            </w:r>
          </w:p>
        </w:tc>
        <w:tc>
          <w:tcPr>
            <w:tcW w:type="pct" w:w="24%"/>
            <w:tcMar>
              <w:top w:type="dxa" w:w="80"/>
              <w:left w:type="dxa" w:w="110"/>
              <w:bottom w:type="dxa" w:w="80"/>
              <w:right w:type="dxa" w:w="110"/>
            </w:tcMar>
          </w:tcPr>
          <w:p>
            <w:pPr>
              <w:spacing w:line="260"/>
            </w:pPr>
            <w:r>
              <w:rPr>
                <w:b w:val="false"/>
                <w:bCs w:val="false"/>
                <w:color w:val="000000"/>
                <w:sz w:val="19"/>
                <w:szCs w:val="19"/>
              </w:rPr>
              <w:t xml:space="preserve">Centros de Escucha del Distrito, uno de ellos itinerante por barrios</w:t>
            </w:r>
          </w:p>
        </w:tc>
        <w:tc>
          <w:tcPr>
            <w:tcW w:type="pct" w:w="24%"/>
            <w:tcMar>
              <w:top w:type="dxa" w:w="80"/>
              <w:left w:type="dxa" w:w="110"/>
              <w:bottom w:type="dxa" w:w="80"/>
              <w:right w:type="dxa" w:w="110"/>
            </w:tcMar>
          </w:tcPr>
          <w:p>
            <w:pPr>
              <w:spacing w:line="260"/>
            </w:pPr>
            <w:r>
              <w:rPr>
                <w:b w:val="false"/>
                <w:bCs w:val="false"/>
                <w:color w:val="000000"/>
                <w:sz w:val="19"/>
                <w:szCs w:val="19"/>
              </w:rPr>
              <w:t xml:space="preserve">Boletín institucional; vigencia no confirmada</w:t>
            </w:r>
          </w:p>
        </w:tc>
        <w:tc>
          <w:tcPr>
            <w:tcW w:type="pct" w:w="12%"/>
            <w:tcMar>
              <w:top w:type="dxa" w:w="80"/>
              <w:left w:type="dxa" w:w="110"/>
              <w:bottom w:type="dxa" w:w="80"/>
              <w:right w:type="dxa" w:w="110"/>
            </w:tcMar>
          </w:tcPr>
          <w:p>
            <w:pPr>
              <w:spacing w:line="260"/>
            </w:pPr>
            <w:r>
              <w:rPr>
                <w:b w:val="false"/>
                <w:bCs w:val="false"/>
                <w:color w:val="000000"/>
                <w:sz w:val="19"/>
                <w:szCs w:val="19"/>
              </w:rPr>
              <w:t xml:space="preserve">Fuente pública</w:t>
            </w:r>
          </w:p>
        </w:tc>
        <w:tc>
          <w:tcPr>
            <w:tcW w:type="pct" w:w="11%"/>
            <w:tcMar>
              <w:top w:type="dxa" w:w="80"/>
              <w:left w:type="dxa" w:w="110"/>
              <w:bottom w:type="dxa" w:w="80"/>
              <w:right w:type="dxa" w:w="110"/>
            </w:tcMar>
          </w:tcPr>
          <w:p>
            <w:pPr>
              <w:spacing w:line="260"/>
            </w:pPr>
            <w:r>
              <w:rPr>
                <w:b w:val="false"/>
                <w:bCs w:val="false"/>
                <w:color w:val="000000"/>
                <w:sz w:val="19"/>
                <w:szCs w:val="19"/>
              </w:rPr>
              <w:t xml:space="preserve">Por confirmar</w:t>
            </w:r>
          </w:p>
        </w:tc>
      </w:tr>
      <w:tr>
        <w:tc>
          <w:tcPr>
            <w:tcW w:type="pct" w:w="20%"/>
            <w:tcMar>
              <w:top w:type="dxa" w:w="80"/>
              <w:left w:type="dxa" w:w="110"/>
              <w:bottom w:type="dxa" w:w="80"/>
              <w:right w:type="dxa" w:w="110"/>
            </w:tcMar>
          </w:tcPr>
          <w:p>
            <w:pPr>
              <w:spacing w:line="260"/>
            </w:pPr>
            <w:r>
              <w:rPr>
                <w:b w:val="false"/>
                <w:bCs w:val="false"/>
                <w:color w:val="000000"/>
                <w:sz w:val="19"/>
                <w:szCs w:val="19"/>
              </w:rPr>
              <w:t xml:space="preserve">Relato propio de la autora</w:t>
            </w:r>
          </w:p>
        </w:tc>
        <w:tc>
          <w:tcPr>
            <w:tcW w:type="pct" w:w="9%"/>
            <w:tcMar>
              <w:top w:type="dxa" w:w="80"/>
              <w:left w:type="dxa" w:w="110"/>
              <w:bottom w:type="dxa" w:w="80"/>
              <w:right w:type="dxa" w:w="110"/>
            </w:tcMar>
          </w:tcPr>
          <w:p>
            <w:pPr>
              <w:spacing w:line="260"/>
            </w:pPr>
            <w:r>
              <w:rPr>
                <w:b w:val="false"/>
                <w:bCs w:val="false"/>
                <w:color w:val="000000"/>
                <w:sz w:val="19"/>
                <w:szCs w:val="19"/>
              </w:rPr>
              <w:t xml:space="preserve">Testimonial</w:t>
            </w:r>
          </w:p>
        </w:tc>
        <w:tc>
          <w:tcPr>
            <w:tcW w:type="pct" w:w="24%"/>
            <w:tcMar>
              <w:top w:type="dxa" w:w="80"/>
              <w:left w:type="dxa" w:w="110"/>
              <w:bottom w:type="dxa" w:w="80"/>
              <w:right w:type="dxa" w:w="110"/>
            </w:tcMar>
          </w:tcPr>
          <w:p>
            <w:pPr>
              <w:spacing w:line="260"/>
            </w:pPr>
            <w:r>
              <w:rPr>
                <w:b w:val="false"/>
                <w:bCs w:val="false"/>
                <w:color w:val="000000"/>
                <w:sz w:val="19"/>
                <w:szCs w:val="19"/>
              </w:rPr>
              <w:t xml:space="preserve">Experiencia de la jornada, del cansancio y del acceso a la ayuda</w:t>
            </w:r>
          </w:p>
        </w:tc>
        <w:tc>
          <w:tcPr>
            <w:tcW w:type="pct" w:w="24%"/>
            <w:tcMar>
              <w:top w:type="dxa" w:w="80"/>
              <w:left w:type="dxa" w:w="110"/>
              <w:bottom w:type="dxa" w:w="80"/>
              <w:right w:type="dxa" w:w="110"/>
            </w:tcMar>
          </w:tcPr>
          <w:p>
            <w:pPr>
              <w:spacing w:line="260"/>
            </w:pPr>
            <w:r>
              <w:rPr>
                <w:b w:val="false"/>
                <w:bCs w:val="false"/>
                <w:color w:val="000000"/>
                <w:sz w:val="19"/>
                <w:szCs w:val="19"/>
              </w:rPr>
              <w:t xml:space="preserve">No contrastable por definición: se declara como testimonio, no como afirmación general</w:t>
            </w:r>
          </w:p>
        </w:tc>
        <w:tc>
          <w:tcPr>
            <w:tcW w:type="pct" w:w="12%"/>
            <w:tcMar>
              <w:top w:type="dxa" w:w="80"/>
              <w:left w:type="dxa" w:w="110"/>
              <w:bottom w:type="dxa" w:w="80"/>
              <w:right w:type="dxa" w:w="110"/>
            </w:tcMar>
          </w:tcPr>
          <w:p>
            <w:pPr>
              <w:spacing w:line="260"/>
            </w:pPr>
            <w:r>
              <w:rPr>
                <w:b w:val="false"/>
                <w:bCs w:val="false"/>
                <w:color w:val="000000"/>
                <w:sz w:val="19"/>
                <w:szCs w:val="19"/>
              </w:rPr>
              <w:t xml:space="preserve">Autoconsentimiento</w:t>
            </w:r>
          </w:p>
        </w:tc>
        <w:tc>
          <w:tcPr>
            <w:tcW w:type="pct" w:w="11%"/>
            <w:tcMar>
              <w:top w:type="dxa" w:w="80"/>
              <w:left w:type="dxa" w:w="110"/>
              <w:bottom w:type="dxa" w:w="80"/>
              <w:right w:type="dxa" w:w="110"/>
            </w:tcMar>
          </w:tcPr>
          <w:p>
            <w:pPr>
              <w:spacing w:line="260"/>
            </w:pPr>
            <w:r>
              <w:rPr>
                <w:b w:val="false"/>
                <w:bCs w:val="false"/>
                <w:color w:val="000000"/>
                <w:sz w:val="19"/>
                <w:szCs w:val="19"/>
              </w:rPr>
              <w:t xml:space="preserve">Verificado</w:t>
            </w:r>
          </w:p>
        </w:tc>
      </w:tr>
      <w:tr>
        <w:tc>
          <w:tcPr>
            <w:tcW w:type="pct" w:w="20%"/>
            <w:tcMar>
              <w:top w:type="dxa" w:w="80"/>
              <w:left w:type="dxa" w:w="110"/>
              <w:bottom w:type="dxa" w:w="80"/>
              <w:right w:type="dxa" w:w="110"/>
            </w:tcMar>
          </w:tcPr>
          <w:p>
            <w:pPr>
              <w:spacing w:line="260"/>
            </w:pPr>
            <w:r>
              <w:rPr>
                <w:b w:val="false"/>
                <w:bCs w:val="false"/>
                <w:color w:val="000000"/>
                <w:sz w:val="19"/>
                <w:szCs w:val="19"/>
              </w:rPr>
              <w:t xml:space="preserve">Bienestar Universitario CUN</w:t>
            </w:r>
          </w:p>
        </w:tc>
        <w:tc>
          <w:tcPr>
            <w:tcW w:type="pct" w:w="9%"/>
            <w:tcMar>
              <w:top w:type="dxa" w:w="80"/>
              <w:left w:type="dxa" w:w="110"/>
              <w:bottom w:type="dxa" w:w="80"/>
              <w:right w:type="dxa" w:w="110"/>
            </w:tcMar>
          </w:tcPr>
          <w:p>
            <w:pPr>
              <w:spacing w:line="260"/>
            </w:pPr>
            <w:r>
              <w:rPr>
                <w:b w:val="false"/>
                <w:bCs w:val="false"/>
                <w:color w:val="000000"/>
                <w:sz w:val="19"/>
                <w:szCs w:val="19"/>
              </w:rPr>
              <w:t xml:space="preserve">Institucional</w:t>
            </w:r>
          </w:p>
        </w:tc>
        <w:tc>
          <w:tcPr>
            <w:tcW w:type="pct" w:w="24%"/>
            <w:tcMar>
              <w:top w:type="dxa" w:w="80"/>
              <w:left w:type="dxa" w:w="110"/>
              <w:bottom w:type="dxa" w:w="80"/>
              <w:right w:type="dxa" w:w="110"/>
            </w:tcMar>
          </w:tcPr>
          <w:p>
            <w:pPr>
              <w:spacing w:line="260"/>
            </w:pPr>
            <w:r>
              <w:rPr>
                <w:b w:val="false"/>
                <w:bCs w:val="false"/>
                <w:color w:val="000000"/>
                <w:sz w:val="19"/>
                <w:szCs w:val="19"/>
              </w:rPr>
              <w:t xml:space="preserve">Tiempos de espera, protocolo de crisis y publicación del número de atención</w:t>
            </w:r>
          </w:p>
        </w:tc>
        <w:tc>
          <w:tcPr>
            <w:tcW w:type="pct" w:w="24%"/>
            <w:tcMar>
              <w:top w:type="dxa" w:w="80"/>
              <w:left w:type="dxa" w:w="110"/>
              <w:bottom w:type="dxa" w:w="80"/>
              <w:right w:type="dxa" w:w="110"/>
            </w:tcMar>
          </w:tcPr>
          <w:p>
            <w:pPr>
              <w:spacing w:line="260"/>
            </w:pPr>
            <w:r>
              <w:rPr>
                <w:b w:val="false"/>
                <w:bCs w:val="false"/>
                <w:color w:val="000000"/>
                <w:sz w:val="19"/>
                <w:szCs w:val="19"/>
              </w:rPr>
              <w:t xml:space="preserve">Derecho de petición radicado el 7 de septiembre de 2026; respuesta pendiente</w:t>
            </w:r>
          </w:p>
        </w:tc>
        <w:tc>
          <w:tcPr>
            <w:tcW w:type="pct" w:w="12%"/>
            <w:tcMar>
              <w:top w:type="dxa" w:w="80"/>
              <w:left w:type="dxa" w:w="110"/>
              <w:bottom w:type="dxa" w:w="80"/>
              <w:right w:type="dxa" w:w="110"/>
            </w:tcMar>
          </w:tcPr>
          <w:p>
            <w:pPr>
              <w:spacing w:line="260"/>
            </w:pPr>
            <w:r>
              <w:rPr>
                <w:b w:val="false"/>
                <w:bCs w:val="false"/>
                <w:color w:val="000000"/>
                <w:sz w:val="19"/>
                <w:szCs w:val="19"/>
              </w:rPr>
              <w:t xml:space="preserve">Constancia de radicado</w:t>
            </w:r>
          </w:p>
        </w:tc>
        <w:tc>
          <w:tcPr>
            <w:tcW w:type="pct" w:w="11%"/>
            <w:tcMar>
              <w:top w:type="dxa" w:w="80"/>
              <w:left w:type="dxa" w:w="110"/>
              <w:bottom w:type="dxa" w:w="80"/>
              <w:right w:type="dxa" w:w="110"/>
            </w:tcMar>
          </w:tcPr>
          <w:p>
            <w:pPr>
              <w:spacing w:line="260"/>
            </w:pPr>
            <w:r>
              <w:rPr>
                <w:b w:val="false"/>
                <w:bCs w:val="false"/>
                <w:color w:val="000000"/>
                <w:sz w:val="19"/>
                <w:szCs w:val="19"/>
              </w:rPr>
              <w:t xml:space="preserve">Pendiente</w:t>
            </w:r>
          </w:p>
        </w:tc>
      </w:tr>
    </w:tbl>
    <w:p>
      <w:pPr>
        <w:spacing w:after="80" w:before="2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19500"/>
                    </a:xfrm>
                    <a:prstGeom prst="rect">
                      <a:avLst/>
                    </a:prstGeom>
                  </pic:spPr>
                </pic:pic>
              </a:graphicData>
            </a:graphic>
          </wp:inline>
        </w:drawing>
      </w:r>
    </w:p>
    <w:p>
      <w:pPr>
        <w:spacing w:after="240" w:line="240"/>
        <w:jc w:val="center"/>
      </w:pPr>
      <w:r>
        <w:rPr>
          <w:i/>
          <w:iCs/>
          <w:color w:val="475569"/>
          <w:sz w:val="18"/>
          <w:szCs w:val="18"/>
        </w:rPr>
        <w:t xml:space="preserve">Figura 6. La misma matriz publicada como anexo del proyecto.</w:t>
      </w:r>
    </w:p>
    <w:p>
      <w:r>
        <w:br w:type="page"/>
      </w:r>
    </w:p>
    <w:p>
      <w:pPr>
        <w:pStyle w:val="Heading1"/>
        <w:spacing w:after="200" w:before="360" w:line="360"/>
      </w:pPr>
      <w:r>
        <w:rPr>
          <w:b/>
          <w:bCs/>
          <w:color w:val="0F172A"/>
          <w:sz w:val="30"/>
          <w:szCs w:val="30"/>
        </w:rPr>
        <w:t xml:space="preserve">Sección 5. Gestión de recursos y viabilidad financiera</w:t>
      </w:r>
    </w:p>
    <w:p>
      <w:pPr>
        <w:spacing w:after="120" w:line="480"/>
        <w:jc w:val="both"/>
      </w:pPr>
      <w:r>
        <w:rPr>
          <w:sz w:val="24"/>
          <w:szCs w:val="24"/>
        </w:rPr>
        <w:t xml:space="preserve">El libro de Excel adjunto reúne el presupuesto operativo, el cronograma de tiempos y movimientos y el tablero de control de impacto. Ningún total está escrito a mano: son fórmulas enlazadas entre hojas, de modo que modificar una partida del presupuesto recalcula el índice de eficiencia.</w:t>
      </w:r>
    </w:p>
    <w:p>
      <w:pPr>
        <w:shd w:color="FEF3C7" w:val="solid"/>
        <w:spacing w:after="160" w:before="120" w:line="300"/>
      </w:pPr>
      <w:r>
        <w:rPr>
          <w:b/>
          <w:bCs/>
          <w:color w:val="92400E"/>
          <w:sz w:val="22"/>
          <w:szCs w:val="22"/>
        </w:rPr>
        <w:t xml:space="preserve">PENDIENTE: validar las cifras del presupuesto con los equipos y gastos reales, e insertar las capturas de las tres hojas del libro.</w:t>
      </w:r>
    </w:p>
    <w:p>
      <w:pPr>
        <w:pStyle w:val="Heading2"/>
        <w:spacing w:after="140" w:before="280" w:line="360"/>
      </w:pPr>
      <w:r>
        <w:rPr>
          <w:b/>
          <w:bCs/>
          <w:color w:val="0369A1"/>
          <w:sz w:val="26"/>
          <w:szCs w:val="26"/>
        </w:rPr>
        <w:t xml:space="preserve">5.1 Presupuesto operativo</w:t>
      </w:r>
    </w:p>
    <w:tbl>
      <w:tblPr>
        <w:tblW w:type="pct" w:w="100%"/>
        <w:tblBorders>
          <w:top w:val="single" w:color="CBD5E1" w:sz="2"/>
          <w:left w:val="single" w:color="CBD5E1" w:sz="2"/>
          <w:bottom w:val="single" w:color="CBD5E1" w:sz="2"/>
          <w:right w:val="single" w:color="CBD5E1" w:sz="2"/>
          <w:insideH w:val="single" w:color="E2E8F0" w:sz="1"/>
          <w:insideV w:val="single" w:color="E2E8F0" w:sz="1"/>
        </w:tblBorders>
      </w:tblPr>
      <w:tblGrid>
        <w:gridCol w:w="100"/>
        <w:gridCol w:w="100"/>
        <w:gridCol w:w="100"/>
        <w:gridCol w:w="100"/>
        <w:gridCol w:w="100"/>
      </w:tblGrid>
      <w:tr>
        <w:trPr>
          <w:tblHeader/>
        </w:trPr>
        <w:tc>
          <w:tcPr>
            <w:tcW w:type="pct" w:w="10%"/>
            <w:shd w:color="0F172A" w:val="solid"/>
            <w:tcMar>
              <w:top w:type="dxa" w:w="80"/>
              <w:left w:type="dxa" w:w="110"/>
              <w:bottom w:type="dxa" w:w="80"/>
              <w:right w:type="dxa" w:w="110"/>
            </w:tcMar>
          </w:tcPr>
          <w:p>
            <w:pPr>
              <w:spacing w:line="260"/>
            </w:pPr>
            <w:r>
              <w:rPr>
                <w:b/>
                <w:bCs/>
                <w:color w:val="FFFFFF"/>
                <w:sz w:val="19"/>
                <w:szCs w:val="19"/>
              </w:rPr>
              <w:t xml:space="preserve">Tipo</w:t>
            </w:r>
          </w:p>
        </w:tc>
        <w:tc>
          <w:tcPr>
            <w:tcW w:type="pct" w:w="46%"/>
            <w:shd w:color="0F172A" w:val="solid"/>
            <w:tcMar>
              <w:top w:type="dxa" w:w="80"/>
              <w:left w:type="dxa" w:w="110"/>
              <w:bottom w:type="dxa" w:w="80"/>
              <w:right w:type="dxa" w:w="110"/>
            </w:tcMar>
          </w:tcPr>
          <w:p>
            <w:pPr>
              <w:spacing w:line="260"/>
            </w:pPr>
            <w:r>
              <w:rPr>
                <w:b/>
                <w:bCs/>
                <w:color w:val="FFFFFF"/>
                <w:sz w:val="19"/>
                <w:szCs w:val="19"/>
              </w:rPr>
              <w:t xml:space="preserve">Concepto</w:t>
            </w:r>
          </w:p>
        </w:tc>
        <w:tc>
          <w:tcPr>
            <w:tcW w:type="pct" w:w="8%"/>
            <w:shd w:color="0F172A" w:val="solid"/>
            <w:tcMar>
              <w:top w:type="dxa" w:w="80"/>
              <w:left w:type="dxa" w:w="110"/>
              <w:bottom w:type="dxa" w:w="80"/>
              <w:right w:type="dxa" w:w="110"/>
            </w:tcMar>
          </w:tcPr>
          <w:p>
            <w:pPr>
              <w:spacing w:line="260"/>
            </w:pPr>
            <w:r>
              <w:rPr>
                <w:b/>
                <w:bCs/>
                <w:color w:val="FFFFFF"/>
                <w:sz w:val="19"/>
                <w:szCs w:val="19"/>
              </w:rPr>
              <w:t xml:space="preserve">Cant.</w:t>
            </w:r>
          </w:p>
        </w:tc>
        <w:tc>
          <w:tcPr>
            <w:tcW w:type="pct" w:w="18%"/>
            <w:shd w:color="0F172A" w:val="solid"/>
            <w:tcMar>
              <w:top w:type="dxa" w:w="80"/>
              <w:left w:type="dxa" w:w="110"/>
              <w:bottom w:type="dxa" w:w="80"/>
              <w:right w:type="dxa" w:w="110"/>
            </w:tcMar>
          </w:tcPr>
          <w:p>
            <w:pPr>
              <w:spacing w:line="260"/>
            </w:pPr>
            <w:r>
              <w:rPr>
                <w:b/>
                <w:bCs/>
                <w:color w:val="FFFFFF"/>
                <w:sz w:val="19"/>
                <w:szCs w:val="19"/>
              </w:rPr>
              <w:t xml:space="preserve">Valor unitario</w:t>
            </w:r>
          </w:p>
        </w:tc>
        <w:tc>
          <w:tcPr>
            <w:tcW w:type="pct" w:w="18%"/>
            <w:shd w:color="0F172A" w:val="solid"/>
            <w:tcMar>
              <w:top w:type="dxa" w:w="80"/>
              <w:left w:type="dxa" w:w="110"/>
              <w:bottom w:type="dxa" w:w="80"/>
              <w:right w:type="dxa" w:w="110"/>
            </w:tcMar>
          </w:tcPr>
          <w:p>
            <w:pPr>
              <w:spacing w:line="260"/>
            </w:pPr>
            <w:r>
              <w:rPr>
                <w:b/>
                <w:bCs/>
                <w:color w:val="FFFFFF"/>
                <w:sz w:val="19"/>
                <w:szCs w:val="19"/>
              </w:rPr>
              <w:t xml:space="preserve">Subtotal</w:t>
            </w:r>
          </w:p>
        </w:tc>
      </w:tr>
      <w:tr>
        <w:tc>
          <w:tcPr>
            <w:tcW w:type="pct" w:w="10%"/>
            <w:tcMar>
              <w:top w:type="dxa" w:w="80"/>
              <w:left w:type="dxa" w:w="110"/>
              <w:bottom w:type="dxa" w:w="80"/>
              <w:right w:type="dxa" w:w="110"/>
            </w:tcMar>
          </w:tcPr>
          <w:p>
            <w:pPr>
              <w:spacing w:line="260"/>
            </w:pPr>
            <w:r>
              <w:rPr>
                <w:b w:val="false"/>
                <w:bCs w:val="false"/>
                <w:color w:val="000000"/>
                <w:sz w:val="19"/>
                <w:szCs w:val="19"/>
              </w:rPr>
              <w:t xml:space="preserve">CAPEX</w:t>
            </w:r>
          </w:p>
        </w:tc>
        <w:tc>
          <w:tcPr>
            <w:tcW w:type="pct" w:w="46%"/>
            <w:tcMar>
              <w:top w:type="dxa" w:w="80"/>
              <w:left w:type="dxa" w:w="110"/>
              <w:bottom w:type="dxa" w:w="80"/>
              <w:right w:type="dxa" w:w="110"/>
            </w:tcMar>
          </w:tcPr>
          <w:p>
            <w:pPr>
              <w:spacing w:line="260"/>
            </w:pPr>
            <w:r>
              <w:rPr>
                <w:b w:val="false"/>
                <w:bCs w:val="false"/>
                <w:color w:val="000000"/>
                <w:sz w:val="19"/>
                <w:szCs w:val="19"/>
              </w:rPr>
              <w:t xml:space="preserve">Micrófono de solapa con cable TRRS</w:t>
            </w:r>
          </w:p>
        </w:tc>
        <w:tc>
          <w:tcPr>
            <w:tcW w:type="pct" w:w="8%"/>
            <w:tcMar>
              <w:top w:type="dxa" w:w="80"/>
              <w:left w:type="dxa" w:w="110"/>
              <w:bottom w:type="dxa" w:w="80"/>
              <w:right w:type="dxa" w:w="110"/>
            </w:tcMar>
          </w:tcPr>
          <w:p>
            <w:pPr>
              <w:spacing w:line="260"/>
            </w:pPr>
            <w:r>
              <w:rPr>
                <w:b w:val="false"/>
                <w:bCs w:val="false"/>
                <w:color w:val="000000"/>
                <w:sz w:val="19"/>
                <w:szCs w:val="19"/>
              </w:rPr>
              <w:t xml:space="preserve">1</w:t>
            </w:r>
          </w:p>
        </w:tc>
        <w:tc>
          <w:tcPr>
            <w:tcW w:type="pct" w:w="18%"/>
            <w:tcMar>
              <w:top w:type="dxa" w:w="80"/>
              <w:left w:type="dxa" w:w="110"/>
              <w:bottom w:type="dxa" w:w="80"/>
              <w:right w:type="dxa" w:w="110"/>
            </w:tcMar>
          </w:tcPr>
          <w:p>
            <w:pPr>
              <w:spacing w:line="260"/>
            </w:pPr>
            <w:r>
              <w:rPr>
                <w:b w:val="false"/>
                <w:bCs w:val="false"/>
                <w:color w:val="000000"/>
                <w:sz w:val="19"/>
                <w:szCs w:val="19"/>
              </w:rPr>
              <w:t xml:space="preserve">$180.000</w:t>
            </w:r>
          </w:p>
        </w:tc>
        <w:tc>
          <w:tcPr>
            <w:tcW w:type="pct" w:w="18%"/>
            <w:tcMar>
              <w:top w:type="dxa" w:w="80"/>
              <w:left w:type="dxa" w:w="110"/>
              <w:bottom w:type="dxa" w:w="80"/>
              <w:right w:type="dxa" w:w="110"/>
            </w:tcMar>
          </w:tcPr>
          <w:p>
            <w:pPr>
              <w:spacing w:line="260"/>
            </w:pPr>
            <w:r>
              <w:rPr>
                <w:b w:val="false"/>
                <w:bCs w:val="false"/>
                <w:color w:val="000000"/>
                <w:sz w:val="19"/>
                <w:szCs w:val="19"/>
              </w:rPr>
              <w:t xml:space="preserve">$180.000</w:t>
            </w:r>
          </w:p>
        </w:tc>
      </w:tr>
      <w:tr>
        <w:tc>
          <w:tcPr>
            <w:tcW w:type="pct" w:w="10%"/>
            <w:tcMar>
              <w:top w:type="dxa" w:w="80"/>
              <w:left w:type="dxa" w:w="110"/>
              <w:bottom w:type="dxa" w:w="80"/>
              <w:right w:type="dxa" w:w="110"/>
            </w:tcMar>
          </w:tcPr>
          <w:p>
            <w:pPr>
              <w:spacing w:line="260"/>
            </w:pPr>
            <w:r>
              <w:rPr>
                <w:b w:val="false"/>
                <w:bCs w:val="false"/>
                <w:color w:val="000000"/>
                <w:sz w:val="19"/>
                <w:szCs w:val="19"/>
              </w:rPr>
              <w:t xml:space="preserve">CAPEX</w:t>
            </w:r>
          </w:p>
        </w:tc>
        <w:tc>
          <w:tcPr>
            <w:tcW w:type="pct" w:w="46%"/>
            <w:tcMar>
              <w:top w:type="dxa" w:w="80"/>
              <w:left w:type="dxa" w:w="110"/>
              <w:bottom w:type="dxa" w:w="80"/>
              <w:right w:type="dxa" w:w="110"/>
            </w:tcMar>
          </w:tcPr>
          <w:p>
            <w:pPr>
              <w:spacing w:line="260"/>
            </w:pPr>
            <w:r>
              <w:rPr>
                <w:b w:val="false"/>
                <w:bCs w:val="false"/>
                <w:color w:val="000000"/>
                <w:sz w:val="19"/>
                <w:szCs w:val="19"/>
              </w:rPr>
              <w:t xml:space="preserve">Auriculares cerrados de monitoreo</w:t>
            </w:r>
          </w:p>
        </w:tc>
        <w:tc>
          <w:tcPr>
            <w:tcW w:type="pct" w:w="8%"/>
            <w:tcMar>
              <w:top w:type="dxa" w:w="80"/>
              <w:left w:type="dxa" w:w="110"/>
              <w:bottom w:type="dxa" w:w="80"/>
              <w:right w:type="dxa" w:w="110"/>
            </w:tcMar>
          </w:tcPr>
          <w:p>
            <w:pPr>
              <w:spacing w:line="260"/>
            </w:pPr>
            <w:r>
              <w:rPr>
                <w:b w:val="false"/>
                <w:bCs w:val="false"/>
                <w:color w:val="000000"/>
                <w:sz w:val="19"/>
                <w:szCs w:val="19"/>
              </w:rPr>
              <w:t xml:space="preserve">1</w:t>
            </w:r>
          </w:p>
        </w:tc>
        <w:tc>
          <w:tcPr>
            <w:tcW w:type="pct" w:w="18%"/>
            <w:tcMar>
              <w:top w:type="dxa" w:w="80"/>
              <w:left w:type="dxa" w:w="110"/>
              <w:bottom w:type="dxa" w:w="80"/>
              <w:right w:type="dxa" w:w="110"/>
            </w:tcMar>
          </w:tcPr>
          <w:p>
            <w:pPr>
              <w:spacing w:line="260"/>
            </w:pPr>
            <w:r>
              <w:rPr>
                <w:b w:val="false"/>
                <w:bCs w:val="false"/>
                <w:color w:val="000000"/>
                <w:sz w:val="19"/>
                <w:szCs w:val="19"/>
              </w:rPr>
              <w:t xml:space="preserve">$150.000</w:t>
            </w:r>
          </w:p>
        </w:tc>
        <w:tc>
          <w:tcPr>
            <w:tcW w:type="pct" w:w="18%"/>
            <w:tcMar>
              <w:top w:type="dxa" w:w="80"/>
              <w:left w:type="dxa" w:w="110"/>
              <w:bottom w:type="dxa" w:w="80"/>
              <w:right w:type="dxa" w:w="110"/>
            </w:tcMar>
          </w:tcPr>
          <w:p>
            <w:pPr>
              <w:spacing w:line="260"/>
            </w:pPr>
            <w:r>
              <w:rPr>
                <w:b w:val="false"/>
                <w:bCs w:val="false"/>
                <w:color w:val="000000"/>
                <w:sz w:val="19"/>
                <w:szCs w:val="19"/>
              </w:rPr>
              <w:t xml:space="preserve">$150.000</w:t>
            </w:r>
          </w:p>
        </w:tc>
      </w:tr>
      <w:tr>
        <w:tc>
          <w:tcPr>
            <w:tcW w:type="pct" w:w="10%"/>
            <w:tcMar>
              <w:top w:type="dxa" w:w="80"/>
              <w:left w:type="dxa" w:w="110"/>
              <w:bottom w:type="dxa" w:w="80"/>
              <w:right w:type="dxa" w:w="110"/>
            </w:tcMar>
          </w:tcPr>
          <w:p>
            <w:pPr>
              <w:spacing w:line="260"/>
            </w:pPr>
            <w:r>
              <w:rPr>
                <w:b w:val="false"/>
                <w:bCs w:val="false"/>
                <w:color w:val="000000"/>
                <w:sz w:val="19"/>
                <w:szCs w:val="19"/>
              </w:rPr>
              <w:t xml:space="preserve">CAPEX</w:t>
            </w:r>
          </w:p>
        </w:tc>
        <w:tc>
          <w:tcPr>
            <w:tcW w:type="pct" w:w="46%"/>
            <w:tcMar>
              <w:top w:type="dxa" w:w="80"/>
              <w:left w:type="dxa" w:w="110"/>
              <w:bottom w:type="dxa" w:w="80"/>
              <w:right w:type="dxa" w:w="110"/>
            </w:tcMar>
          </w:tcPr>
          <w:p>
            <w:pPr>
              <w:spacing w:line="260"/>
            </w:pPr>
            <w:r>
              <w:rPr>
                <w:b w:val="false"/>
                <w:bCs w:val="false"/>
                <w:color w:val="000000"/>
                <w:sz w:val="19"/>
                <w:szCs w:val="19"/>
              </w:rPr>
              <w:t xml:space="preserve">Tripode con soporte para movil</w:t>
            </w:r>
          </w:p>
        </w:tc>
        <w:tc>
          <w:tcPr>
            <w:tcW w:type="pct" w:w="8%"/>
            <w:tcMar>
              <w:top w:type="dxa" w:w="80"/>
              <w:left w:type="dxa" w:w="110"/>
              <w:bottom w:type="dxa" w:w="80"/>
              <w:right w:type="dxa" w:w="110"/>
            </w:tcMar>
          </w:tcPr>
          <w:p>
            <w:pPr>
              <w:spacing w:line="260"/>
            </w:pPr>
            <w:r>
              <w:rPr>
                <w:b w:val="false"/>
                <w:bCs w:val="false"/>
                <w:color w:val="000000"/>
                <w:sz w:val="19"/>
                <w:szCs w:val="19"/>
              </w:rPr>
              <w:t xml:space="preserve">1</w:t>
            </w:r>
          </w:p>
        </w:tc>
        <w:tc>
          <w:tcPr>
            <w:tcW w:type="pct" w:w="18%"/>
            <w:tcMar>
              <w:top w:type="dxa" w:w="80"/>
              <w:left w:type="dxa" w:w="110"/>
              <w:bottom w:type="dxa" w:w="80"/>
              <w:right w:type="dxa" w:w="110"/>
            </w:tcMar>
          </w:tcPr>
          <w:p>
            <w:pPr>
              <w:spacing w:line="260"/>
            </w:pPr>
            <w:r>
              <w:rPr>
                <w:b w:val="false"/>
                <w:bCs w:val="false"/>
                <w:color w:val="000000"/>
                <w:sz w:val="19"/>
                <w:szCs w:val="19"/>
              </w:rPr>
              <w:t xml:space="preserve">$90.000</w:t>
            </w:r>
          </w:p>
        </w:tc>
        <w:tc>
          <w:tcPr>
            <w:tcW w:type="pct" w:w="18%"/>
            <w:tcMar>
              <w:top w:type="dxa" w:w="80"/>
              <w:left w:type="dxa" w:w="110"/>
              <w:bottom w:type="dxa" w:w="80"/>
              <w:right w:type="dxa" w:w="110"/>
            </w:tcMar>
          </w:tcPr>
          <w:p>
            <w:pPr>
              <w:spacing w:line="260"/>
            </w:pPr>
            <w:r>
              <w:rPr>
                <w:b w:val="false"/>
                <w:bCs w:val="false"/>
                <w:color w:val="000000"/>
                <w:sz w:val="19"/>
                <w:szCs w:val="19"/>
              </w:rPr>
              <w:t xml:space="preserve">$90.000</w:t>
            </w:r>
          </w:p>
        </w:tc>
      </w:tr>
      <w:tr>
        <w:tc>
          <w:tcPr>
            <w:tcW w:type="pct" w:w="10%"/>
            <w:tcMar>
              <w:top w:type="dxa" w:w="80"/>
              <w:left w:type="dxa" w:w="110"/>
              <w:bottom w:type="dxa" w:w="80"/>
              <w:right w:type="dxa" w:w="110"/>
            </w:tcMar>
          </w:tcPr>
          <w:p>
            <w:pPr>
              <w:spacing w:line="260"/>
            </w:pPr>
            <w:r>
              <w:rPr>
                <w:b w:val="false"/>
                <w:bCs w:val="false"/>
                <w:color w:val="000000"/>
                <w:sz w:val="19"/>
                <w:szCs w:val="19"/>
              </w:rPr>
              <w:t xml:space="preserve">CAPEX</w:t>
            </w:r>
          </w:p>
        </w:tc>
        <w:tc>
          <w:tcPr>
            <w:tcW w:type="pct" w:w="46%"/>
            <w:tcMar>
              <w:top w:type="dxa" w:w="80"/>
              <w:left w:type="dxa" w:w="110"/>
              <w:bottom w:type="dxa" w:w="80"/>
              <w:right w:type="dxa" w:w="110"/>
            </w:tcMar>
          </w:tcPr>
          <w:p>
            <w:pPr>
              <w:spacing w:line="260"/>
            </w:pPr>
            <w:r>
              <w:rPr>
                <w:b w:val="false"/>
                <w:bCs w:val="false"/>
                <w:color w:val="000000"/>
                <w:sz w:val="19"/>
                <w:szCs w:val="19"/>
              </w:rPr>
              <w:t xml:space="preserve">Tarjeta microSD 128 GB clase 10</w:t>
            </w:r>
          </w:p>
        </w:tc>
        <w:tc>
          <w:tcPr>
            <w:tcW w:type="pct" w:w="8%"/>
            <w:tcMar>
              <w:top w:type="dxa" w:w="80"/>
              <w:left w:type="dxa" w:w="110"/>
              <w:bottom w:type="dxa" w:w="80"/>
              <w:right w:type="dxa" w:w="110"/>
            </w:tcMar>
          </w:tcPr>
          <w:p>
            <w:pPr>
              <w:spacing w:line="260"/>
            </w:pPr>
            <w:r>
              <w:rPr>
                <w:b w:val="false"/>
                <w:bCs w:val="false"/>
                <w:color w:val="000000"/>
                <w:sz w:val="19"/>
                <w:szCs w:val="19"/>
              </w:rPr>
              <w:t xml:space="preserve">1</w:t>
            </w:r>
          </w:p>
        </w:tc>
        <w:tc>
          <w:tcPr>
            <w:tcW w:type="pct" w:w="18%"/>
            <w:tcMar>
              <w:top w:type="dxa" w:w="80"/>
              <w:left w:type="dxa" w:w="110"/>
              <w:bottom w:type="dxa" w:w="80"/>
              <w:right w:type="dxa" w:w="110"/>
            </w:tcMar>
          </w:tcPr>
          <w:p>
            <w:pPr>
              <w:spacing w:line="260"/>
            </w:pPr>
            <w:r>
              <w:rPr>
                <w:b w:val="false"/>
                <w:bCs w:val="false"/>
                <w:color w:val="000000"/>
                <w:sz w:val="19"/>
                <w:szCs w:val="19"/>
              </w:rPr>
              <w:t xml:space="preserve">$70.000</w:t>
            </w:r>
          </w:p>
        </w:tc>
        <w:tc>
          <w:tcPr>
            <w:tcW w:type="pct" w:w="18%"/>
            <w:tcMar>
              <w:top w:type="dxa" w:w="80"/>
              <w:left w:type="dxa" w:w="110"/>
              <w:bottom w:type="dxa" w:w="80"/>
              <w:right w:type="dxa" w:w="110"/>
            </w:tcMar>
          </w:tcPr>
          <w:p>
            <w:pPr>
              <w:spacing w:line="260"/>
            </w:pPr>
            <w:r>
              <w:rPr>
                <w:b w:val="false"/>
                <w:bCs w:val="false"/>
                <w:color w:val="000000"/>
                <w:sz w:val="19"/>
                <w:szCs w:val="19"/>
              </w:rPr>
              <w:t xml:space="preserve">$70.000</w:t>
            </w:r>
          </w:p>
        </w:tc>
      </w:tr>
      <w:tr>
        <w:tc>
          <w:tcPr>
            <w:tcW w:type="pct" w:w="10%"/>
            <w:tcMar>
              <w:top w:type="dxa" w:w="80"/>
              <w:left w:type="dxa" w:w="110"/>
              <w:bottom w:type="dxa" w:w="80"/>
              <w:right w:type="dxa" w:w="110"/>
            </w:tcMar>
          </w:tcPr>
          <w:p>
            <w:pPr>
              <w:spacing w:line="260"/>
            </w:pPr>
            <w:r>
              <w:rPr>
                <w:b w:val="false"/>
                <w:bCs w:val="false"/>
                <w:color w:val="000000"/>
                <w:sz w:val="19"/>
                <w:szCs w:val="19"/>
              </w:rPr>
              <w:t xml:space="preserve">CAPEX</w:t>
            </w:r>
          </w:p>
        </w:tc>
        <w:tc>
          <w:tcPr>
            <w:tcW w:type="pct" w:w="46%"/>
            <w:tcMar>
              <w:top w:type="dxa" w:w="80"/>
              <w:left w:type="dxa" w:w="110"/>
              <w:bottom w:type="dxa" w:w="80"/>
              <w:right w:type="dxa" w:w="110"/>
            </w:tcMar>
          </w:tcPr>
          <w:p>
            <w:pPr>
              <w:spacing w:line="260"/>
            </w:pPr>
            <w:r>
              <w:rPr>
                <w:b w:val="false"/>
                <w:bCs w:val="false"/>
                <w:color w:val="000000"/>
                <w:sz w:val="19"/>
                <w:szCs w:val="19"/>
              </w:rPr>
              <w:t xml:space="preserve">Movil 1080p: depreciacion del periodo</w:t>
            </w:r>
          </w:p>
        </w:tc>
        <w:tc>
          <w:tcPr>
            <w:tcW w:type="pct" w:w="8%"/>
            <w:tcMar>
              <w:top w:type="dxa" w:w="80"/>
              <w:left w:type="dxa" w:w="110"/>
              <w:bottom w:type="dxa" w:w="80"/>
              <w:right w:type="dxa" w:w="110"/>
            </w:tcMar>
          </w:tcPr>
          <w:p>
            <w:pPr>
              <w:spacing w:line="260"/>
            </w:pPr>
            <w:r>
              <w:rPr>
                <w:b w:val="false"/>
                <w:bCs w:val="false"/>
                <w:color w:val="000000"/>
                <w:sz w:val="19"/>
                <w:szCs w:val="19"/>
              </w:rPr>
              <w:t xml:space="preserve">2</w:t>
            </w:r>
          </w:p>
        </w:tc>
        <w:tc>
          <w:tcPr>
            <w:tcW w:type="pct" w:w="18%"/>
            <w:tcMar>
              <w:top w:type="dxa" w:w="80"/>
              <w:left w:type="dxa" w:w="110"/>
              <w:bottom w:type="dxa" w:w="80"/>
              <w:right w:type="dxa" w:w="110"/>
            </w:tcMar>
          </w:tcPr>
          <w:p>
            <w:pPr>
              <w:spacing w:line="260"/>
            </w:pPr>
            <w:r>
              <w:rPr>
                <w:b w:val="false"/>
                <w:bCs w:val="false"/>
                <w:color w:val="000000"/>
                <w:sz w:val="19"/>
                <w:szCs w:val="19"/>
              </w:rPr>
              <w:t xml:space="preserve">$75.000</w:t>
            </w:r>
          </w:p>
        </w:tc>
        <w:tc>
          <w:tcPr>
            <w:tcW w:type="pct" w:w="18%"/>
            <w:tcMar>
              <w:top w:type="dxa" w:w="80"/>
              <w:left w:type="dxa" w:w="110"/>
              <w:bottom w:type="dxa" w:w="80"/>
              <w:right w:type="dxa" w:w="110"/>
            </w:tcMar>
          </w:tcPr>
          <w:p>
            <w:pPr>
              <w:spacing w:line="260"/>
            </w:pPr>
            <w:r>
              <w:rPr>
                <w:b w:val="false"/>
                <w:bCs w:val="false"/>
                <w:color w:val="000000"/>
                <w:sz w:val="19"/>
                <w:szCs w:val="19"/>
              </w:rPr>
              <w:t xml:space="preserve">$150.000</w:t>
            </w:r>
          </w:p>
        </w:tc>
      </w:tr>
      <w:tr>
        <w:tc>
          <w:tcPr>
            <w:tcW w:type="pct" w:w="10%"/>
            <w:tcMar>
              <w:top w:type="dxa" w:w="80"/>
              <w:left w:type="dxa" w:w="110"/>
              <w:bottom w:type="dxa" w:w="80"/>
              <w:right w:type="dxa" w:w="110"/>
            </w:tcMar>
          </w:tcPr>
          <w:p>
            <w:pPr>
              <w:spacing w:line="260"/>
            </w:pPr>
            <w:r>
              <w:rPr>
                <w:b w:val="false"/>
                <w:bCs w:val="false"/>
                <w:color w:val="000000"/>
                <w:sz w:val="19"/>
                <w:szCs w:val="19"/>
              </w:rPr>
              <w:t xml:space="preserve">OPEX</w:t>
            </w:r>
          </w:p>
        </w:tc>
        <w:tc>
          <w:tcPr>
            <w:tcW w:type="pct" w:w="46%"/>
            <w:tcMar>
              <w:top w:type="dxa" w:w="80"/>
              <w:left w:type="dxa" w:w="110"/>
              <w:bottom w:type="dxa" w:w="80"/>
              <w:right w:type="dxa" w:w="110"/>
            </w:tcMar>
          </w:tcPr>
          <w:p>
            <w:pPr>
              <w:spacing w:line="260"/>
            </w:pPr>
            <w:r>
              <w:rPr>
                <w:b w:val="false"/>
                <w:bCs w:val="false"/>
                <w:color w:val="000000"/>
                <w:sz w:val="19"/>
                <w:szCs w:val="19"/>
              </w:rPr>
              <w:t xml:space="preserve">Plan de datos moviles</w:t>
            </w:r>
          </w:p>
        </w:tc>
        <w:tc>
          <w:tcPr>
            <w:tcW w:type="pct" w:w="8%"/>
            <w:tcMar>
              <w:top w:type="dxa" w:w="80"/>
              <w:left w:type="dxa" w:w="110"/>
              <w:bottom w:type="dxa" w:w="80"/>
              <w:right w:type="dxa" w:w="110"/>
            </w:tcMar>
          </w:tcPr>
          <w:p>
            <w:pPr>
              <w:spacing w:line="260"/>
            </w:pPr>
            <w:r>
              <w:rPr>
                <w:b w:val="false"/>
                <w:bCs w:val="false"/>
                <w:color w:val="000000"/>
                <w:sz w:val="19"/>
                <w:szCs w:val="19"/>
              </w:rPr>
              <w:t xml:space="preserve">2</w:t>
            </w:r>
          </w:p>
        </w:tc>
        <w:tc>
          <w:tcPr>
            <w:tcW w:type="pct" w:w="18%"/>
            <w:tcMar>
              <w:top w:type="dxa" w:w="80"/>
              <w:left w:type="dxa" w:w="110"/>
              <w:bottom w:type="dxa" w:w="80"/>
              <w:right w:type="dxa" w:w="110"/>
            </w:tcMar>
          </w:tcPr>
          <w:p>
            <w:pPr>
              <w:spacing w:line="260"/>
            </w:pPr>
            <w:r>
              <w:rPr>
                <w:b w:val="false"/>
                <w:bCs w:val="false"/>
                <w:color w:val="000000"/>
                <w:sz w:val="19"/>
                <w:szCs w:val="19"/>
              </w:rPr>
              <w:t xml:space="preserve">$60.000</w:t>
            </w:r>
          </w:p>
        </w:tc>
        <w:tc>
          <w:tcPr>
            <w:tcW w:type="pct" w:w="18%"/>
            <w:tcMar>
              <w:top w:type="dxa" w:w="80"/>
              <w:left w:type="dxa" w:w="110"/>
              <w:bottom w:type="dxa" w:w="80"/>
              <w:right w:type="dxa" w:w="110"/>
            </w:tcMar>
          </w:tcPr>
          <w:p>
            <w:pPr>
              <w:spacing w:line="260"/>
            </w:pPr>
            <w:r>
              <w:rPr>
                <w:b w:val="false"/>
                <w:bCs w:val="false"/>
                <w:color w:val="000000"/>
                <w:sz w:val="19"/>
                <w:szCs w:val="19"/>
              </w:rPr>
              <w:t xml:space="preserve">$120.000</w:t>
            </w:r>
          </w:p>
        </w:tc>
      </w:tr>
      <w:tr>
        <w:tc>
          <w:tcPr>
            <w:tcW w:type="pct" w:w="10%"/>
            <w:tcMar>
              <w:top w:type="dxa" w:w="80"/>
              <w:left w:type="dxa" w:w="110"/>
              <w:bottom w:type="dxa" w:w="80"/>
              <w:right w:type="dxa" w:w="110"/>
            </w:tcMar>
          </w:tcPr>
          <w:p>
            <w:pPr>
              <w:spacing w:line="260"/>
            </w:pPr>
            <w:r>
              <w:rPr>
                <w:b w:val="false"/>
                <w:bCs w:val="false"/>
                <w:color w:val="000000"/>
                <w:sz w:val="19"/>
                <w:szCs w:val="19"/>
              </w:rPr>
              <w:t xml:space="preserve">OPEX</w:t>
            </w:r>
          </w:p>
        </w:tc>
        <w:tc>
          <w:tcPr>
            <w:tcW w:type="pct" w:w="46%"/>
            <w:tcMar>
              <w:top w:type="dxa" w:w="80"/>
              <w:left w:type="dxa" w:w="110"/>
              <w:bottom w:type="dxa" w:w="80"/>
              <w:right w:type="dxa" w:w="110"/>
            </w:tcMar>
          </w:tcPr>
          <w:p>
            <w:pPr>
              <w:spacing w:line="260"/>
            </w:pPr>
            <w:r>
              <w:rPr>
                <w:b w:val="false"/>
                <w:bCs w:val="false"/>
                <w:color w:val="000000"/>
                <w:sz w:val="19"/>
                <w:szCs w:val="19"/>
              </w:rPr>
              <w:t xml:space="preserve">Internet fijo del hogar</w:t>
            </w:r>
          </w:p>
        </w:tc>
        <w:tc>
          <w:tcPr>
            <w:tcW w:type="pct" w:w="8%"/>
            <w:tcMar>
              <w:top w:type="dxa" w:w="80"/>
              <w:left w:type="dxa" w:w="110"/>
              <w:bottom w:type="dxa" w:w="80"/>
              <w:right w:type="dxa" w:w="110"/>
            </w:tcMar>
          </w:tcPr>
          <w:p>
            <w:pPr>
              <w:spacing w:line="260"/>
            </w:pPr>
            <w:r>
              <w:rPr>
                <w:b w:val="false"/>
                <w:bCs w:val="false"/>
                <w:color w:val="000000"/>
                <w:sz w:val="19"/>
                <w:szCs w:val="19"/>
              </w:rPr>
              <w:t xml:space="preserve">2</w:t>
            </w:r>
          </w:p>
        </w:tc>
        <w:tc>
          <w:tcPr>
            <w:tcW w:type="pct" w:w="18%"/>
            <w:tcMar>
              <w:top w:type="dxa" w:w="80"/>
              <w:left w:type="dxa" w:w="110"/>
              <w:bottom w:type="dxa" w:w="80"/>
              <w:right w:type="dxa" w:w="110"/>
            </w:tcMar>
          </w:tcPr>
          <w:p>
            <w:pPr>
              <w:spacing w:line="260"/>
            </w:pPr>
            <w:r>
              <w:rPr>
                <w:b w:val="false"/>
                <w:bCs w:val="false"/>
                <w:color w:val="000000"/>
                <w:sz w:val="19"/>
                <w:szCs w:val="19"/>
              </w:rPr>
              <w:t xml:space="preserve">$85.000</w:t>
            </w:r>
          </w:p>
        </w:tc>
        <w:tc>
          <w:tcPr>
            <w:tcW w:type="pct" w:w="18%"/>
            <w:tcMar>
              <w:top w:type="dxa" w:w="80"/>
              <w:left w:type="dxa" w:w="110"/>
              <w:bottom w:type="dxa" w:w="80"/>
              <w:right w:type="dxa" w:w="110"/>
            </w:tcMar>
          </w:tcPr>
          <w:p>
            <w:pPr>
              <w:spacing w:line="260"/>
            </w:pPr>
            <w:r>
              <w:rPr>
                <w:b w:val="false"/>
                <w:bCs w:val="false"/>
                <w:color w:val="000000"/>
                <w:sz w:val="19"/>
                <w:szCs w:val="19"/>
              </w:rPr>
              <w:t xml:space="preserve">$170.000</w:t>
            </w:r>
          </w:p>
        </w:tc>
      </w:tr>
      <w:tr>
        <w:tc>
          <w:tcPr>
            <w:tcW w:type="pct" w:w="10%"/>
            <w:tcMar>
              <w:top w:type="dxa" w:w="80"/>
              <w:left w:type="dxa" w:w="110"/>
              <w:bottom w:type="dxa" w:w="80"/>
              <w:right w:type="dxa" w:w="110"/>
            </w:tcMar>
          </w:tcPr>
          <w:p>
            <w:pPr>
              <w:spacing w:line="260"/>
            </w:pPr>
            <w:r>
              <w:rPr>
                <w:b w:val="false"/>
                <w:bCs w:val="false"/>
                <w:color w:val="000000"/>
                <w:sz w:val="19"/>
                <w:szCs w:val="19"/>
              </w:rPr>
              <w:t xml:space="preserve">OPEX</w:t>
            </w:r>
          </w:p>
        </w:tc>
        <w:tc>
          <w:tcPr>
            <w:tcW w:type="pct" w:w="46%"/>
            <w:tcMar>
              <w:top w:type="dxa" w:w="80"/>
              <w:left w:type="dxa" w:w="110"/>
              <w:bottom w:type="dxa" w:w="80"/>
              <w:right w:type="dxa" w:w="110"/>
            </w:tcMar>
          </w:tcPr>
          <w:p>
            <w:pPr>
              <w:spacing w:line="260"/>
            </w:pPr>
            <w:r>
              <w:rPr>
                <w:b w:val="false"/>
                <w:bCs w:val="false"/>
                <w:color w:val="000000"/>
                <w:sz w:val="19"/>
                <w:szCs w:val="19"/>
              </w:rPr>
              <w:t xml:space="preserve">Pasajes urbanos para reporteria</w:t>
            </w:r>
          </w:p>
        </w:tc>
        <w:tc>
          <w:tcPr>
            <w:tcW w:type="pct" w:w="8%"/>
            <w:tcMar>
              <w:top w:type="dxa" w:w="80"/>
              <w:left w:type="dxa" w:w="110"/>
              <w:bottom w:type="dxa" w:w="80"/>
              <w:right w:type="dxa" w:w="110"/>
            </w:tcMar>
          </w:tcPr>
          <w:p>
            <w:pPr>
              <w:spacing w:line="260"/>
            </w:pPr>
            <w:r>
              <w:rPr>
                <w:b w:val="false"/>
                <w:bCs w:val="false"/>
                <w:color w:val="000000"/>
                <w:sz w:val="19"/>
                <w:szCs w:val="19"/>
              </w:rPr>
              <w:t xml:space="preserve">20</w:t>
            </w:r>
          </w:p>
        </w:tc>
        <w:tc>
          <w:tcPr>
            <w:tcW w:type="pct" w:w="18%"/>
            <w:tcMar>
              <w:top w:type="dxa" w:w="80"/>
              <w:left w:type="dxa" w:w="110"/>
              <w:bottom w:type="dxa" w:w="80"/>
              <w:right w:type="dxa" w:w="110"/>
            </w:tcMar>
          </w:tcPr>
          <w:p>
            <w:pPr>
              <w:spacing w:line="260"/>
            </w:pPr>
            <w:r>
              <w:rPr>
                <w:b w:val="false"/>
                <w:bCs w:val="false"/>
                <w:color w:val="000000"/>
                <w:sz w:val="19"/>
                <w:szCs w:val="19"/>
              </w:rPr>
              <w:t xml:space="preserve">$2.900</w:t>
            </w:r>
          </w:p>
        </w:tc>
        <w:tc>
          <w:tcPr>
            <w:tcW w:type="pct" w:w="18%"/>
            <w:tcMar>
              <w:top w:type="dxa" w:w="80"/>
              <w:left w:type="dxa" w:w="110"/>
              <w:bottom w:type="dxa" w:w="80"/>
              <w:right w:type="dxa" w:w="110"/>
            </w:tcMar>
          </w:tcPr>
          <w:p>
            <w:pPr>
              <w:spacing w:line="260"/>
            </w:pPr>
            <w:r>
              <w:rPr>
                <w:b w:val="false"/>
                <w:bCs w:val="false"/>
                <w:color w:val="000000"/>
                <w:sz w:val="19"/>
                <w:szCs w:val="19"/>
              </w:rPr>
              <w:t xml:space="preserve">$58.000</w:t>
            </w:r>
          </w:p>
        </w:tc>
      </w:tr>
      <w:tr>
        <w:tc>
          <w:tcPr>
            <w:tcW w:type="pct" w:w="10%"/>
            <w:tcMar>
              <w:top w:type="dxa" w:w="80"/>
              <w:left w:type="dxa" w:w="110"/>
              <w:bottom w:type="dxa" w:w="80"/>
              <w:right w:type="dxa" w:w="110"/>
            </w:tcMar>
          </w:tcPr>
          <w:p>
            <w:pPr>
              <w:spacing w:line="260"/>
            </w:pPr>
            <w:r>
              <w:rPr>
                <w:b w:val="false"/>
                <w:bCs w:val="false"/>
                <w:color w:val="000000"/>
                <w:sz w:val="19"/>
                <w:szCs w:val="19"/>
              </w:rPr>
              <w:t xml:space="preserve">OPEX</w:t>
            </w:r>
          </w:p>
        </w:tc>
        <w:tc>
          <w:tcPr>
            <w:tcW w:type="pct" w:w="46%"/>
            <w:tcMar>
              <w:top w:type="dxa" w:w="80"/>
              <w:left w:type="dxa" w:w="110"/>
              <w:bottom w:type="dxa" w:w="80"/>
              <w:right w:type="dxa" w:w="110"/>
            </w:tcMar>
          </w:tcPr>
          <w:p>
            <w:pPr>
              <w:spacing w:line="260"/>
            </w:pPr>
            <w:r>
              <w:rPr>
                <w:b w:val="false"/>
                <w:bCs w:val="false"/>
                <w:color w:val="000000"/>
                <w:sz w:val="19"/>
                <w:szCs w:val="19"/>
              </w:rPr>
              <w:t xml:space="preserve">Alimentacion en jornadas de terreno</w:t>
            </w:r>
          </w:p>
        </w:tc>
        <w:tc>
          <w:tcPr>
            <w:tcW w:type="pct" w:w="8%"/>
            <w:tcMar>
              <w:top w:type="dxa" w:w="80"/>
              <w:left w:type="dxa" w:w="110"/>
              <w:bottom w:type="dxa" w:w="80"/>
              <w:right w:type="dxa" w:w="110"/>
            </w:tcMar>
          </w:tcPr>
          <w:p>
            <w:pPr>
              <w:spacing w:line="260"/>
            </w:pPr>
            <w:r>
              <w:rPr>
                <w:b w:val="false"/>
                <w:bCs w:val="false"/>
                <w:color w:val="000000"/>
                <w:sz w:val="19"/>
                <w:szCs w:val="19"/>
              </w:rPr>
              <w:t xml:space="preserve">6</w:t>
            </w:r>
          </w:p>
        </w:tc>
        <w:tc>
          <w:tcPr>
            <w:tcW w:type="pct" w:w="18%"/>
            <w:tcMar>
              <w:top w:type="dxa" w:w="80"/>
              <w:left w:type="dxa" w:w="110"/>
              <w:bottom w:type="dxa" w:w="80"/>
              <w:right w:type="dxa" w:w="110"/>
            </w:tcMar>
          </w:tcPr>
          <w:p>
            <w:pPr>
              <w:spacing w:line="260"/>
            </w:pPr>
            <w:r>
              <w:rPr>
                <w:b w:val="false"/>
                <w:bCs w:val="false"/>
                <w:color w:val="000000"/>
                <w:sz w:val="19"/>
                <w:szCs w:val="19"/>
              </w:rPr>
              <w:t xml:space="preserve">$15.000</w:t>
            </w:r>
          </w:p>
        </w:tc>
        <w:tc>
          <w:tcPr>
            <w:tcW w:type="pct" w:w="18%"/>
            <w:tcMar>
              <w:top w:type="dxa" w:w="80"/>
              <w:left w:type="dxa" w:w="110"/>
              <w:bottom w:type="dxa" w:w="80"/>
              <w:right w:type="dxa" w:w="110"/>
            </w:tcMar>
          </w:tcPr>
          <w:p>
            <w:pPr>
              <w:spacing w:line="260"/>
            </w:pPr>
            <w:r>
              <w:rPr>
                <w:b w:val="false"/>
                <w:bCs w:val="false"/>
                <w:color w:val="000000"/>
                <w:sz w:val="19"/>
                <w:szCs w:val="19"/>
              </w:rPr>
              <w:t xml:space="preserve">$90.000</w:t>
            </w:r>
          </w:p>
        </w:tc>
      </w:tr>
      <w:tr>
        <w:tc>
          <w:tcPr>
            <w:tcW w:type="pct" w:w="10%"/>
            <w:tcMar>
              <w:top w:type="dxa" w:w="80"/>
              <w:left w:type="dxa" w:w="110"/>
              <w:bottom w:type="dxa" w:w="80"/>
              <w:right w:type="dxa" w:w="110"/>
            </w:tcMar>
          </w:tcPr>
          <w:p>
            <w:pPr>
              <w:spacing w:line="260"/>
            </w:pPr>
            <w:r>
              <w:rPr>
                <w:b w:val="false"/>
                <w:bCs w:val="false"/>
                <w:color w:val="000000"/>
                <w:sz w:val="19"/>
                <w:szCs w:val="19"/>
              </w:rPr>
              <w:t xml:space="preserve">OPEX</w:t>
            </w:r>
          </w:p>
        </w:tc>
        <w:tc>
          <w:tcPr>
            <w:tcW w:type="pct" w:w="46%"/>
            <w:tcMar>
              <w:top w:type="dxa" w:w="80"/>
              <w:left w:type="dxa" w:w="110"/>
              <w:bottom w:type="dxa" w:w="80"/>
              <w:right w:type="dxa" w:w="110"/>
            </w:tcMar>
          </w:tcPr>
          <w:p>
            <w:pPr>
              <w:spacing w:line="260"/>
            </w:pPr>
            <w:r>
              <w:rPr>
                <w:b w:val="false"/>
                <w:bCs w:val="false"/>
                <w:color w:val="000000"/>
                <w:sz w:val="19"/>
                <w:szCs w:val="19"/>
              </w:rPr>
              <w:t xml:space="preserve">Impresiones y radicacion de derechos de peticion</w:t>
            </w:r>
          </w:p>
        </w:tc>
        <w:tc>
          <w:tcPr>
            <w:tcW w:type="pct" w:w="8%"/>
            <w:tcMar>
              <w:top w:type="dxa" w:w="80"/>
              <w:left w:type="dxa" w:w="110"/>
              <w:bottom w:type="dxa" w:w="80"/>
              <w:right w:type="dxa" w:w="110"/>
            </w:tcMar>
          </w:tcPr>
          <w:p>
            <w:pPr>
              <w:spacing w:line="260"/>
            </w:pPr>
            <w:r>
              <w:rPr>
                <w:b w:val="false"/>
                <w:bCs w:val="false"/>
                <w:color w:val="000000"/>
                <w:sz w:val="19"/>
                <w:szCs w:val="19"/>
              </w:rPr>
              <w:t xml:space="preserve">1</w:t>
            </w:r>
          </w:p>
        </w:tc>
        <w:tc>
          <w:tcPr>
            <w:tcW w:type="pct" w:w="18%"/>
            <w:tcMar>
              <w:top w:type="dxa" w:w="80"/>
              <w:left w:type="dxa" w:w="110"/>
              <w:bottom w:type="dxa" w:w="80"/>
              <w:right w:type="dxa" w:w="110"/>
            </w:tcMar>
          </w:tcPr>
          <w:p>
            <w:pPr>
              <w:spacing w:line="260"/>
            </w:pPr>
            <w:r>
              <w:rPr>
                <w:b w:val="false"/>
                <w:bCs w:val="false"/>
                <w:color w:val="000000"/>
                <w:sz w:val="19"/>
                <w:szCs w:val="19"/>
              </w:rPr>
              <w:t xml:space="preserve">$25.000</w:t>
            </w:r>
          </w:p>
        </w:tc>
        <w:tc>
          <w:tcPr>
            <w:tcW w:type="pct" w:w="18%"/>
            <w:tcMar>
              <w:top w:type="dxa" w:w="80"/>
              <w:left w:type="dxa" w:w="110"/>
              <w:bottom w:type="dxa" w:w="80"/>
              <w:right w:type="dxa" w:w="110"/>
            </w:tcMar>
          </w:tcPr>
          <w:p>
            <w:pPr>
              <w:spacing w:line="260"/>
            </w:pPr>
            <w:r>
              <w:rPr>
                <w:b w:val="false"/>
                <w:bCs w:val="false"/>
                <w:color w:val="000000"/>
                <w:sz w:val="19"/>
                <w:szCs w:val="19"/>
              </w:rPr>
              <w:t xml:space="preserve">$25.000</w:t>
            </w:r>
          </w:p>
        </w:tc>
      </w:tr>
      <w:tr>
        <w:tc>
          <w:tcPr>
            <w:tcW w:type="pct" w:w="10%"/>
            <w:tcMar>
              <w:top w:type="dxa" w:w="80"/>
              <w:left w:type="dxa" w:w="110"/>
              <w:bottom w:type="dxa" w:w="80"/>
              <w:right w:type="dxa" w:w="110"/>
            </w:tcMar>
          </w:tcPr>
          <w:p>
            <w:pPr>
              <w:spacing w:line="260"/>
            </w:pPr>
            <w:r>
              <w:rPr>
                <w:b w:val="false"/>
                <w:bCs w:val="false"/>
                <w:color w:val="000000"/>
                <w:sz w:val="19"/>
                <w:szCs w:val="19"/>
              </w:rPr>
              <w:t xml:space="preserve">OPEX</w:t>
            </w:r>
          </w:p>
        </w:tc>
        <w:tc>
          <w:tcPr>
            <w:tcW w:type="pct" w:w="46%"/>
            <w:tcMar>
              <w:top w:type="dxa" w:w="80"/>
              <w:left w:type="dxa" w:w="110"/>
              <w:bottom w:type="dxa" w:w="80"/>
              <w:right w:type="dxa" w:w="110"/>
            </w:tcMar>
          </w:tcPr>
          <w:p>
            <w:pPr>
              <w:spacing w:line="260"/>
            </w:pPr>
            <w:r>
              <w:rPr>
                <w:b w:val="false"/>
                <w:bCs w:val="false"/>
                <w:color w:val="000000"/>
                <w:sz w:val="19"/>
                <w:szCs w:val="19"/>
              </w:rPr>
              <w:t xml:space="preserve">Dominio propio: prorrateo del periodo</w:t>
            </w:r>
          </w:p>
        </w:tc>
        <w:tc>
          <w:tcPr>
            <w:tcW w:type="pct" w:w="8%"/>
            <w:tcMar>
              <w:top w:type="dxa" w:w="80"/>
              <w:left w:type="dxa" w:w="110"/>
              <w:bottom w:type="dxa" w:w="80"/>
              <w:right w:type="dxa" w:w="110"/>
            </w:tcMar>
          </w:tcPr>
          <w:p>
            <w:pPr>
              <w:spacing w:line="260"/>
            </w:pPr>
            <w:r>
              <w:rPr>
                <w:b w:val="false"/>
                <w:bCs w:val="false"/>
                <w:color w:val="000000"/>
                <w:sz w:val="19"/>
                <w:szCs w:val="19"/>
              </w:rPr>
              <w:t xml:space="preserve">2</w:t>
            </w:r>
          </w:p>
        </w:tc>
        <w:tc>
          <w:tcPr>
            <w:tcW w:type="pct" w:w="18%"/>
            <w:tcMar>
              <w:top w:type="dxa" w:w="80"/>
              <w:left w:type="dxa" w:w="110"/>
              <w:bottom w:type="dxa" w:w="80"/>
              <w:right w:type="dxa" w:w="110"/>
            </w:tcMar>
          </w:tcPr>
          <w:p>
            <w:pPr>
              <w:spacing w:line="260"/>
            </w:pPr>
            <w:r>
              <w:rPr>
                <w:b w:val="false"/>
                <w:bCs w:val="false"/>
                <w:color w:val="000000"/>
                <w:sz w:val="19"/>
                <w:szCs w:val="19"/>
              </w:rPr>
              <w:t xml:space="preserve">$7.500</w:t>
            </w:r>
          </w:p>
        </w:tc>
        <w:tc>
          <w:tcPr>
            <w:tcW w:type="pct" w:w="18%"/>
            <w:tcMar>
              <w:top w:type="dxa" w:w="80"/>
              <w:left w:type="dxa" w:w="110"/>
              <w:bottom w:type="dxa" w:w="80"/>
              <w:right w:type="dxa" w:w="110"/>
            </w:tcMar>
          </w:tcPr>
          <w:p>
            <w:pPr>
              <w:spacing w:line="260"/>
            </w:pPr>
            <w:r>
              <w:rPr>
                <w:b w:val="false"/>
                <w:bCs w:val="false"/>
                <w:color w:val="000000"/>
                <w:sz w:val="19"/>
                <w:szCs w:val="19"/>
              </w:rPr>
              <w:t xml:space="preserve">$15.000</w:t>
            </w:r>
          </w:p>
        </w:tc>
      </w:tr>
      <w:tr>
        <w:tc>
          <w:tcPr>
            <w:tcW w:type="pct" w:w="10%"/>
            <w:tcMar>
              <w:top w:type="dxa" w:w="80"/>
              <w:left w:type="dxa" w:w="110"/>
              <w:bottom w:type="dxa" w:w="80"/>
              <w:right w:type="dxa" w:w="110"/>
            </w:tcMar>
          </w:tcPr>
          <w:p>
            <w:pPr>
              <w:spacing w:line="260"/>
            </w:pPr>
            <w:r>
              <w:rPr>
                <w:b w:val="false"/>
                <w:bCs w:val="false"/>
                <w:color w:val="000000"/>
                <w:sz w:val="19"/>
                <w:szCs w:val="19"/>
              </w:rPr>
              <w:t xml:space="preserve">OPEX</w:t>
            </w:r>
          </w:p>
        </w:tc>
        <w:tc>
          <w:tcPr>
            <w:tcW w:type="pct" w:w="46%"/>
            <w:tcMar>
              <w:top w:type="dxa" w:w="80"/>
              <w:left w:type="dxa" w:w="110"/>
              <w:bottom w:type="dxa" w:w="80"/>
              <w:right w:type="dxa" w:w="110"/>
            </w:tcMar>
          </w:tcPr>
          <w:p>
            <w:pPr>
              <w:spacing w:line="260"/>
            </w:pPr>
            <w:r>
              <w:rPr>
                <w:b w:val="false"/>
                <w:bCs w:val="false"/>
                <w:color w:val="000000"/>
                <w:sz w:val="19"/>
                <w:szCs w:val="19"/>
              </w:rPr>
              <w:t xml:space="preserve">Alojamiento web y base de datos</w:t>
            </w:r>
          </w:p>
        </w:tc>
        <w:tc>
          <w:tcPr>
            <w:tcW w:type="pct" w:w="8%"/>
            <w:tcMar>
              <w:top w:type="dxa" w:w="80"/>
              <w:left w:type="dxa" w:w="110"/>
              <w:bottom w:type="dxa" w:w="80"/>
              <w:right w:type="dxa" w:w="110"/>
            </w:tcMar>
          </w:tcPr>
          <w:p>
            <w:pPr>
              <w:spacing w:line="260"/>
            </w:pPr>
            <w:r>
              <w:rPr>
                <w:b w:val="false"/>
                <w:bCs w:val="false"/>
                <w:color w:val="000000"/>
                <w:sz w:val="19"/>
                <w:szCs w:val="19"/>
              </w:rPr>
              <w:t xml:space="preserve">2</w:t>
            </w:r>
          </w:p>
        </w:tc>
        <w:tc>
          <w:tcPr>
            <w:tcW w:type="pct" w:w="18%"/>
            <w:tcMar>
              <w:top w:type="dxa" w:w="80"/>
              <w:left w:type="dxa" w:w="110"/>
              <w:bottom w:type="dxa" w:w="80"/>
              <w:right w:type="dxa" w:w="110"/>
            </w:tcMar>
          </w:tcPr>
          <w:p>
            <w:pPr>
              <w:spacing w:line="260"/>
            </w:pPr>
            <w:r>
              <w:rPr>
                <w:b w:val="false"/>
                <w:bCs w:val="false"/>
                <w:color w:val="000000"/>
                <w:sz w:val="19"/>
                <w:szCs w:val="19"/>
              </w:rPr>
              <w:t xml:space="preserve">$0</w:t>
            </w:r>
          </w:p>
        </w:tc>
        <w:tc>
          <w:tcPr>
            <w:tcW w:type="pct" w:w="18%"/>
            <w:tcMar>
              <w:top w:type="dxa" w:w="80"/>
              <w:left w:type="dxa" w:w="110"/>
              <w:bottom w:type="dxa" w:w="80"/>
              <w:right w:type="dxa" w:w="110"/>
            </w:tcMar>
          </w:tcPr>
          <w:p>
            <w:pPr>
              <w:spacing w:line="260"/>
            </w:pPr>
            <w:r>
              <w:rPr>
                <w:b w:val="false"/>
                <w:bCs w:val="false"/>
                <w:color w:val="000000"/>
                <w:sz w:val="19"/>
                <w:szCs w:val="19"/>
              </w:rPr>
              <w:t xml:space="preserve">$0</w:t>
            </w:r>
          </w:p>
        </w:tc>
      </w:tr>
      <w:tr>
        <w:tc>
          <w:tcPr>
            <w:tcW w:type="pct" w:w="10%"/>
            <w:tcMar>
              <w:top w:type="dxa" w:w="80"/>
              <w:left w:type="dxa" w:w="110"/>
              <w:bottom w:type="dxa" w:w="80"/>
              <w:right w:type="dxa" w:w="110"/>
            </w:tcMar>
          </w:tcPr>
          <w:p>
            <w:pPr>
              <w:spacing w:line="260"/>
            </w:pPr>
            <w:r>
              <w:rPr>
                <w:b w:val="false"/>
                <w:bCs w:val="false"/>
                <w:color w:val="000000"/>
                <w:sz w:val="19"/>
                <w:szCs w:val="19"/>
              </w:rPr>
              <w:t xml:space="preserve">OPEX</w:t>
            </w:r>
          </w:p>
        </w:tc>
        <w:tc>
          <w:tcPr>
            <w:tcW w:type="pct" w:w="46%"/>
            <w:tcMar>
              <w:top w:type="dxa" w:w="80"/>
              <w:left w:type="dxa" w:w="110"/>
              <w:bottom w:type="dxa" w:w="80"/>
              <w:right w:type="dxa" w:w="110"/>
            </w:tcMar>
          </w:tcPr>
          <w:p>
            <w:pPr>
              <w:spacing w:line="260"/>
            </w:pPr>
            <w:r>
              <w:rPr>
                <w:b w:val="false"/>
                <w:bCs w:val="false"/>
                <w:color w:val="000000"/>
                <w:sz w:val="19"/>
                <w:szCs w:val="19"/>
              </w:rPr>
              <w:t xml:space="preserve">Distribucion del podcast</w:t>
            </w:r>
          </w:p>
        </w:tc>
        <w:tc>
          <w:tcPr>
            <w:tcW w:type="pct" w:w="8%"/>
            <w:tcMar>
              <w:top w:type="dxa" w:w="80"/>
              <w:left w:type="dxa" w:w="110"/>
              <w:bottom w:type="dxa" w:w="80"/>
              <w:right w:type="dxa" w:w="110"/>
            </w:tcMar>
          </w:tcPr>
          <w:p>
            <w:pPr>
              <w:spacing w:line="260"/>
            </w:pPr>
            <w:r>
              <w:rPr>
                <w:b w:val="false"/>
                <w:bCs w:val="false"/>
                <w:color w:val="000000"/>
                <w:sz w:val="19"/>
                <w:szCs w:val="19"/>
              </w:rPr>
              <w:t xml:space="preserve">2</w:t>
            </w:r>
          </w:p>
        </w:tc>
        <w:tc>
          <w:tcPr>
            <w:tcW w:type="pct" w:w="18%"/>
            <w:tcMar>
              <w:top w:type="dxa" w:w="80"/>
              <w:left w:type="dxa" w:w="110"/>
              <w:bottom w:type="dxa" w:w="80"/>
              <w:right w:type="dxa" w:w="110"/>
            </w:tcMar>
          </w:tcPr>
          <w:p>
            <w:pPr>
              <w:spacing w:line="260"/>
            </w:pPr>
            <w:r>
              <w:rPr>
                <w:b w:val="false"/>
                <w:bCs w:val="false"/>
                <w:color w:val="000000"/>
                <w:sz w:val="19"/>
                <w:szCs w:val="19"/>
              </w:rPr>
              <w:t xml:space="preserve">$0</w:t>
            </w:r>
          </w:p>
        </w:tc>
        <w:tc>
          <w:tcPr>
            <w:tcW w:type="pct" w:w="18%"/>
            <w:tcMar>
              <w:top w:type="dxa" w:w="80"/>
              <w:left w:type="dxa" w:w="110"/>
              <w:bottom w:type="dxa" w:w="80"/>
              <w:right w:type="dxa" w:w="110"/>
            </w:tcMar>
          </w:tcPr>
          <w:p>
            <w:pPr>
              <w:spacing w:line="260"/>
            </w:pPr>
            <w:r>
              <w:rPr>
                <w:b w:val="false"/>
                <w:bCs w:val="false"/>
                <w:color w:val="000000"/>
                <w:sz w:val="19"/>
                <w:szCs w:val="19"/>
              </w:rPr>
              <w:t xml:space="preserve">$0</w:t>
            </w:r>
          </w:p>
        </w:tc>
      </w:tr>
      <w:tr>
        <w:tc>
          <w:tcPr>
            <w:tcW w:type="pct" w:w="10%"/>
            <w:tcMar>
              <w:top w:type="dxa" w:w="80"/>
              <w:left w:type="dxa" w:w="110"/>
              <w:bottom w:type="dxa" w:w="80"/>
              <w:right w:type="dxa" w:w="110"/>
            </w:tcMar>
          </w:tcPr>
          <w:p>
            <w:pPr>
              <w:spacing w:line="260"/>
            </w:pPr>
            <w:r>
              <w:rPr>
                <w:b w:val="false"/>
                <w:bCs w:val="false"/>
                <w:color w:val="000000"/>
                <w:sz w:val="19"/>
                <w:szCs w:val="19"/>
              </w:rPr>
              <w:t xml:space="preserve">OPEX</w:t>
            </w:r>
          </w:p>
        </w:tc>
        <w:tc>
          <w:tcPr>
            <w:tcW w:type="pct" w:w="46%"/>
            <w:tcMar>
              <w:top w:type="dxa" w:w="80"/>
              <w:left w:type="dxa" w:w="110"/>
              <w:bottom w:type="dxa" w:w="80"/>
              <w:right w:type="dxa" w:w="110"/>
            </w:tcMar>
          </w:tcPr>
          <w:p>
            <w:pPr>
              <w:spacing w:line="260"/>
            </w:pPr>
            <w:r>
              <w:rPr>
                <w:b w:val="false"/>
                <w:bCs w:val="false"/>
                <w:color w:val="000000"/>
                <w:sz w:val="19"/>
                <w:szCs w:val="19"/>
              </w:rPr>
              <w:t xml:space="preserve">Software de edicion de audio</w:t>
            </w:r>
          </w:p>
        </w:tc>
        <w:tc>
          <w:tcPr>
            <w:tcW w:type="pct" w:w="8%"/>
            <w:tcMar>
              <w:top w:type="dxa" w:w="80"/>
              <w:left w:type="dxa" w:w="110"/>
              <w:bottom w:type="dxa" w:w="80"/>
              <w:right w:type="dxa" w:w="110"/>
            </w:tcMar>
          </w:tcPr>
          <w:p>
            <w:pPr>
              <w:spacing w:line="260"/>
            </w:pPr>
            <w:r>
              <w:rPr>
                <w:b w:val="false"/>
                <w:bCs w:val="false"/>
                <w:color w:val="000000"/>
                <w:sz w:val="19"/>
                <w:szCs w:val="19"/>
              </w:rPr>
              <w:t xml:space="preserve">1</w:t>
            </w:r>
          </w:p>
        </w:tc>
        <w:tc>
          <w:tcPr>
            <w:tcW w:type="pct" w:w="18%"/>
            <w:tcMar>
              <w:top w:type="dxa" w:w="80"/>
              <w:left w:type="dxa" w:w="110"/>
              <w:bottom w:type="dxa" w:w="80"/>
              <w:right w:type="dxa" w:w="110"/>
            </w:tcMar>
          </w:tcPr>
          <w:p>
            <w:pPr>
              <w:spacing w:line="260"/>
            </w:pPr>
            <w:r>
              <w:rPr>
                <w:b w:val="false"/>
                <w:bCs w:val="false"/>
                <w:color w:val="000000"/>
                <w:sz w:val="19"/>
                <w:szCs w:val="19"/>
              </w:rPr>
              <w:t xml:space="preserve">$0</w:t>
            </w:r>
          </w:p>
        </w:tc>
        <w:tc>
          <w:tcPr>
            <w:tcW w:type="pct" w:w="18%"/>
            <w:tcMar>
              <w:top w:type="dxa" w:w="80"/>
              <w:left w:type="dxa" w:w="110"/>
              <w:bottom w:type="dxa" w:w="80"/>
              <w:right w:type="dxa" w:w="110"/>
            </w:tcMar>
          </w:tcPr>
          <w:p>
            <w:pPr>
              <w:spacing w:line="260"/>
            </w:pPr>
            <w:r>
              <w:rPr>
                <w:b w:val="false"/>
                <w:bCs w:val="false"/>
                <w:color w:val="000000"/>
                <w:sz w:val="19"/>
                <w:szCs w:val="19"/>
              </w:rPr>
              <w:t xml:space="preserve">$0</w:t>
            </w:r>
          </w:p>
        </w:tc>
      </w:tr>
    </w:tbl>
    <w:p>
      <w:pPr>
        <w:spacing w:after="120" w:line="480"/>
        <w:jc w:val="both"/>
      </w:pPr>
      <w:r>
        <w:rPr>
          <w:sz w:val="24"/>
          <w:szCs w:val="24"/>
        </w:rPr>
        <w:t xml:space="preserve">El CAPEX asciende a $640.000 y corresponde a equipos de captura y a la depreciación del móvil durante el periodo. El OPEX asciende a $478.000 y recoge conectividad, transporte de campo, viáticos, trámites y publicación. La inversión total del proyecto es de $1.118.000, repartida en un 57.2 % de CAPEX y un 42.8 % de OPEX.</w:t>
      </w:r>
    </w:p>
    <w:p>
      <w:pPr>
        <w:pStyle w:val="Heading2"/>
        <w:spacing w:after="140" w:before="280" w:line="360"/>
      </w:pPr>
      <w:r>
        <w:rPr>
          <w:b/>
          <w:bCs/>
          <w:color w:val="0369A1"/>
          <w:sz w:val="26"/>
          <w:szCs w:val="26"/>
        </w:rPr>
        <w:t xml:space="preserve">5.2 Cronograma de tiempos y movimientos</w:t>
      </w:r>
    </w:p>
    <w:p>
      <w:pPr>
        <w:spacing w:after="120" w:line="480"/>
        <w:jc w:val="both"/>
      </w:pPr>
      <w:r>
        <w:rPr>
          <w:sz w:val="24"/>
          <w:szCs w:val="24"/>
        </w:rPr>
        <w:t xml:space="preserve">El diagrama de Gantt de la segunda hoja recorre cinco fases entre el 24 de agosto y el 20 de septiembre de 2026: preproducción intelectual, producción del Nodo 1, producción del Nodo 2, postproducción y distribución con medición. Cada tarea declara a qué nodo transmedia pertenece, de modo que se distingue el tiempo invertido en la crónica del invertido en el episodio.</w:t>
      </w:r>
    </w:p>
    <w:p>
      <w:pPr>
        <w:pStyle w:val="Heading2"/>
        <w:spacing w:after="140" w:before="280" w:line="360"/>
      </w:pPr>
      <w:r>
        <w:rPr>
          <w:b/>
          <w:bCs/>
          <w:color w:val="0369A1"/>
          <w:sz w:val="26"/>
          <w:szCs w:val="26"/>
        </w:rPr>
        <w:t xml:space="preserve">5.3 Tablero de control de impacto y cálculo del IEC</w:t>
      </w:r>
    </w:p>
    <w:p>
      <w:pPr>
        <w:spacing w:after="120" w:line="480"/>
        <w:jc w:val="both"/>
      </w:pPr>
      <w:r>
        <w:rPr>
          <w:sz w:val="24"/>
          <w:szCs w:val="24"/>
        </w:rPr>
        <w:t xml:space="preserve">El tablero recoge nueve indicadores repartidos en Alcance, Engagement y Conversión, con su meta, su resultado y su porcentaje de cumplimiento. Conforme a lo solicitado, las métricas son simuladas y así se declara dentro de la propia hoja.</w:t>
      </w:r>
    </w:p>
    <w:tbl>
      <w:tblPr>
        <w:tblW w:type="pct" w:w="100%"/>
        <w:tblBorders>
          <w:top w:val="single" w:color="CBD5E1" w:sz="2"/>
          <w:left w:val="single" w:color="CBD5E1" w:sz="2"/>
          <w:bottom w:val="single" w:color="CBD5E1" w:sz="2"/>
          <w:right w:val="single" w:color="CBD5E1" w:sz="2"/>
          <w:insideH w:val="single" w:color="E2E8F0" w:sz="1"/>
          <w:insideV w:val="single" w:color="E2E8F0" w:sz="1"/>
        </w:tblBorders>
      </w:tblPr>
      <w:tblGrid>
        <w:gridCol w:w="100"/>
        <w:gridCol w:w="100"/>
        <w:gridCol w:w="100"/>
        <w:gridCol w:w="100"/>
      </w:tblGrid>
      <w:tr>
        <w:trPr>
          <w:tblHeader/>
        </w:trPr>
        <w:tc>
          <w:tcPr>
            <w:tcW w:type="pct" w:w="34%"/>
            <w:shd w:color="0F172A" w:val="solid"/>
            <w:tcMar>
              <w:top w:type="dxa" w:w="80"/>
              <w:left w:type="dxa" w:w="110"/>
              <w:bottom w:type="dxa" w:w="80"/>
              <w:right w:type="dxa" w:w="110"/>
            </w:tcMar>
          </w:tcPr>
          <w:p>
            <w:pPr>
              <w:spacing w:line="260"/>
            </w:pPr>
            <w:r>
              <w:rPr>
                <w:b/>
                <w:bCs/>
                <w:color w:val="FFFFFF"/>
                <w:sz w:val="19"/>
                <w:szCs w:val="19"/>
              </w:rPr>
              <w:t xml:space="preserve">Dimensión</w:t>
            </w:r>
          </w:p>
        </w:tc>
        <w:tc>
          <w:tcPr>
            <w:tcW w:type="pct" w:w="22%"/>
            <w:shd w:color="0F172A" w:val="solid"/>
            <w:tcMar>
              <w:top w:type="dxa" w:w="80"/>
              <w:left w:type="dxa" w:w="110"/>
              <w:bottom w:type="dxa" w:w="80"/>
              <w:right w:type="dxa" w:w="110"/>
            </w:tcMar>
          </w:tcPr>
          <w:p>
            <w:pPr>
              <w:spacing w:line="260"/>
            </w:pPr>
            <w:r>
              <w:rPr>
                <w:b/>
                <w:bCs/>
                <w:color w:val="FFFFFF"/>
                <w:sz w:val="19"/>
                <w:szCs w:val="19"/>
              </w:rPr>
              <w:t xml:space="preserve">Resultado</w:t>
            </w:r>
          </w:p>
        </w:tc>
        <w:tc>
          <w:tcPr>
            <w:tcW w:type="pct" w:w="16%"/>
            <w:shd w:color="0F172A" w:val="solid"/>
            <w:tcMar>
              <w:top w:type="dxa" w:w="80"/>
              <w:left w:type="dxa" w:w="110"/>
              <w:bottom w:type="dxa" w:w="80"/>
              <w:right w:type="dxa" w:w="110"/>
            </w:tcMar>
          </w:tcPr>
          <w:p>
            <w:pPr>
              <w:spacing w:line="260"/>
            </w:pPr>
            <w:r>
              <w:rPr>
                <w:b/>
                <w:bCs/>
                <w:color w:val="FFFFFF"/>
                <w:sz w:val="19"/>
                <w:szCs w:val="19"/>
              </w:rPr>
              <w:t xml:space="preserve">Peso</w:t>
            </w:r>
          </w:p>
        </w:tc>
        <w:tc>
          <w:tcPr>
            <w:tcW w:type="pct" w:w="28%"/>
            <w:shd w:color="0F172A" w:val="solid"/>
            <w:tcMar>
              <w:top w:type="dxa" w:w="80"/>
              <w:left w:type="dxa" w:w="110"/>
              <w:bottom w:type="dxa" w:w="80"/>
              <w:right w:type="dxa" w:w="110"/>
            </w:tcMar>
          </w:tcPr>
          <w:p>
            <w:pPr>
              <w:spacing w:line="260"/>
            </w:pPr>
            <w:r>
              <w:rPr>
                <w:b/>
                <w:bCs/>
                <w:color w:val="FFFFFF"/>
                <w:sz w:val="19"/>
                <w:szCs w:val="19"/>
              </w:rPr>
              <w:t xml:space="preserve">Puntos de impacto</w:t>
            </w:r>
          </w:p>
        </w:tc>
      </w:tr>
      <w:tr>
        <w:tc>
          <w:tcPr>
            <w:tcW w:type="pct" w:w="34%"/>
            <w:tcMar>
              <w:top w:type="dxa" w:w="80"/>
              <w:left w:type="dxa" w:w="110"/>
              <w:bottom w:type="dxa" w:w="80"/>
              <w:right w:type="dxa" w:w="110"/>
            </w:tcMar>
          </w:tcPr>
          <w:p>
            <w:pPr>
              <w:spacing w:line="260"/>
            </w:pPr>
            <w:r>
              <w:rPr>
                <w:b w:val="false"/>
                <w:bCs w:val="false"/>
                <w:color w:val="000000"/>
                <w:sz w:val="19"/>
                <w:szCs w:val="19"/>
              </w:rPr>
              <w:t xml:space="preserve">Alcance</w:t>
            </w:r>
          </w:p>
        </w:tc>
        <w:tc>
          <w:tcPr>
            <w:tcW w:type="pct" w:w="22%"/>
            <w:tcMar>
              <w:top w:type="dxa" w:w="80"/>
              <w:left w:type="dxa" w:w="110"/>
              <w:bottom w:type="dxa" w:w="80"/>
              <w:right w:type="dxa" w:w="110"/>
            </w:tcMar>
          </w:tcPr>
          <w:p>
            <w:pPr>
              <w:spacing w:line="260"/>
            </w:pPr>
            <w:r>
              <w:rPr>
                <w:b w:val="false"/>
                <w:bCs w:val="false"/>
                <w:color w:val="000000"/>
                <w:sz w:val="19"/>
                <w:szCs w:val="19"/>
              </w:rPr>
              <w:t xml:space="preserve">970</w:t>
            </w:r>
          </w:p>
        </w:tc>
        <w:tc>
          <w:tcPr>
            <w:tcW w:type="pct" w:w="16%"/>
            <w:tcMar>
              <w:top w:type="dxa" w:w="80"/>
              <w:left w:type="dxa" w:w="110"/>
              <w:bottom w:type="dxa" w:w="80"/>
              <w:right w:type="dxa" w:w="110"/>
            </w:tcMar>
          </w:tcPr>
          <w:p>
            <w:pPr>
              <w:spacing w:line="260"/>
            </w:pPr>
            <w:r>
              <w:rPr>
                <w:b w:val="false"/>
                <w:bCs w:val="false"/>
                <w:color w:val="000000"/>
                <w:sz w:val="19"/>
                <w:szCs w:val="19"/>
              </w:rPr>
              <w:t xml:space="preserve">1</w:t>
            </w:r>
          </w:p>
        </w:tc>
        <w:tc>
          <w:tcPr>
            <w:tcW w:type="pct" w:w="28%"/>
            <w:tcMar>
              <w:top w:type="dxa" w:w="80"/>
              <w:left w:type="dxa" w:w="110"/>
              <w:bottom w:type="dxa" w:w="80"/>
              <w:right w:type="dxa" w:w="110"/>
            </w:tcMar>
          </w:tcPr>
          <w:p>
            <w:pPr>
              <w:spacing w:line="260"/>
            </w:pPr>
            <w:r>
              <w:rPr>
                <w:b w:val="false"/>
                <w:bCs w:val="false"/>
                <w:color w:val="000000"/>
                <w:sz w:val="19"/>
                <w:szCs w:val="19"/>
              </w:rPr>
              <w:t xml:space="preserve">970</w:t>
            </w:r>
          </w:p>
        </w:tc>
      </w:tr>
      <w:tr>
        <w:tc>
          <w:tcPr>
            <w:tcW w:type="pct" w:w="34%"/>
            <w:tcMar>
              <w:top w:type="dxa" w:w="80"/>
              <w:left w:type="dxa" w:w="110"/>
              <w:bottom w:type="dxa" w:w="80"/>
              <w:right w:type="dxa" w:w="110"/>
            </w:tcMar>
          </w:tcPr>
          <w:p>
            <w:pPr>
              <w:spacing w:line="260"/>
            </w:pPr>
            <w:r>
              <w:rPr>
                <w:b w:val="false"/>
                <w:bCs w:val="false"/>
                <w:color w:val="000000"/>
                <w:sz w:val="19"/>
                <w:szCs w:val="19"/>
              </w:rPr>
              <w:t xml:space="preserve">Engagement</w:t>
            </w:r>
          </w:p>
        </w:tc>
        <w:tc>
          <w:tcPr>
            <w:tcW w:type="pct" w:w="22%"/>
            <w:tcMar>
              <w:top w:type="dxa" w:w="80"/>
              <w:left w:type="dxa" w:w="110"/>
              <w:bottom w:type="dxa" w:w="80"/>
              <w:right w:type="dxa" w:w="110"/>
            </w:tcMar>
          </w:tcPr>
          <w:p>
            <w:pPr>
              <w:spacing w:line="260"/>
            </w:pPr>
            <w:r>
              <w:rPr>
                <w:b w:val="false"/>
                <w:bCs w:val="false"/>
                <w:color w:val="000000"/>
                <w:sz w:val="19"/>
                <w:szCs w:val="19"/>
              </w:rPr>
              <w:t xml:space="preserve">433</w:t>
            </w:r>
          </w:p>
        </w:tc>
        <w:tc>
          <w:tcPr>
            <w:tcW w:type="pct" w:w="16%"/>
            <w:tcMar>
              <w:top w:type="dxa" w:w="80"/>
              <w:left w:type="dxa" w:w="110"/>
              <w:bottom w:type="dxa" w:w="80"/>
              <w:right w:type="dxa" w:w="110"/>
            </w:tcMar>
          </w:tcPr>
          <w:p>
            <w:pPr>
              <w:spacing w:line="260"/>
            </w:pPr>
            <w:r>
              <w:rPr>
                <w:b w:val="false"/>
                <w:bCs w:val="false"/>
                <w:color w:val="000000"/>
                <w:sz w:val="19"/>
                <w:szCs w:val="19"/>
              </w:rPr>
              <w:t xml:space="preserve">5</w:t>
            </w:r>
          </w:p>
        </w:tc>
        <w:tc>
          <w:tcPr>
            <w:tcW w:type="pct" w:w="28%"/>
            <w:tcMar>
              <w:top w:type="dxa" w:w="80"/>
              <w:left w:type="dxa" w:w="110"/>
              <w:bottom w:type="dxa" w:w="80"/>
              <w:right w:type="dxa" w:w="110"/>
            </w:tcMar>
          </w:tcPr>
          <w:p>
            <w:pPr>
              <w:spacing w:line="260"/>
            </w:pPr>
            <w:r>
              <w:rPr>
                <w:b w:val="false"/>
                <w:bCs w:val="false"/>
                <w:color w:val="000000"/>
                <w:sz w:val="19"/>
                <w:szCs w:val="19"/>
              </w:rPr>
              <w:t xml:space="preserve">2165</w:t>
            </w:r>
          </w:p>
        </w:tc>
      </w:tr>
      <w:tr>
        <w:tc>
          <w:tcPr>
            <w:tcW w:type="pct" w:w="34%"/>
            <w:tcMar>
              <w:top w:type="dxa" w:w="80"/>
              <w:left w:type="dxa" w:w="110"/>
              <w:bottom w:type="dxa" w:w="80"/>
              <w:right w:type="dxa" w:w="110"/>
            </w:tcMar>
          </w:tcPr>
          <w:p>
            <w:pPr>
              <w:spacing w:line="260"/>
            </w:pPr>
            <w:r>
              <w:rPr>
                <w:b w:val="false"/>
                <w:bCs w:val="false"/>
                <w:color w:val="000000"/>
                <w:sz w:val="19"/>
                <w:szCs w:val="19"/>
              </w:rPr>
              <w:t xml:space="preserve">Conversión</w:t>
            </w:r>
          </w:p>
        </w:tc>
        <w:tc>
          <w:tcPr>
            <w:tcW w:type="pct" w:w="22%"/>
            <w:tcMar>
              <w:top w:type="dxa" w:w="80"/>
              <w:left w:type="dxa" w:w="110"/>
              <w:bottom w:type="dxa" w:w="80"/>
              <w:right w:type="dxa" w:w="110"/>
            </w:tcMar>
          </w:tcPr>
          <w:p>
            <w:pPr>
              <w:spacing w:line="260"/>
            </w:pPr>
            <w:r>
              <w:rPr>
                <w:b w:val="false"/>
                <w:bCs w:val="false"/>
                <w:color w:val="000000"/>
                <w:sz w:val="19"/>
                <w:szCs w:val="19"/>
              </w:rPr>
              <w:t xml:space="preserve">97</w:t>
            </w:r>
          </w:p>
        </w:tc>
        <w:tc>
          <w:tcPr>
            <w:tcW w:type="pct" w:w="16%"/>
            <w:tcMar>
              <w:top w:type="dxa" w:w="80"/>
              <w:left w:type="dxa" w:w="110"/>
              <w:bottom w:type="dxa" w:w="80"/>
              <w:right w:type="dxa" w:w="110"/>
            </w:tcMar>
          </w:tcPr>
          <w:p>
            <w:pPr>
              <w:spacing w:line="260"/>
            </w:pPr>
            <w:r>
              <w:rPr>
                <w:b w:val="false"/>
                <w:bCs w:val="false"/>
                <w:color w:val="000000"/>
                <w:sz w:val="19"/>
                <w:szCs w:val="19"/>
              </w:rPr>
              <w:t xml:space="preserve">20</w:t>
            </w:r>
          </w:p>
        </w:tc>
        <w:tc>
          <w:tcPr>
            <w:tcW w:type="pct" w:w="28%"/>
            <w:tcMar>
              <w:top w:type="dxa" w:w="80"/>
              <w:left w:type="dxa" w:w="110"/>
              <w:bottom w:type="dxa" w:w="80"/>
              <w:right w:type="dxa" w:w="110"/>
            </w:tcMar>
          </w:tcPr>
          <w:p>
            <w:pPr>
              <w:spacing w:line="260"/>
            </w:pPr>
            <w:r>
              <w:rPr>
                <w:b w:val="false"/>
                <w:bCs w:val="false"/>
                <w:color w:val="000000"/>
                <w:sz w:val="19"/>
                <w:szCs w:val="19"/>
              </w:rPr>
              <w:t xml:space="preserve">1940</w:t>
            </w:r>
          </w:p>
        </w:tc>
      </w:tr>
      <w:tr>
        <w:tc>
          <w:tcPr>
            <w:tcW w:type="pct" w:w="34%"/>
            <w:tcMar>
              <w:top w:type="dxa" w:w="80"/>
              <w:left w:type="dxa" w:w="110"/>
              <w:bottom w:type="dxa" w:w="80"/>
              <w:right w:type="dxa" w:w="110"/>
            </w:tcMar>
          </w:tcPr>
          <w:p>
            <w:pPr>
              <w:spacing w:line="260"/>
            </w:pPr>
            <w:r>
              <w:rPr>
                <w:b w:val="false"/>
                <w:bCs w:val="false"/>
                <w:color w:val="000000"/>
                <w:sz w:val="19"/>
                <w:szCs w:val="19"/>
              </w:rPr>
              <w:t xml:space="preserve">Valor de impacto total</w:t>
            </w:r>
          </w:p>
        </w:tc>
        <w:tc>
          <w:tcPr>
            <w:tcW w:type="pct" w:w="22%"/>
            <w:tcMar>
              <w:top w:type="dxa" w:w="80"/>
              <w:left w:type="dxa" w:w="110"/>
              <w:bottom w:type="dxa" w:w="80"/>
              <w:right w:type="dxa" w:w="110"/>
            </w:tcMar>
          </w:tcPr>
          <w:p>
            <w:pPr>
              <w:spacing w:line="260"/>
            </w:pPr>
            <w:r>
              <w:rPr>
                <w:b w:val="false"/>
                <w:bCs w:val="false"/>
                <w:color w:val="000000"/>
                <w:sz w:val="19"/>
                <w:szCs w:val="19"/>
              </w:rPr>
              <w:t xml:space="preserve"/>
            </w:r>
          </w:p>
        </w:tc>
        <w:tc>
          <w:tcPr>
            <w:tcW w:type="pct" w:w="16%"/>
            <w:tcMar>
              <w:top w:type="dxa" w:w="80"/>
              <w:left w:type="dxa" w:w="110"/>
              <w:bottom w:type="dxa" w:w="80"/>
              <w:right w:type="dxa" w:w="110"/>
            </w:tcMar>
          </w:tcPr>
          <w:p>
            <w:pPr>
              <w:spacing w:line="260"/>
            </w:pPr>
            <w:r>
              <w:rPr>
                <w:b w:val="false"/>
                <w:bCs w:val="false"/>
                <w:color w:val="000000"/>
                <w:sz w:val="19"/>
                <w:szCs w:val="19"/>
              </w:rPr>
              <w:t xml:space="preserve"/>
            </w:r>
          </w:p>
        </w:tc>
        <w:tc>
          <w:tcPr>
            <w:tcW w:type="pct" w:w="28%"/>
            <w:tcMar>
              <w:top w:type="dxa" w:w="80"/>
              <w:left w:type="dxa" w:w="110"/>
              <w:bottom w:type="dxa" w:w="80"/>
              <w:right w:type="dxa" w:w="110"/>
            </w:tcMar>
          </w:tcPr>
          <w:p>
            <w:pPr>
              <w:spacing w:line="260"/>
            </w:pPr>
            <w:r>
              <w:rPr>
                <w:b w:val="false"/>
                <w:bCs w:val="false"/>
                <w:color w:val="000000"/>
                <w:sz w:val="19"/>
                <w:szCs w:val="19"/>
              </w:rPr>
              <w:t xml:space="preserve">5075</w:t>
            </w:r>
          </w:p>
        </w:tc>
      </w:tr>
    </w:tbl>
    <w:p>
      <w:pPr>
        <w:spacing w:after="120" w:line="480"/>
        <w:jc w:val="both"/>
      </w:pPr>
      <w:r>
        <w:rPr>
          <w:sz w:val="24"/>
          <w:szCs w:val="24"/>
        </w:rPr>
        <w:t xml:space="preserve">La ponderación no es arbitraria. Una conversión vale veinte veces una impresión porque quien escribe su turno en el muro o marca una línea de ayuda ha ejecutado una acción, mientras que quien solo vio la pieza no dejó rastro de haberla usado. El engagement queda en un punto intermedio: hubo interacción, pero no una acción completada.</w:t>
      </w:r>
    </w:p>
    <w:p>
      <w:pPr>
        <w:shd w:color="F1F5F9" w:val="solid"/>
        <w:spacing w:after="200" w:before="200" w:line="360"/>
        <w:jc w:val="center"/>
      </w:pPr>
      <w:r>
        <w:rPr>
          <w:b/>
          <w:bCs/>
          <w:color w:val="0F172A"/>
          <w:sz w:val="26"/>
          <w:szCs w:val="26"/>
        </w:rPr>
        <w:t xml:space="preserve">IEC = 5.075 puntos ÷ $1.118.000 × 1.000 = 4.54</w:t>
      </w:r>
    </w:p>
    <w:p>
      <w:pPr>
        <w:spacing w:after="120" w:line="480"/>
        <w:jc w:val="both"/>
      </w:pPr>
      <w:r>
        <w:rPr>
          <w:sz w:val="24"/>
          <w:szCs w:val="24"/>
        </w:rPr>
        <w:t xml:space="preserve">El índice indica que cada mil pesos invertidos produjeron 4.54 puntos de impacto. Su utilidad es comparativa: sirve para contrastar piezas entre sí o periodos sucesivos del mismo proyecto, no como cifra absoluta.</w:t>
      </w:r>
    </w:p>
    <w:p>
      <w:pPr>
        <w:shd w:color="FEF3C7" w:val="solid"/>
        <w:spacing w:after="160" w:before="120" w:line="300"/>
      </w:pPr>
      <w:r>
        <w:rPr>
          <w:b/>
          <w:bCs/>
          <w:color w:val="92400E"/>
          <w:sz w:val="22"/>
          <w:szCs w:val="22"/>
        </w:rPr>
        <w:t xml:space="preserve">PENDIENTE: si en clase se enseñó otra fórmula del IEC, sustituirla aquí y en la celda correspondiente del libro de Excel.</w:t>
      </w:r>
    </w:p>
    <w:p>
      <w:r>
        <w:br w:type="page"/>
      </w:r>
    </w:p>
    <w:p>
      <w:pPr>
        <w:pStyle w:val="Heading1"/>
        <w:spacing w:after="200" w:before="360" w:line="360"/>
      </w:pPr>
      <w:r>
        <w:rPr>
          <w:b/>
          <w:bCs/>
          <w:color w:val="0F172A"/>
          <w:sz w:val="30"/>
          <w:szCs w:val="30"/>
        </w:rPr>
        <w:t xml:space="preserve">Bibliografía</w:t>
      </w:r>
    </w:p>
    <w:p>
      <w:pPr>
        <w:spacing w:after="120" w:line="480"/>
        <w:ind w:left="720" w:hanging="720"/>
      </w:pPr>
      <w:r>
        <w:rPr>
          <w:sz w:val="24"/>
          <w:szCs w:val="24"/>
        </w:rPr>
        <w:t xml:space="preserve">Congreso de la República de Colombia. (2010). Ley 1413 de 2010, por medio de la cual se regula la inclusión de la economía del cuidado en el sistema de cuentas nacionales. Diario Oficial.</w:t>
      </w:r>
    </w:p>
    <w:p>
      <w:pPr>
        <w:spacing w:after="120" w:line="480"/>
        <w:ind w:left="720" w:hanging="720"/>
      </w:pPr>
      <w:r>
        <w:rPr>
          <w:sz w:val="24"/>
          <w:szCs w:val="24"/>
        </w:rPr>
        <w:t xml:space="preserve">Congreso de la República de Colombia. (2013). Ley 1616 de 2013, por medio de la cual se expide la ley de salud mental. Diario Oficial.</w:t>
      </w:r>
    </w:p>
    <w:p>
      <w:pPr>
        <w:spacing w:after="120" w:line="480"/>
        <w:ind w:left="720" w:hanging="720"/>
      </w:pPr>
      <w:r>
        <w:rPr>
          <w:sz w:val="24"/>
          <w:szCs w:val="24"/>
        </w:rPr>
        <w:t xml:space="preserve">Congreso de la República de Colombia. (2025). Ley 2466 de 2025, por medio de la cual se modifica la jornada laboral. Diario Oficial.</w:t>
      </w:r>
    </w:p>
    <w:p>
      <w:pPr>
        <w:spacing w:after="120" w:line="480"/>
        <w:ind w:left="720" w:hanging="720"/>
      </w:pPr>
      <w:r>
        <w:rPr>
          <w:sz w:val="24"/>
          <w:szCs w:val="24"/>
        </w:rPr>
        <w:t xml:space="preserve">Departamento Administrativo Nacional de Estadística. (2026). Cuenta Satélite de Economía del Cuidado: resultados provisionales 2024. DANE. https://www.dane.gov.co/index.php/estadisticas-por-tema/cuentas-nacionales/cuentas-satelite/cuenta-satelite-economia-del-cuidado</w:t>
      </w:r>
    </w:p>
    <w:p>
      <w:pPr>
        <w:spacing w:after="120" w:line="480"/>
        <w:ind w:left="720" w:hanging="720"/>
      </w:pPr>
      <w:r>
        <w:rPr>
          <w:sz w:val="24"/>
          <w:szCs w:val="24"/>
        </w:rPr>
        <w:t xml:space="preserve">Jenkins, H. (2008). Convergence culture: la cultura de la convergencia de los medios de comunicación. Paidós.</w:t>
      </w:r>
    </w:p>
    <w:p>
      <w:pPr>
        <w:spacing w:after="120" w:line="480"/>
        <w:ind w:left="720" w:hanging="720"/>
      </w:pPr>
      <w:r>
        <w:rPr>
          <w:sz w:val="24"/>
          <w:szCs w:val="24"/>
        </w:rPr>
        <w:t xml:space="preserve">Ministerio de Salud y Protección Social. (2025). Directorio nacional de líneas de atención en salud mental y prevención del suicidio. MinSalud. https://www.minsalud.gov.co/sites/rid/Lists/BibliotecaDigital/RIDE/VS/PP/ET/directorio-salud-mental-prevencion-suicidio-minsalud.pdf</w:t>
      </w:r>
    </w:p>
    <w:p>
      <w:pPr>
        <w:spacing w:after="120" w:line="480"/>
        <w:ind w:left="720" w:hanging="720"/>
      </w:pPr>
      <w:r>
        <w:rPr>
          <w:sz w:val="24"/>
          <w:szCs w:val="24"/>
        </w:rPr>
        <w:t xml:space="preserve">Ministerio de Salud y Protección Social. (s. f.). Línea 106. MinSalud. https://www.minsalud.gov.co/salud/publica/salud-mental/Paginas/linea-106.aspx</w:t>
      </w:r>
    </w:p>
    <w:p>
      <w:pPr>
        <w:spacing w:after="120" w:line="480"/>
        <w:ind w:left="720" w:hanging="720"/>
      </w:pPr>
      <w:r>
        <w:rPr>
          <w:sz w:val="24"/>
          <w:szCs w:val="24"/>
        </w:rPr>
        <w:t xml:space="preserve">Scolari, C. A. (2013). Narrativas transmedia: cuando todos los medios cuentan. Deusto.</w:t>
      </w:r>
    </w:p>
    <w:p>
      <w:pPr>
        <w:spacing w:after="120" w:line="480"/>
        <w:ind w:left="720" w:hanging="720"/>
      </w:pPr>
      <w:r>
        <w:rPr>
          <w:sz w:val="24"/>
          <w:szCs w:val="24"/>
        </w:rPr>
        <w:t xml:space="preserve">[PENDIENTE: añadir la referencia de Sierra estudiada en clase, con su año y editorial exactos.]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31411ebfd1db214bd2b303b604cb1a48207b8d7.png"/><Relationship Id="rId9" Type="http://schemas.openxmlformats.org/officeDocument/2006/relationships/image" Target="media/9410752ce3d2ec2155ce1586fb0e5bb119503a53.png"/><Relationship Id="rId10" Type="http://schemas.openxmlformats.org/officeDocument/2006/relationships/image" Target="media/42e666f3dbb7ad08e873504133cd962f4dcd6927.png"/><Relationship Id="rId11" Type="http://schemas.openxmlformats.org/officeDocument/2006/relationships/image" Target="media/f78a2ead101ce4b454ed909b355da0c6bab2ec3d.png"/><Relationship Id="rId12" Type="http://schemas.openxmlformats.org/officeDocument/2006/relationships/image" Target="media/e48796d9dae7f81afdba5e2e792794f55e97a1ac.png"/><Relationship Id="rId13" Type="http://schemas.openxmlformats.org/officeDocument/2006/relationships/image" Target="media/0d65e5ed9fab7b26a039876d6372acb4ede93a8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turno de la madrugada — ACA</dc:title>
  <dc:creator>Leidy Carolina Granados Celis</dc:creator>
  <cp:lastModifiedBy>Un-named</cp:lastModifiedBy>
  <cp:revision>1</cp:revision>
  <dcterms:created xsi:type="dcterms:W3CDTF">2026-09-13T22:21:31.401Z</dcterms:created>
  <dcterms:modified xsi:type="dcterms:W3CDTF">2026-09-13T22:21:31.401Z</dcterms:modified>
</cp:coreProperties>
</file>

<file path=docProps/custom.xml><?xml version="1.0" encoding="utf-8"?>
<Properties xmlns="http://schemas.openxmlformats.org/officeDocument/2006/custom-properties" xmlns:vt="http://schemas.openxmlformats.org/officeDocument/2006/docPropsVTypes"/>
</file>