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Laboratorio 2.1 Proyectos 7 8 y 9</w:t>
      </w:r>
    </w:p>
    <w:p>
      <w:r>
        <w:t>Reporte de la adaptación con Gapminder y resultados de ejecución</w:t>
      </w:r>
    </w:p>
    <w:p>
      <w:r>
        <w:t>Ingeniería en Sistemas Computacionales  |  Ciencia de Datos  |  Equipo B</w:t>
      </w:r>
    </w:p>
    <w:p>
      <w:r>
        <w:t>Integrantes: Arturo Obeth, José Carlos Hernández Ballado, Ángel y Antonia Martínez Santos.</w:t>
      </w:r>
    </w:p>
    <w:p>
      <w:r>
        <w:t>Docente: Fernando Mayorga Guittins  |  Septiembre de 2026</w:t>
      </w:r>
    </w:p>
    <w:p/>
    <w:p>
      <w:r>
        <w:t>Este reporte explica cómo el equipo aplicó los temas de visualización con Pandas, análisis estadístico con Seaborn y preprocesamiento para aprendizaje automático a un dataset distinto del ejemplo del curso. Los tres notebooks y el CSV se incluyen junto al reporte. Los resultados que se describen a continuación corresponden a las salidas y figuras que acompañan los archivos.</w:t>
      </w:r>
    </w:p>
    <w:p>
      <w:pPr>
        <w:pStyle w:val="Heading1"/>
      </w:pPr>
      <w:r>
        <w:t>1 Objetivo y datos</w:t>
      </w:r>
    </w:p>
    <w:p>
      <w:r>
        <w:t>Gapminder World reúne 1,704 observaciones de 142 países en doce años, de 1952 a 2007. Sus seis variables son país, año, población, continente, esperanza de vida y PIB por habitante. Los tres proyectos emplean estas mismas observaciones; una copia del CSV del Proyecto 8 conserva cifras con unos decimales más, sin alterar las conclusiones. Se usa el archivo incluido para reproducir cada práctica.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5"/>
        <w:gridCol w:w="3245"/>
        <w:gridCol w:w="3245"/>
      </w:tblGrid>
      <w:tr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/>
              </w:rPr>
              <w:t>Pregunta aplicada al dataset</w:t>
            </w:r>
          </w:p>
        </w:tc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/>
              </w:rPr>
              <w:t>Herramienta principal</w:t>
            </w:r>
          </w:p>
        </w:tc>
      </w:tr>
      <w:tr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t>7</w:t>
            </w:r>
          </w:p>
        </w:tc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t>¿Cómo cambia la esperanza de vida y cómo se relaciona con el PIB por habitante?</w:t>
            </w:r>
          </w:p>
        </w:tc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t>Pandas plot, Matplotlib, Plotly</w:t>
            </w:r>
          </w:p>
        </w:tc>
      </w:tr>
      <w:tr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t>8</w:t>
            </w:r>
          </w:p>
        </w:tc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t>¿Cómo se distribuyen las variables y qué asociaciones muestran?</w:t>
            </w:r>
          </w:p>
        </w:tc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t>Seaborn, correlación</w:t>
            </w:r>
          </w:p>
        </w:tc>
      </w:tr>
      <w:tr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t>9</w:t>
            </w:r>
          </w:p>
        </w:tc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t>¿Cómo convertir los datos en variables aptas para un clasificador?</w:t>
            </w:r>
          </w:p>
        </w:tc>
        <w:tc>
          <w:tcPr>
            <w:tcW w:type="dxa" w:w="3245"/>
            <w:vAlign w:val="center"/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t>scikit-learn, ColumnTransformer</w:t>
            </w:r>
          </w:p>
        </w:tc>
      </w:tr>
    </w:tbl>
    <w:p/>
    <w:p>
      <w:pPr>
        <w:pStyle w:val="Heading1"/>
      </w:pPr>
      <w:r>
        <w:t>2 Proyecto 7 Visualización básica</w:t>
      </w:r>
    </w:p>
    <w:p>
      <w:r>
        <w:t>El ejemplo del autor usa una tabla pivote y gráficos de Pandas para comparar países. El equipo mantuvo ese procedimiento y cambió el análisis a la esperanza de vida de México, Brasil, Argentina, Colombia y Chile. Construyó pivot(index='year', columns='country', values='life_exp') y representó la evolución por años.</w:t>
      </w:r>
    </w:p>
    <w:p>
      <w:r>
        <w:t>La línea permite comparar tendencias; las cinco series aumentan entre 1952 y 2007. El notebook también incluye barras, pastel de población, cajas, histogramas, dispersión y una visualización interactiva guardada como HTML. El gráfico de dispersión reúne a los 142 países en 2007 y utiliza un eje logarítmico para el PIB por habitante.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92040" cy="2809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ne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809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8"/>
        </w:rPr>
        <w:t>Figura 1. Esperanza de vida de cinco países entre 1952 y 2007.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00600" cy="27921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isper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792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8"/>
        </w:rPr>
        <w:t>Figura 2. PIB por habitante y esperanza de vida para 142 países en 2007.</w:t>
      </w:r>
    </w:p>
    <w:p>
      <w:r>
        <w:t>Archivos comprobables del Proyecto 7: notebook ejecutado, CSV, gráficos PNG, tabla pivote XLSX y gráfico interactivo HTML. Una correlación en estos datos describe asociación y no establece causalidad.</w:t>
      </w:r>
    </w:p>
    <w:p>
      <w:pPr>
        <w:pStyle w:val="Heading1"/>
      </w:pPr>
      <w:r>
        <w:t>3 Proyecto 8 Visualización con Seaborn</w:t>
      </w:r>
    </w:p>
    <w:p>
      <w:r>
        <w:t>Seaborn amplía la exploración con histogramas, curvas KDE, distribuciones por continente y mapas de calor. Se ejecutaron las diez celdas de código con el CSV adjunto sin errores. La copia de entrega del notebook conserva sus salidas de texto y las cinco figuras PNG que genera la práctica.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17720" cy="2731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istribucion_esperanza_vi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731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8"/>
        </w:rPr>
        <w:t>Figura 3. Histograma y estimación KDE de la esperanza de vida.</w:t>
      </w:r>
    </w:p>
    <w:p>
      <w:r>
        <w:t>Con corr() se relacionan año, esperanza de vida, población y PIB por habitante. La correlación lineal entre esperanza de vida y PIB por habitante, considerando los 1,704 registros, es aproximadamente 0.58. La asociación puede variar por periodo y región; el notebook muestra además un mapa para América.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51960" cy="34191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eatmap_correla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3419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8"/>
        </w:rPr>
        <w:t>Figura 4. Mapa de calor de correlaciones numéricas del dataset completo.</w:t>
      </w:r>
    </w:p>
    <w:p>
      <w:pPr>
        <w:pStyle w:val="Heading1"/>
      </w:pPr>
      <w:r>
        <w:t>4 Proyecto 9 Preprocesamiento para aprendizaje automático</w:t>
      </w:r>
    </w:p>
    <w:p>
      <w:r>
        <w:t>Se define una clasificación educativa: 'Alta' si la esperanza de vida de un registro país-año es al menos la mediana histórica de 60.71 años y 'Baja' en caso contrario. Resultan 852 registros por clase. La variable life_exp no se utiliza como predictor porque define la clase.</w:t>
      </w:r>
    </w:p>
    <w:p>
      <w:r>
        <w:t>El notebook separa 1,363 registros para entrenar y 341 para probar. El ColumnTransformer imputa valores si llegaran a faltar, estandariza año, población y PIB por habitante, y convierte continente en cinco columnas binarias con OneHotEncoder. El ajuste se realiza en entrenamiento y la prueba solo se transforma con los parámetros aprendidos allí. Así se obtienen ocho columnas de entrada.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33428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ntes_y_despues_escal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2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8"/>
        </w:rPr>
        <w:t>Figura 5. Variables numéricas antes y después de aplicar StandardScaler.</w:t>
      </w:r>
    </w:p>
    <w:p>
      <w:r>
        <w:t>Como comprobación, una regresión logística alcanzó 84.5 % de exactitud en las 341 observaciones de prueba: 288 predicciones correctas. Esta prueba verifica que la transformación alimenta al modelo; la partición aleatoria incluye años de países que también pueden estar en entrenamiento, de modo que la métrica no prueba desempeño sobre países inéditos.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77639" cy="34403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atriz_confu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3440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8"/>
        </w:rPr>
        <w:t>Figura 6. Matriz de confusión: 147 bajas y 141 altas correctamente clasificadas.</w:t>
      </w:r>
    </w:p>
    <w:p>
      <w:pPr>
        <w:pStyle w:val="Heading1"/>
      </w:pPr>
      <w:r>
        <w:t>5 Conclusión</w:t>
      </w:r>
    </w:p>
    <w:p>
      <w:r>
        <w:t>Con un dataset compartido, el Proyecto 7 presenta cambios históricos, el 8 examina distribuciones y relaciones, y el 9 prepara variables numéricas y categóricas para un modelo. La principal precaución al interpretar los resultados es distinguir una gráfica descriptiva de una explicación causal, y la exactitud sobre registros mezclados de la capacidad de generalizar a nuevos países.</w:t>
      </w:r>
    </w:p>
    <w:p>
      <w:pPr>
        <w:pStyle w:val="Heading1"/>
      </w:pPr>
      <w:r>
        <w:t>6 Archivos de evidencia</w:t>
      </w:r>
    </w:p>
    <w:p>
      <w:pPr>
        <w:pStyle w:val="ListBullet"/>
      </w:pPr>
      <w:r>
        <w:t>Proyecto 7: Proyecto7_Visualizacion_Adaptado.ipynb, figuras y exportaciones.</w:t>
      </w:r>
    </w:p>
    <w:p>
      <w:pPr>
        <w:pStyle w:val="ListBullet"/>
      </w:pPr>
      <w:r>
        <w:t>Proyecto 8: Proyecto_8_Visualizacion_Estadistica_Seaborn.ipynb y cinco figuras.</w:t>
      </w:r>
    </w:p>
    <w:p>
      <w:pPr>
        <w:pStyle w:val="ListBullet"/>
      </w:pPr>
      <w:r>
        <w:t>Proyecto 9: Proyecto_9_Preprocesamiento_ML_Gapminder.ipynb y tres figuras.</w:t>
      </w:r>
    </w:p>
    <w:p>
      <w:pPr>
        <w:pStyle w:val="ListBullet"/>
      </w:pPr>
      <w:r>
        <w:t>Dataset: gapminder_full.csv en cada carpeta, para permitir ejecución independiente.</w:t>
      </w:r>
    </w:p>
    <w:p>
      <w:pPr>
        <w:pStyle w:val="Heading1"/>
      </w:pPr>
      <w:r>
        <w:t>7 Referencias</w:t>
      </w:r>
    </w:p>
    <w:p>
      <w:r>
        <w:t>Andrade, F. (s. f.). Curso Data Science [Repositorio de código]. GitHub. https://github.com/thepycoach/curso-data-science</w:t>
      </w:r>
    </w:p>
    <w:p>
      <w:r>
        <w:t>Klimonova, T. (s. f.). Gapminder DataCamp 2007 [Conjunto de datos]. Kaggle. https://www.kaggle.com/datasets/tklimonova/gapminder-datacamp-2007</w:t>
      </w:r>
    </w:p>
    <w:p>
      <w:r>
        <w:t>Mayorga Guittins, F. (2026). CD 2.1 Laboratorio Práctico [Consigna de clase]. Instituto Tecnológico Superior de Alvarado.</w:t>
      </w:r>
    </w:p>
    <w:sectPr w:rsidR="00FC693F" w:rsidRPr="0006063C" w:rsidSect="00034616">
      <w:pgSz w:w="12240" w:h="15840"/>
      <w:pgMar w:top="907" w:right="1253" w:bottom="907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E27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