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CIO or CTO buyer persona written specifically for </w:t>
      </w:r>
      <w:r w:rsidDel="00000000" w:rsidR="00000000" w:rsidRPr="00000000">
        <w:rPr>
          <w:b w:val="1"/>
          <w:bCs w:val="1"/>
          <w:rtl w:val="0"/>
        </w:rPr>
        <w:t xml:space="preserve">strategy-focused technology leaders</w:t>
      </w:r>
      <w:r w:rsidDel="00000000" w:rsidR="00000000" w:rsidRPr="00000000">
        <w:rPr>
          <w:rtl w:val="0"/>
        </w:rPr>
        <w:t xml:space="preserve">, not infrastructure-only roles. This assumes the buyer is accountable for enterprise technology direction, risk, and enablement, and is increasingly pulled into AI conversations beyond traditional 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hlkflwrzc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CIO or CTO (Strategy-Focused)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qoi83h5y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CIO or CTO is accountable for: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technology direction and architecture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Data, security, and platform integrity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business strategy through technology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Advising the CEO and board on technology risk and opportunity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organizations, AI has expanded this role beyond systems and into strategy, without expanding authority, clarity, or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sqkecaq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CIOs and CTOs Face (That CAIO Solves)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dm54dlbu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Expectations Have Outpaced Authority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CIO or CTO experiences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Executives expect leadership on AI strategy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units move independently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is blamed when things go wrong but not empowered to set direction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leaders are accountable without mandate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become reactive instead of strategic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 increases between IT and the business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AI ownership at the executive level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Clarifies decision rights and governance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pressure to act as a de facto CAIO without support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p4j26tgkw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Tool Proliferation Is Creating Architectural Risk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CIO or CTO experiences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adoption of AI tools outside approved stacks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AI usage embedded in workflows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complexity and fragility of systems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leakage and integration risk rise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accumulates quickly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architecture is compromised by short-term decisions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enterprise-level AI guardrails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tool decisions to architecture principles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Slows fragmentation without blocking innovation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ka2vc2ldp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Business Demands AI Outcomes Without Strategic Alignment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CIO or CTO experiences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framed as “we need AI” rather than defined problems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priorities from multiple functions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 clarity on what success actually means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teams become order-takers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are spread thin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initiatives fail to scale or deliver value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Translates business goals into AI-relevant priorities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evaluation criteria before build decisions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the technology organization from wasteful initiatives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sxo7mhs5k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Risk, Compliance, and Ethics Are Becoming Personal Liability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CIO or CTO experiences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 for data security and compliance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around acceptable AI use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being the last line of defense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 lag behind practice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feel binary: block or accept risk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are exposed without clear executive backing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shared executive responsibility for AI risk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acceptable use and escalation paths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cover for defensible, principled decisions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w8a5opxn6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Pressure to Hire or Build Too Fast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CIO or CTO experiences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to stand up AI teams or hire specialists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long-term needs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misaligned hires or sunk cost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AI talent is expensive and scarce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hires lock in assumptions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Reversing direction later is costly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strategic leadership before scaling teams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define what roles are actually needed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the organization to learn before committing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5l90b4nlx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CIOs and CTOs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Strategy-focused CIOs and CTOs don’t want to block AI. They want it to make sense.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them: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Regain architectural and strategic control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personal and organizational risk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AI initiatives with enterprise priorities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confidently without being stretched beyond their mandate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CIO/CTO-specific messaging copy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this persona to sales objections and rebuttals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align this with enterprise IT governance language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