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buyer persona for </w:t>
      </w:r>
      <w:r w:rsidDel="00000000" w:rsidR="00000000" w:rsidRPr="00000000">
        <w:rPr>
          <w:b w:val="1"/>
          <w:bCs w:val="1"/>
          <w:rtl w:val="0"/>
        </w:rPr>
        <w:t xml:space="preserve">Head of Innovation or Head of Transformation</w:t>
      </w:r>
      <w:r w:rsidDel="00000000" w:rsidR="00000000" w:rsidRPr="00000000">
        <w:rPr>
          <w:rtl w:val="0"/>
        </w:rPr>
        <w:t xml:space="preserve">, written to reflect the reality of these roles: high expectations, limited authority, and pressure to show progress without breaking the business.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c9s7o2zqq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Head of Innovation or Head of Transformation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l7sxlul0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 of Innovation or Transformation is accountable for: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Driving change across the organization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and incubating new capabilities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Modernizing ways of working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Demonstrating progress to the executive team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role often sits between strategy and execution, with responsibility for momentum but limited formal power.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63dgxbur9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They Face (That CAIO Solves)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l1fk854f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Is Expected to Be a Catalyst, but Direction Is Missing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experience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is labeled a top transformation priority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wants progress but gives limited guidance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teams are told to “explore” without clear boundaries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Exploration turns into unfocused experimentation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 are unclear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risks being seen as activity-driven rather than impact-driven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executive-level clarity on AI direction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innovation efforts to business priorities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exploration into structured learning and decisions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0jium0wq7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Too Many Pilots, Not Enough Scale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experience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AI pilots launched across teams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enthusiasm fades before adoption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Promising ideas stall due to lack of ownership or governance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debt accumulates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 with executives erodes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become skeptical of “the next pilot”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clear pathways from pilot to scale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pilots with enterprise ownership and funding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stop rules that protect credibility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keysmzxy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Resistance From Core Functions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experience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worries about risk and architecture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and compliance slow progress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question practicality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becomes isolated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depends on negotiation rather than alignment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turns political instead of strategic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shared executive guardrails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innovation with governance rather than fighting it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friction between innovation and core functions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b270qe4eg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Pressure to Show Results Without Authority to Enforce Change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experience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Accountability for outcomes without decision rights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on other leaders to act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sustaining momentum beyond early wins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stalls at the edges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absorbs blame for systemic constraints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burnout risk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Brings executive ownership to AI initiatives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Elevates decisions to the right level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Turns innovation from advocacy into execution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ygqr5dq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Risk of Betting on the Wrong Direction Too Early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experience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to signal progress and leadership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about which AI bets will endure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locking the organization into fragile approaches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bets shape culture and capability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signals create long-term drag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Reversals are costly and visible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strategic framing before commitments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optionality while learning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visible progress without premature lock-in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h5x4bdzo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Heads of Innovation or Transformation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asked to lead change without breaking the business.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them: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AI exploration into credible transformation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innovation with executive intent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resistance from core functions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from pilots to impact without overcommitting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gives this role the executive air cover and strategic clarity it typically lacks.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this into innovation-focused messaging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it to a transformation roadmap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convert it into internal alignment language for executive sponsorship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