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Private Equity Managing Partner</w:t>
      </w:r>
      <w:r w:rsidDel="00000000" w:rsidR="00000000" w:rsidRPr="00000000">
        <w:rPr>
          <w:rtl w:val="0"/>
        </w:rPr>
        <w:t xml:space="preserve"> buyer persona tailored to how PE leaders actually engage with AI: as a lever for value creation, risk control, and exit multiple, not experimentation.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z1nwfxuxn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 Persona: Private Equity Managing Partner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6en4volmj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Managing Partner is accountable for: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 performance and returns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thesis integrity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value creation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 across portfolio companies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Credible narratives to LPs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matters to them only insofar as it improves outcomes across multiple assets without increasing downside risk.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n53ewwqko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5 Challenges Managing Partners Face (That CAIO Solves)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m65yvsahf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Is Clearly a Value Creation Lever, But Not Reliably Executed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Managing Partner experiences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 teams reference AI in investment theses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companies experiment inconsistently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vary widely by company and leadership maturity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becomes aspirational rather than operational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creation plans lack repeatability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depend too heavily on individual management teams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Introduces a repeatable executive-level AI leadership model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Standardizes how AI is evaluated and governed across portfolio companies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consistency of execution without forcing uniform tools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n0w9oq9b5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Portfolio Risk Is Increasing Without Central Visibility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Managing Partner experiences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tools used inside portfolio companies without oversight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exposure around data, IP, compliance, and customer trust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surfaces only after incidents or diligence questions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Downside risk compounds across the portfolio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discovered late affect valuation and exits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LP confidence depends on proactive governance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Establishes portfolio-level AI governance principles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visibility without operational micromanagement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the likelihood of unpleasant diligence surprises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vjr2s2h06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Management Teams Lack AI Leadership Depth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Managing Partner experiences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CEOs feel pressure to “have an AI story”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 leaders have the experience to lead responsibly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a full-time CAIO at each company is impractical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Capability gaps slow value creation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hires are costly and hard to unwind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leadership quality varies dramatically across assets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immediate, credible AI leadership at the executive level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Supplements management teams without replacing them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Raises baseline AI leadership capability across the portfolio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bqdfwaiaw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AI Narratives Are Weak at Exit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Managing Partner experiences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Buyers ask about AI strategy and governance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companies struggle to articulate substance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stories rely on tools rather than outcomes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narratives depress multiples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questions dominate discussions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creation is discounted rather than rewarded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defensible, board-level AI narratives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AI activity to measurable business outcomes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diligence and exit positioning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hh1e1vn42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 Time for Long Learning Curves or Vendor Noise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Managing Partner experiences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Endless AI pitches from vendors and consultants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tolerance for experimentation without payoff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fast, disciplined decisions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 is scarce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Mistakes are expensive at portfolio scale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learning reduces fund-level leverage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 hype from signal at the executive level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Accelerates learning without locking in prematurely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informed decisions across multiple assets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hd9a68rou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Frame for Selling to PE Managing Partners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Partners don’t want AI projects. They want portfolio-level leverage.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CAIO helps them: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AI into a repeatable value creation capability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AI-related downside risk across the portfolio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AI narratives for diligence and exit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returns without forcing premature hires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CAIO functions as fractional, fund-level AI leadership, delivering discipline, clarity, and leverage where it matters most.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 this for operating partners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portfolio-wide AI maturity framework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translate this into LP-facing language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