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1qvfx1q61z" w:id="0"/>
      <w:bookmarkEnd w:id="0"/>
      <w:hyperlink r:id="rId6">
        <w:r w:rsidDel="00000000" w:rsidR="00000000" w:rsidRPr="00000000">
          <w:rPr>
            <w:b w:val="1"/>
            <w:bCs w:val="1"/>
            <w:color w:val="1155cc"/>
            <w:sz w:val="46"/>
            <w:szCs w:val="46"/>
            <w:u w:val="single"/>
            <w:rtl w:val="0"/>
          </w:rPr>
          <w:t xml:space="preserve">How to Implement the AI Council in 30 Days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outlines how organizations typically move from receiving the AI Council Starter Kit to running a functioning, decision-making AI Council within the first month.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transformation plan. It is an execution sequence.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0g5pyofoo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1: Establish Authority and Scope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goal:</w:t>
      </w:r>
      <w:r w:rsidDel="00000000" w:rsidR="00000000" w:rsidRPr="00000000">
        <w:rPr>
          <w:rtl w:val="0"/>
        </w:rPr>
        <w:t xml:space="preserve"> Make the AI Council real, not symbolic.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sponsor is named and confirms decision authority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Council membership is finalized (no observers by default)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scope is defined: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types of AI decisions belong here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decisions explicitly do not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Common failure to avoid:</w:t>
        <w:br w:type="textWrapping"/>
      </w:r>
      <w:r w:rsidDel="00000000" w:rsidR="00000000" w:rsidRPr="00000000">
        <w:rPr>
          <w:rtl w:val="0"/>
        </w:rPr>
        <w:t xml:space="preserve"> Launching the Council without executive authority, turning meetings into status updates instead of decisions.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lcby79163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2: Run the First Council Meeting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goal:</w:t>
      </w:r>
      <w:r w:rsidDel="00000000" w:rsidR="00000000" w:rsidRPr="00000000">
        <w:rPr>
          <w:rtl w:val="0"/>
        </w:rPr>
        <w:t xml:space="preserve"> Prove the cadence works.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meeting is held using the provided agenda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real decision is made and logged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tool inventory or use-case list is reviewed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 and review dates are assigned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signal:</w:t>
        <w:br w:type="textWrapping"/>
      </w:r>
      <w:r w:rsidDel="00000000" w:rsidR="00000000" w:rsidRPr="00000000">
        <w:rPr>
          <w:rtl w:val="0"/>
        </w:rPr>
        <w:t xml:space="preserve"> The Decision Log has entries after the first meeting.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pua0ye67l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3: Introduce Measurement (Lightweight)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goal:</w:t>
      </w:r>
      <w:r w:rsidDel="00000000" w:rsidR="00000000" w:rsidRPr="00000000">
        <w:rPr>
          <w:rtl w:val="0"/>
        </w:rPr>
        <w:t xml:space="preserve"> Shift from discussion to outcomes.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1–2 workflows are selected for ROI tracking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Baselines are agreed upon (conservative, not perfect)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ROI scorecard is populated with initial data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format is aligned with leadership expectations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Common failure to avoid:</w:t>
        <w:br w:type="textWrapping"/>
      </w:r>
      <w:r w:rsidDel="00000000" w:rsidR="00000000" w:rsidRPr="00000000">
        <w:rPr>
          <w:rtl w:val="0"/>
        </w:rPr>
        <w:t xml:space="preserve"> Waiting for “perfect data” before measuring anything.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26u2aypwe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4: Stabilize the Operating Rhythm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goal:</w:t>
      </w:r>
      <w:r w:rsidDel="00000000" w:rsidR="00000000" w:rsidRPr="00000000">
        <w:rPr>
          <w:rtl w:val="0"/>
        </w:rPr>
        <w:t xml:space="preserve"> Make the Council self-sustaining.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Second and third meetings reinforce cadence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path is tested at least once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and compliance reviews are flowing through the Council, not around it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receives the first summarized update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signal:</w:t>
        <w:br w:type="textWrapping"/>
      </w:r>
      <w:r w:rsidDel="00000000" w:rsidR="00000000" w:rsidRPr="00000000">
        <w:rPr>
          <w:rtl w:val="0"/>
        </w:rPr>
        <w:t xml:space="preserve"> AI decisions are no longer happening ad hoc outside the Council.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xx24t9ln2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Typically Breaks Without Ongoing Ownership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often implement the structure successfully, but then struggle with: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Maintaining prioritization as AI requests increase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Keeping ROI measurement consistent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Balancing speed with security as usage scales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decision drift back to informal channels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usually where teams either: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clear, ongoing internal ownership, or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Bring in a fractional Chief AI Officer to run the cadence, coordination, and reporting.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pgldz63st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a Conversation Is Useful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short conversation is usually helpful if: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want to sanity-check Council membership or authority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unsure how much ownership IT vs business should have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help setting conservative, defensible ROI baselines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pressure-test whether this should be internally owned or externally supported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There’s no obligation to proceed further. The goal is clarity.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rw9aewkb0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Closing CTA (keep understated)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it would be helpful to talk through how this would apply in your context, I’m happy to do that.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9abwdhorl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recommendation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choose just one and standardize it everywhere: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16pdby7ya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Button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Pressure-Test This in Your Context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2a63wofwx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subtext under the button (small, grey)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 obligation. Used to clarify ownership, cadence, and next steps.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 pairing maximizes trust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reply-to-call rates.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amma.app/docs/How-to-Implement-the-AI-Council-in-30-Days-mg6siarmr70p8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