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Links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SDR folder</w:t>
        </w:r>
      </w:hyperlink>
      <w:r w:rsidDel="00000000" w:rsidR="00000000" w:rsidRPr="00000000">
        <w:rPr>
          <w:rtl w:val="0"/>
        </w:rPr>
        <w:t xml:space="preserve"> that has examples, objections, information, scripts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Also see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CAIO Partner Readiness Framework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mpvtd87o7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Tier definitions —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p3lljlnqq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1 — Enterprise (White-Glove)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$100M to $250M ARR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500+ employees</w:t>
      </w:r>
      <w:r w:rsidDel="00000000" w:rsidR="00000000" w:rsidRPr="00000000">
        <w:rPr>
          <w:rtl w:val="0"/>
        </w:rPr>
        <w:t xml:space="preserve"> (or equivalent enterprise scale)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C-level (CEO, CIO, CTO), Chief Compliance/GC, Board sponsors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Principal-led outreach, bespoke executive briefings, on-site immersion, bespoke SOWs and enterprise procurement support.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23jgwf132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2 — Target (Standard Outreach)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$25M to $100M ARR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100–499 employees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CEO, COO, CIO/CTO, VP Ops, Head of Digital/Transformation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Value-first email + council kit, 30-minute Executive AI Decision Review, SDR → AE cadence, scalable ABM.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f0uql8oct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Tier 3 — Nurture 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$10M to $25M ARR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Company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50–99 employees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Who:</w:t>
      </w:r>
      <w:r w:rsidDel="00000000" w:rsidR="00000000" w:rsidRPr="00000000">
        <w:rPr>
          <w:rtl w:val="0"/>
        </w:rPr>
        <w:t xml:space="preserve"> Founders, Heads of Ops/IT, L&amp;D/Training leads, early digital/AI champions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Approach:</w:t>
      </w:r>
      <w:r w:rsidDel="00000000" w:rsidR="00000000" w:rsidRPr="00000000">
        <w:rPr>
          <w:rtl w:val="0"/>
        </w:rPr>
        <w:t xml:space="preserve"> Content + cohort/education (CAIO cert), nurture sequences, community programs, convert when funding/executive mandate appears.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 / exceptions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bands sit inside our canonical ICP ($10M–$250M ARR). The Tier 1 band deliberately starts at $100M to preserve a true “VIP” white-glove segment and avoid over-allocating senior resources to lower-value midmarket deals. Source: ICP/GTM docs.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exceptions: large enterprises (e.g., Fortune 500) or companies with urgent regulatory/compliance needs (EU AI Act, high-risk regulated AI) should be escalated to </w:t>
      </w:r>
      <w:r w:rsidDel="00000000" w:rsidR="00000000" w:rsidRPr="00000000">
        <w:rPr>
          <w:b w:val="1"/>
          <w:bCs w:val="1"/>
          <w:rtl w:val="0"/>
        </w:rPr>
        <w:t xml:space="preserve">Tier 1</w:t>
      </w:r>
      <w:r w:rsidDel="00000000" w:rsidR="00000000" w:rsidRPr="00000000">
        <w:rPr>
          <w:rtl w:val="0"/>
        </w:rPr>
        <w:t xml:space="preserve"> even if revenue or headcount sit near the Tier 2 boundary — the GTM doc explicitly treats enterprise/compliance plays as a separate, higher-touch lane.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High-ICP playbook reiterates that VIP outreach requires senior reps and different risk posture; keep Tier 1 contacts reserved for principal-level reps.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Company Size: 50 to 1,000 employees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Revenue: $10,000,000 to $250,000,000 annually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Construction / Real Estate Development / Property Management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Manufacturing &amp; Engineering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Professional Services (consulting, marketing, finance, legal)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Healthcare / Biotech / Life Sciences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Retail &amp; E-commerce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Logistics &amp; Supply Chain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Titles: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CEO / Founder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COO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CIO / CTO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VP of Operations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Head of Digital Transformation or Head of Innovation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Chief Compliance Officer (for regulated companies)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VP Product / Product VP (for SaaS/product plays)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Geography: United States (primary); targeted international (EU) for EU AI Act / compliance plays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these ranges &amp; priorities (step-by-step reasoning):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team’s canonical ICP documents state the primary firmographics as 50–1,000 employees and $10M–$250M revenue — that’s the core mid-market / lower-middle market sweet spot for CAIO services (firmographic citation).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GTM strategy includes a higher-touch enterprise lane (500+ employees) for fractional/enterprise CAIO engagements; I preserved the core ICP but called out EU/enterprise as tactical extensions where we run enterprise / legal compliance campaigns (GTM doc).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 are taken from the ICP doc’s explicit list and ranked by (a) explicit emphasis in our docs and (b) traction signals in the Sales/LinkedIn master lists (manufacturing, healthcare, professional services appear repeatedly across playbooks and the Master File). See ICP and GTM docs for the source list.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bf3t1bquzz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MESSAGING &amp; VOICE — ready outputs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extracted our live sequences and the high-ICP playbook. Below are the deliverables you asked for.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ssu8m28pi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3.a — 5–10 best-performing cold emails (copy/paste)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are six email texts from sequences that are explicitly flagged as high-response / value-first in our playbooks. I included subject lines where available and plain-text versions (these are send-ready).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Sources: “Email Sequence” and “Dani B2B Email Series” (these sequences are the team’s primary high-response assets).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Email Sequence - 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A — (Email 1 — AI Ownership Clarity Map)</w:t>
        <w:br w:type="textWrapping"/>
      </w:r>
      <w:r w:rsidDel="00000000" w:rsidR="00000000" w:rsidRPr="00000000">
        <w:rPr>
          <w:rtl w:val="0"/>
        </w:rPr>
        <w:t xml:space="preserve">Subject: </w:t>
      </w:r>
      <w:r w:rsidDel="00000000" w:rsidR="00000000" w:rsidRPr="00000000">
        <w:rPr>
          <w:i w:val="1"/>
          <w:iCs w:val="1"/>
          <w:rtl w:val="0"/>
        </w:rPr>
        <w:t xml:space="preserve">The AI question leadership can’t answer</w:t>
        <w:br w:type="textWrapping"/>
      </w:r>
      <w:r w:rsidDel="00000000" w:rsidR="00000000" w:rsidRPr="00000000">
        <w:rPr>
          <w:rtl w:val="0"/>
        </w:rPr>
        <w:t xml:space="preserve">Preheader: A 30-second check — most teams fail it.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mid-market companies can tell you who owns IT and who owns security.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leadership asks, “Who owns AI outcomes?” the answer is usually unclear — split between IT, business units, and Finance, or answered differently depending on who you ask.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gap is why AI pilots stall, ROI stays anecdotal, and the same questions resurface every quarter.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put together a one-page AI Ownership Clarity Map that shows where ownership actually sits across the five areas that matter most — and where it quietly breaks down.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 quick diagnostic. No pitch.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YES and I’ll send you the one-pager.  Or preview it here: [short link]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 Apgar &amp; the Chief AI Officer team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Email B — (Email 2 — AI Council Starter Kit, Variant A — reply-first)</w:t>
        <w:br w:type="textWrapping"/>
      </w:r>
      <w:r w:rsidDel="00000000" w:rsidR="00000000" w:rsidRPr="00000000">
        <w:rPr>
          <w:rtl w:val="0"/>
        </w:rPr>
        <w:t xml:space="preserve"> Subject: </w:t>
      </w:r>
      <w:r w:rsidDel="00000000" w:rsidR="00000000" w:rsidRPr="00000000">
        <w:rPr>
          <w:i w:val="1"/>
          <w:iCs w:val="1"/>
          <w:rtl w:val="0"/>
        </w:rPr>
        <w:t xml:space="preserve">Why AI pilots stall after month three</w:t>
        <w:br w:type="textWrapping"/>
      </w:r>
      <w:r w:rsidDel="00000000" w:rsidR="00000000" w:rsidRPr="00000000">
        <w:rPr>
          <w:rtl w:val="0"/>
        </w:rPr>
        <w:t xml:space="preserve"> Preheader: The fix is a 30-minute operating cadence.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text: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teams don’t fail at AI because of tools.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fail because pilots live in too many places, decisions aren’t logged, and leadership only sees demos — not outcomes.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fix is a simple operating cadence: a weekly AI Council with clear decision rights, a lightweight agenda, and a monthly ROI scorecard leadership actually trusts.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packaged the exact structure into an AI Council Starter Kit (charter, agenda, decision log, ROI template). Most teams adapt it in ~30 minutes.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COUNCIL and I’ll send the kit by email. Or preview it here: [short link]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 Apgar &amp; the Chief AI Officer team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Email C — (Email 3 — First 30 Days plan)</w:t>
        <w:br w:type="textWrapping"/>
      </w:r>
      <w:r w:rsidDel="00000000" w:rsidR="00000000" w:rsidRPr="00000000">
        <w:rPr>
          <w:rtl w:val="0"/>
        </w:rPr>
        <w:t xml:space="preserve"> Subject: </w:t>
      </w:r>
      <w:r w:rsidDel="00000000" w:rsidR="00000000" w:rsidRPr="00000000">
        <w:rPr>
          <w:i w:val="1"/>
          <w:iCs w:val="1"/>
          <w:rtl w:val="0"/>
        </w:rPr>
        <w:t xml:space="preserve">When traction matters — Day 1–30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text: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team brings us in, the goal in the first month is not “more AI ideas.” It’s traction and proof.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30 days, the outcomes we target are: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AI Council launched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Staff trained on safe use (non-technical included)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AI use policy created/reviewed with security/compliance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Live workflows producing measurable time savings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reply with your company size and whether security/compliance is already involved, I’ll send a realistic “Day 1–30” plan you can pressure-test internally.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{{SenderName}}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Email D — (Email 4 — 30-Day Outcome Plan)</w:t>
        <w:br w:type="textWrapping"/>
      </w:r>
      <w:r w:rsidDel="00000000" w:rsidR="00000000" w:rsidRPr="00000000">
        <w:rPr>
          <w:rtl w:val="0"/>
        </w:rPr>
        <w:t xml:space="preserve"> Subject: </w:t>
      </w:r>
      <w:r w:rsidDel="00000000" w:rsidR="00000000" w:rsidRPr="00000000">
        <w:rPr>
          <w:i w:val="1"/>
          <w:iCs w:val="1"/>
          <w:rtl w:val="0"/>
        </w:rPr>
        <w:t xml:space="preserve">What real traction looks like in 30 days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text (excerpted):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the first 30 days, we typically deliver: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✅ AI Council launched and meeting weekly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👩‍🏫 Staff trained on responsible AI use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 🛡️ AI use policy reviewed with security/compliance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* ⏱️ Live workflows generating measurable time savings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helpful, reply with company size and whether security/compliance is involved — I’ll send a one-page “Day 1–30” rollout you can pressure-test.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{{SenderName}}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Email E — (Value/Engagement — Pricing + Recommendation / Email 6)</w:t>
        <w:br w:type="textWrapping"/>
      </w:r>
      <w:r w:rsidDel="00000000" w:rsidR="00000000" w:rsidRPr="00000000">
        <w:rPr>
          <w:rtl w:val="0"/>
        </w:rPr>
        <w:t xml:space="preserve"> Subject: </w:t>
      </w:r>
      <w:r w:rsidDel="00000000" w:rsidR="00000000" w:rsidRPr="00000000">
        <w:rPr>
          <w:i w:val="1"/>
          <w:iCs w:val="1"/>
          <w:rtl w:val="0"/>
        </w:rPr>
        <w:t xml:space="preserve">Choosing the right plan (On-Site vs Enterprise)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text: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were reviewing our plans, here’s a simple way to decide: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On-Site — internal team runs execution, we enable governance + training.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Enterprise — dedicated fractional CAIO leading strategy, governance, and CFO-ready reporting.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with: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1) your industry,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2) your team size,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3) whether you already have any AI pilots running.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send a quick recommendation + “Month 1” plan. No meeting needed unless you ask.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{{SenderName}}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Email F — (Short, executive-safe audit invite)</w:t>
        <w:br w:type="textWrapping"/>
      </w:r>
      <w:r w:rsidDel="00000000" w:rsidR="00000000" w:rsidRPr="00000000">
        <w:rPr>
          <w:rtl w:val="0"/>
        </w:rPr>
        <w:t xml:space="preserve"> Subject: </w:t>
      </w:r>
      <w:r w:rsidDel="00000000" w:rsidR="00000000" w:rsidRPr="00000000">
        <w:rPr>
          <w:i w:val="1"/>
          <w:iCs w:val="1"/>
          <w:rtl w:val="0"/>
        </w:rPr>
        <w:t xml:space="preserve">Executive AI Decision Review — 30 minutes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 text: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 {{FirstName}},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do short Executive AI Decision Reviews — 30 minutes to map your riskiest investments and a pragmatic first 90-day focus.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that’s useful I can lay out three practical next steps for your leadership team.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Best,  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 Apgar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fff4gzk7i2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3.b — Subject lines that have worked well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(Extracted from sequences &amp; playbook guidance)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AI question leadership can’t answer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AI Council agenda we use to stop pilot chaos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AI pilots stall after month three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real traction looks like in 30 days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one-meeting fix for scattered AI pilots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Choosing the right plan (On-Site vs Enterprise)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AI Decision Review — 30 minutes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4vsed4l9gk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3.d — Words / phrases to AVOID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(From the High ICP playbook — explicit guidance)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Overly specific numeric claims in cold outreach (e.g., “40% cost reduction”, “ROI in 90 days”) — creates silent distrust.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Implementation Audit” — this phrasing reads too tactical/technical for execs; use executive framing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Aggressive salesy language, overstatements of “hundreds” of clients in initial outreach (for a relatively new brand).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d0d5l18bk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Words / phrases we SHOULD use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 fact based.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“Executive AI Decision Review” (or “AI Investment Readiness Review”) — executive framing.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“AI Council Starter Kit”, “AI Ownership Clarity Map”, “Day 1–30 plan” — these are value drops that convert.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“No pitch”, “quick diagnostic”, “one-page”, “lightweight governance” — low-friction, value-first wording.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w8vufj8uwl" w:id="9"/>
      <w:bookmarkEnd w:id="9"/>
      <w:hyperlink r:id="rId9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CAMPAIGN ANALYTICS</w:t>
        </w:r>
      </w:hyperlink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(Instantly + last 90 days)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k14xct4v2g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LINKEDIN SOURCES (starter list)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found references to targeted accounts used for ABM (Deloitte, Bain, MetLife, Amazon, Paramount) and to events to scrape (AI Summit, AI &amp; Big Data Expo). Below are recommended seeds — I can fetch exact LinkedIn URLs (company pages, influencer profiles, event pages) if you want me to open the web and collect follower lists.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/ peer company pages (monitor these first):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Deloitte | Deloitte Consulting — LinkedIn company page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Bain &amp; Company — LinkedIn company page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McKinsey Digital / BCG Gamma — LinkedIn company pages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Accenture (AI / Cloud) — LinkedIn company page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competitors (examples to monitor): Bain-style consultancies and productized fractional CAIO competitors — I can compile a canonical list from Drive + your GTM docs.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influencers to monitor (examples):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Andrew Ng — AI practitioner &amp; educator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Kate Crawford — policy / ethics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Cassie Kozyrkov or other product AI leaders (depending on audience)</w:t>
        <w:br w:type="textWrapping"/>
        <w:t xml:space="preserve">(If you want exact LinkedIn profile URLs I’ll fetch them on request.)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to track: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Summit (various cities) — attendee lists and speakers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Big Data Expo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events we sponsor / attend (we have a Chicago event sheet and other event attendee lists in Drive — I found “Chicago Event 9/11/25”)</w:t>
        <w:br w:type="textWrapping"/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Chicago Event 9/11/25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M3RY43Q5jg1ma_Jyak2HGBlsmLtMPJHsF5x0CpkhuCg/edit?usp=drivesdk" TargetMode="External"/><Relationship Id="rId10" Type="http://schemas.openxmlformats.org/officeDocument/2006/relationships/hyperlink" Target="https://docs.google.com/spreadsheets/d/1M3RY43Q5jg1ma_Jyak2HGBlsmLtMPJHsF5x0CpkhuCg/edit?usp=drivesdk" TargetMode="External"/><Relationship Id="rId9" Type="http://schemas.openxmlformats.org/officeDocument/2006/relationships/hyperlink" Target="https://docs.google.com/spreadsheets/d/1tRYjR5yQygNMULwH9X0njA_v7aRCTTU1ptOAplNwOJ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--4EO3hGQIIZgKL9vV-7LZl-geMyqMzv?usp=drive_link" TargetMode="External"/><Relationship Id="rId7" Type="http://schemas.openxmlformats.org/officeDocument/2006/relationships/hyperlink" Target="https://docs.google.com/document/d/17_do4aQcPzcN6TVjBvg_KRJlVeRZMLAqzrSgy7QabZQ/edit?usp=sharing" TargetMode="External"/><Relationship Id="rId8" Type="http://schemas.openxmlformats.org/officeDocument/2006/relationships/hyperlink" Target="https://docs.google.com/document/d/1GC30xX0pMgs5njD3EFYODbIRs_kfDdWg8HbP2wMv0s4/edit?usp=drivesd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