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4C68B7">
        <w:rPr>
          <w:sz w:val="28"/>
        </w:rPr>
        <w:t xml:space="preserve"> SNX-UC1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037A2B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0733FA" w:rsidP="00112E9B">
            <w:pPr>
              <w:spacing w:before="120" w:after="120"/>
            </w:pPr>
            <w:r>
              <w:t>Registro de Conductor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>SNX-UC2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>Registrar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0733FA" w:rsidP="00112E9B">
            <w:pPr>
              <w:spacing w:before="120" w:after="120"/>
            </w:pPr>
            <w:proofErr w:type="gramStart"/>
            <w:r>
              <w:t>Almacenar  los</w:t>
            </w:r>
            <w:proofErr w:type="gramEnd"/>
            <w:r>
              <w:t xml:space="preserve"> datos de la entidad conductor en la base de datos, usando  sistemas de cajas de textos.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bookmarkStart w:id="0" w:name="_GoBack"/>
            <w:bookmarkEnd w:id="0"/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4A7B74"/>
    <w:rsid w:val="004C14BB"/>
    <w:rsid w:val="004C68B7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2014-11-12T05:43:00Z</dcterms:created>
  <dcterms:modified xsi:type="dcterms:W3CDTF">2014-11-12T05:43:00Z</dcterms:modified>
</cp:coreProperties>
</file>