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Feasibility Report: Semi-Enclosed Mobile Photobooth in Northern Virginia</w:t>
      </w:r>
    </w:p>
    <w:p>
      <w:r>
        <w:t>Generated at: 2026-02-16T15:09:51.093660</w:t>
      </w:r>
    </w:p>
    <w:p>
      <w:r>
        <w:t>Composite Truth Score: 0/100</w:t>
      </w:r>
    </w:p>
    <w:p>
      <w:r>
        <w:t>Models Used: perplexity (scout), openai (strategist), anthropic (architect), google (critic)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report evaluates the financial viability of launching a semi-enclosed mobile photobooth in Northern Virginia, highlighting key market opportunities, technical requirements, and risk mitigation strategies.</w:t>
      </w:r>
    </w:p>
    <w:p>
      <w:r>
        <w:t>The report examines the prospects of establishing a semi-enclosed mobile photobooth business in Northern Virginia. The analysis indicates a potential for profitability given effective cost management, strategic differentiation, and proactive risk mitigation. The business targets weddings, corporate events, and private parties, with an estimated startup cost of $5,500 to $7,500 and a break-even point of 20 to 30 events.</w:t>
      </w:r>
    </w:p>
    <w:p>
      <w:pPr>
        <w:pStyle w:val="Heading1"/>
      </w:pPr>
      <w:r>
        <w:t>Financial Model</w:t>
      </w:r>
    </w:p>
    <w:p>
      <w:r>
        <w:t>Startup costs are estimated at $5,500 to $7,500, with a conservative break-even point of 20 to 30 events. Revenue per event ranges from $250 to $600, with profits contingent on effective pricing strategies and cost controls. A 6–12 month financing payoff is feasible under moderate demand scenarios.</w:t>
      </w:r>
    </w:p>
    <w:p>
      <w:pPr>
        <w:pStyle w:val="Heading1"/>
      </w:pPr>
      <w:r>
        <w:t>Market Analysis</w:t>
      </w:r>
    </w:p>
    <w:p>
      <w:r>
        <w:t>Northern Virginia presents a viable market with high demand for photobooth services at weddings, corporate events, and parties. Key demand drivers include a high density of government contractors and tech firms. Competition is notable, with 15–20 active local providers, but differentiation through unique features like vintage filters can enhance appeal.</w:t>
      </w:r>
    </w:p>
    <w:p>
      <w:pPr>
        <w:pStyle w:val="Heading1"/>
      </w:pPr>
      <w:r>
        <w:t>Risk Assessment</w:t>
      </w:r>
    </w:p>
    <w:p>
      <w:r>
        <w:t>Primary risks include seasonality, competition, and equipment malfunction. Mitigation strategies involve offering off-season discounts, focusing on unique service features, and maintaining backup equipment plans. Economic downturns and marketing cost overruns are additional considerations.</w:t>
      </w:r>
    </w:p>
    <w:p>
      <w:pPr>
        <w:pStyle w:val="Heading1"/>
      </w:pPr>
      <w:r>
        <w:t>Strategic Recommendations</w:t>
      </w:r>
    </w:p>
    <w:p>
      <w:r>
        <w:t>Proceed with a conservative financial approach, prioritizing cost management and differentiation. Secure a smaller initial loan and reinvest profits for growth. Strong marketing efforts and strategic partnerships are essential for capturing market share.</w:t>
      </w:r>
    </w:p>
    <w:p>
      <w:pPr>
        <w:pStyle w:val="Heading1"/>
      </w:pPr>
      <w:r>
        <w:t>Technical Architecture</w:t>
      </w:r>
    </w:p>
    <w:p>
      <w:r>
        <w:t>The photobooth will utilize 80/20 T-slot aluminum for its frame, ensuring modularity and durability. A DSLR camera is recommended for superior image quality. Key equipment includes a dye-sublimation printer for high-quality prints and a tablet for interface control. Total equipment costs range from $2,400 to $3,050.</w:t>
      </w:r>
    </w:p>
    <w:p>
      <w:r>
        <w:br w:type="page"/>
      </w:r>
    </w:p>
    <w:p>
      <w:pPr>
        <w:pStyle w:val="Heading1"/>
      </w:pPr>
      <w:r>
        <w:t>Key Intelligence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Startup Costs</w:t>
            </w:r>
          </w:p>
        </w:tc>
        <w:tc>
          <w:tcPr>
            <w:tcW w:type="dxa" w:w="2880"/>
          </w:tcPr>
          <w:p>
            <w:r>
              <w:t>$5,500-$7,500</w:t>
            </w:r>
          </w:p>
        </w:tc>
        <w:tc>
          <w:tcPr>
            <w:tcW w:type="dxa" w:w="2880"/>
          </w:tcPr>
          <w:p>
            <w:r>
              <w:t>Initial investment range</w:t>
            </w:r>
          </w:p>
        </w:tc>
      </w:tr>
      <w:tr>
        <w:tc>
          <w:tcPr>
            <w:tcW w:type="dxa" w:w="2880"/>
          </w:tcPr>
          <w:p>
            <w:r>
              <w:t>Break-Even Events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Conservative scenario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KORUM-OS Intelligence Asset | Confirmed via Multi-Agent Council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