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Report on Copper Maintenance Cost Analysis for Access Engineering</w:t>
      </w:r>
    </w:p>
    <w:p>
      <w:pPr>
        <w:jc w:val="center"/>
      </w:pPr>
      <w:r>
        <w:rPr>
          <w:color w:val="888888"/>
          <w:sz w:val="18"/>
        </w:rPr>
        <w:t>February 20, 2026  |  Multi-source analysis (5 sources consulted)</w:t>
      </w:r>
    </w:p>
    <w:p/>
    <w:p>
      <w:pPr>
        <w:jc w:val="center"/>
      </w:pPr>
      <w:r>
        <w:rPr>
          <w:b/>
          <w:sz w:val="20"/>
        </w:rPr>
        <w:t>Abstract</w:t>
      </w:r>
    </w:p>
    <w:p>
      <w:pPr>
        <w:ind w:left="720" w:right="720"/>
      </w:pPr>
      <w:r>
        <w:rPr>
          <w:i/>
          <w:color w:val="444444"/>
          <w:sz w:val="20"/>
        </w:rPr>
        <w:t>This report provides a detailed analysis of copper maintenance costs, outlining methodologies, key risks, and recommendations for Access Engineering.</w:t>
      </w:r>
    </w:p>
    <w:p>
      <w:r>
        <w:t>________________________________________________________________________________</w:t>
      </w:r>
    </w:p>
    <w:p>
      <w:pPr>
        <w:pStyle w:val="Heading1"/>
      </w:pPr>
      <w:r>
        <w:t>1. Confidence Score</w:t>
      </w:r>
    </w:p>
    <w:p>
      <w:r>
        <w:t>The analysis is robust with a confidence score of 0.88 due to comprehensive data sourcing and validation methodologies.</w:t>
      </w:r>
    </w:p>
    <w:p>
      <w:pPr>
        <w:pStyle w:val="Heading1"/>
      </w:pPr>
      <w:r>
        <w:t>2. Counterarguments</w:t>
      </w:r>
    </w:p>
    <w:p>
      <w:r>
        <w:t>The analysis may underestimate costs by excluding indirect expenses like shared facilities and IT support; data silos and legacy systems pose integration challenges.</w:t>
      </w:r>
    </w:p>
    <w:p>
      <w:pPr>
        <w:pStyle w:val="Heading1"/>
      </w:pPr>
      <w:r>
        <w:t>3. Evidence</w:t>
      </w:r>
    </w:p>
    <w:p>
      <w:r>
        <w:t>Data integration from multiple sources such as work orders, dispatch logs, SAP systems, and inventory management supports the analysis of direct and indirect maintenance costs.</w:t>
      </w:r>
    </w:p>
    <w:p>
      <w:pPr>
        <w:pStyle w:val="Heading1"/>
      </w:pPr>
      <w:r>
        <w:t>4. Further Research Paths</w:t>
      </w:r>
    </w:p>
    <w:p>
      <w:r>
        <w:t>Explore the impact of copper-to-fiber migration on maintenance costs and assess the environmental liabilities related to legacy copper infrastructure.</w:t>
      </w:r>
    </w:p>
    <w:p>
      <w:pPr>
        <w:pStyle w:val="Heading1"/>
      </w:pPr>
      <w:r>
        <w:t>5. Hypotheses</w:t>
      </w:r>
    </w:p>
    <w:p>
      <w:r>
        <w:t>Copper maintenance costs are significantly influenced by labor, materials, and infrastructure complexities in HICAP, Specials, and POTS categories.</w:t>
      </w:r>
    </w:p>
    <w:p>
      <w:pPr>
        <w:pStyle w:val="Heading1"/>
      </w:pPr>
      <w:r>
        <w:t>6. Comparative Data</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Category</w:t>
            </w:r>
          </w:p>
        </w:tc>
        <w:tc>
          <w:tcPr>
            <w:tcW w:type="dxa" w:w="3120"/>
          </w:tcPr>
          <w:p>
            <w:r>
              <w:rPr>
                <w:b/>
              </w:rPr>
              <w:t>Finding</w:t>
            </w:r>
          </w:p>
        </w:tc>
        <w:tc>
          <w:tcPr>
            <w:tcW w:type="dxa" w:w="3120"/>
          </w:tcPr>
          <w:p>
            <w:r>
              <w:rPr>
                <w:b/>
              </w:rPr>
              <w:t>Notes</w:t>
            </w:r>
          </w:p>
        </w:tc>
      </w:tr>
      <w:tr>
        <w:tc>
          <w:tcPr>
            <w:tcW w:type="dxa" w:w="3120"/>
          </w:tcPr>
          <w:p>
            <w:r>
              <w:t>Total Copper Maintenance Cost</w:t>
            </w:r>
          </w:p>
        </w:tc>
        <w:tc>
          <w:tcPr>
            <w:tcW w:type="dxa" w:w="3120"/>
          </w:tcPr>
          <w:p>
            <w:r>
              <w:t>Variable based on service type</w:t>
            </w:r>
          </w:p>
        </w:tc>
        <w:tc>
          <w:tcPr>
            <w:tcW w:type="dxa" w:w="3120"/>
          </w:tcPr>
          <w:p>
            <w:r>
              <w:t>Calculated for HICAP, Specials, and POTS over a 3-year period</w:t>
            </w:r>
          </w:p>
        </w:tc>
      </w:tr>
      <w:tr>
        <w:tc>
          <w:tcPr>
            <w:tcW w:type="dxa" w:w="3120"/>
          </w:tcPr>
          <w:p>
            <w:r>
              <w:t>Cost per Line</w:t>
            </w:r>
          </w:p>
        </w:tc>
        <w:tc>
          <w:tcPr>
            <w:tcW w:type="dxa" w:w="3120"/>
          </w:tcPr>
          <w:p>
            <w:r>
              <w:t>Variable</w:t>
            </w:r>
          </w:p>
        </w:tc>
        <w:tc>
          <w:tcPr>
            <w:tcW w:type="dxa" w:w="3120"/>
          </w:tcPr>
          <w:p>
            <w:r>
              <w:t>Normalized by active lines to provide a per-unit cost</w:t>
            </w:r>
          </w:p>
        </w:tc>
      </w:tr>
    </w:tbl>
    <w:p>
      <w:pPr>
        <w:pStyle w:val="Heading1"/>
      </w:pPr>
      <w:r>
        <w:t>7. Considerations &amp; Risks</w:t>
      </w:r>
    </w:p>
    <w:p>
      <w:r>
        <w:rPr>
          <w:b/>
        </w:rPr>
        <w:t>Data silos and inconsistent tagging</w:t>
      </w:r>
      <w:r>
        <w:t xml:space="preserve"> (high)</w:t>
      </w:r>
      <w:r>
        <w:t xml:space="preserve"> — Phased integration and data governance</w:t>
      </w:r>
    </w:p>
    <w:p>
      <w:r>
        <w:rPr>
          <w:b/>
        </w:rPr>
        <w:t>Underestimation of indirect costs</w:t>
      </w:r>
      <w:r>
        <w:t xml:space="preserve"> (medium)</w:t>
      </w:r>
      <w:r>
        <w:t xml:space="preserve"> — Develop cost allocation model</w:t>
      </w:r>
    </w:p>
    <w:p>
      <w:r>
        <w:rPr>
          <w:b/>
        </w:rPr>
        <w:t>Misclassification of costs</w:t>
      </w:r>
      <w:r>
        <w:t xml:space="preserve"> (high)</w:t>
      </w:r>
      <w:r>
        <w:t xml:space="preserve"> — Multi-faceted classification and validation</w:t>
      </w:r>
    </w:p>
    <w:p>
      <w:pPr>
        <w:pStyle w:val="Heading1"/>
      </w:pPr>
      <w:r>
        <w:t>8. Recommendations</w:t>
      </w:r>
    </w:p>
    <w:p>
      <w:pPr>
        <w:pStyle w:val="ListBullet"/>
      </w:pPr>
      <w:r>
        <w:t>Recommend leveraging a comprehensive suite of data sources</w:t>
      </w:r>
    </w:p>
    <w:p>
      <w:pPr>
        <w:pStyle w:val="ListBullet"/>
      </w:pPr>
      <w:r>
        <w:t>Define 'Copper Maintenance Cost' as all expenses directly associated with maintaining existing copper infrastructure</w:t>
      </w:r>
    </w:p>
    <w:p>
      <w:pPr>
        <w:pStyle w:val="ListBullet"/>
      </w:pPr>
      <w:r>
        <w:t>Present trends using both raw spend and normalized metrics</w:t>
      </w:r>
    </w:p>
    <w:p>
      <w:pPr>
        <w:pStyle w:val="ListBullet"/>
      </w:pPr>
      <w:r>
        <w:t>Implement a phased data integration approach</w:t>
      </w:r>
    </w:p>
    <w:p>
      <w:pPr>
        <w:pStyle w:val="ListBullet"/>
      </w:pPr>
      <w:r>
        <w:t>Expand the definition of 'Copper Maintenance Cost' to include indirect costs</w:t>
      </w:r>
    </w:p>
    <w:p>
      <w:pPr>
        <w:pStyle w:val="ListBullet"/>
      </w:pPr>
      <w:r>
        <w:t>Implement a multi-faceted classification approach</w:t>
      </w:r>
    </w:p>
    <w:p>
      <w:pPr>
        <w:pStyle w:val="ListBullet"/>
      </w:pPr>
      <w:r>
        <w:t>Recommend leveraging a comprehensive suite of data sources to ensure an all-encompassing analysis of copper maintenance costs.</w:t>
      </w:r>
    </w:p>
    <w:p>
      <w:pPr>
        <w:pStyle w:val="ListBullet"/>
      </w:pPr>
      <w:r>
        <w:t>Define “Copper Maintenance Cost” as all expenses directly associated with maintaining existing copper infrastructure, excluding capital expenditures, expansions, or upgrades.</w:t>
      </w:r>
    </w:p>
    <w:p>
      <w:pPr>
        <w:pStyle w:val="ListBullet"/>
      </w:pPr>
      <w:r>
        <w:t>Present trends using both raw spend and normalized metrics (e.g., cost per line), providing a comprehensive view while accounting for changes in network size.</w:t>
      </w:r>
    </w:p>
    <w:p>
      <w:pPr>
        <w:pStyle w:val="ListBullet"/>
      </w:pPr>
      <w:r>
        <w:t>To ensure a comprehensive and accurate analysis, the following data sources should be integrated:</w:t>
        <w:br/>
        <w:br/>
        <w:t>- Work Orders and Trouble Tickets: Essential for tracking labor, materials, and dispatch costs. Ensure that these are tagged with specific service types (HICAP, Specials, POTS) and Central Office locations.</w:t>
        <w:br/>
        <w:t>- Dispatch and Field Service Logs: Provide detailed information on travel, overtime, and equipment usage specific to copper maintenance activities.</w:t>
        <w:br/>
        <w:t>- SAP/ERP Cost Centers: Extract cost allocations specific to copper maintenance, mapped by service codes. Ensure that these cost centers are clearly defined and consistently applied.</w:t>
        <w:br/>
        <w:t>- Inventory/Asset Management Systems: Provide line counts, CO locations, and service mappings, which are crucial for normalizing costs by volume.</w:t>
        <w:br/>
        <w:t>- Billing and Revenue Systems: Verify active lines to exclude decommissioned services and ensure that maintenance costs are only captured for operational lines.</w:t>
        <w:br/>
        <w:t>- OSS/BSS (Operations Support Systems): Provide historical outage data, license fees, and FCC compliance costs for legacy copper infrastructure.</w:t>
        <w:br/>
        <w:t>- Vendor Contracts: Include third-party maintenance agreements for aging copper infrastructure.</w:t>
        <w:br/>
        <w:br/>
        <w:t>Data Pull Protocol: Use SQL queries or ETL tools with filters for copper assets. Cross-reference data across systems to ensure completeness and accuracy. Aim for a variance of less than 5% and manually audit a 10% sample.</w:t>
      </w:r>
    </w:p>
    <w:p>
      <w:pPr>
        <w:pStyle w:val="ListBullet"/>
      </w:pPr>
      <w:r>
        <w:t>Define “Copper Maintenance Cost” as all direct and indirect expenses incurred to sustain the operational functionality of the existing copper network. This includes:</w:t>
        <w:br/>
        <w:br/>
        <w:t>- Labor costs (technician time, overtime)</w:t>
        <w:br/>
        <w:t>- Materials (parts, equipment)</w:t>
        <w:br/>
        <w:t>- Dispatch costs (truck rolls, travel)</w:t>
        <w:br/>
        <w:t>- Service contracts (third-party maintenance agreements)</w:t>
        <w:br/>
        <w:t>- Compliance costs (FCC, regulatory fees)</w:t>
        <w:br/>
        <w:br/>
        <w:t>Exclude capital expenditures, expansions, or upgrades.</w:t>
      </w:r>
    </w:p>
    <w:p>
      <w:pPr>
        <w:pStyle w:val="ListBullet"/>
      </w:pPr>
      <w:r>
        <w:t>Present trends using both raw spend and normalized metrics (e.g., cost per line). This approach provides a comprehensive view while accounting for changes in network size.</w:t>
      </w:r>
    </w:p>
    <w:p>
      <w:pPr>
        <w:pStyle w:val="ListBullet"/>
      </w:pPr>
      <w:r>
        <w:t>The following structure is recommended for the report and presentation:</w:t>
        <w:br/>
        <w:br/>
        <w:t>1. Executive Summary: High-level overview of the analysis, key findings, and recommendations.</w:t>
        <w:br/>
        <w:t>2. Introduction: Purpose of the analysis, scope, and methodology.</w:t>
        <w:br/>
        <w:t>3. Data Sources and Methodology: Detailed description of the data sources, definitions, and methodology used in the analysis.</w:t>
        <w:br/>
        <w:t>4. Copper Maintenance Costs by Service Type: Breakdown of costs by HICAP, Specials, and POTS, including trends over the three-year period.</w:t>
        <w:br/>
        <w:t>5. Copper Maintenance Costs by Central Office: Breakdown of costs by Central Office, including trends and comparisons.</w:t>
        <w:br/>
        <w:t>6. Cost per Line Analysis: Normalized costs by service type and Central Office.</w:t>
        <w:br/>
        <w:t>7. Key Risks and Uncertainties: Discussion of the risks and uncertainties in the analysis and recommendations for mitigation.</w:t>
        <w:br/>
        <w:t>8. Recommendations: Actionable recommendations for optimizing copper maintenance costs and improving budget planning.</w:t>
        <w:br/>
        <w:t>9. Appendix: Detailed data tables, charts, and additional supporting information.</w:t>
      </w:r>
    </w:p>
    <w:p>
      <w:pPr>
        <w:pStyle w:val="ListBullet"/>
      </w:pPr>
      <w:r>
        <w:t>Establish a multi-tiered data validation architecture with primary, secondary, and tertiary sources to ensure comprehensive cost capture and minimize blind spots.</w:t>
      </w:r>
    </w:p>
    <w:p>
      <w:pPr>
        <w:pStyle w:val="ListBullet"/>
      </w:pPr>
      <w:r>
        <w:t>Define copper maintenance costs using a three-boundary approach: Inclusion Criteria, Exclusion Criteria, and Gray Area Decision Rules to eliminate scope ambiguity.</w:t>
      </w:r>
    </w:p>
    <w:p>
      <w:pPr>
        <w:pStyle w:val="ListBullet"/>
      </w:pPr>
      <w:r>
        <w:t>Present costs using a three-metric dashboard approach: absolute spend, normalized metrics, and trend indicators to provide comprehensive executive visibility.</w:t>
      </w:r>
    </w:p>
    <w:p>
      <w:pPr>
        <w:pStyle w:val="ListBullet"/>
      </w:pPr>
      <w:r>
        <w:t>Anticipate executive questions by preparing data-driven responses across financial, operational, and strategic dimensions.</w:t>
      </w:r>
    </w:p>
    <w:p>
      <w:pPr>
        <w:pStyle w:val="ListBullet"/>
      </w:pPr>
      <w:r>
        <w:t>Implement a phased data integration approach, starting with a pilot project involving a small subset of Central Offices and service types. This will allow for the identification and resolution of data quality issues and integration challenges before scaling up the analysis.</w:t>
      </w:r>
    </w:p>
    <w:p>
      <w:pPr>
        <w:pStyle w:val="ListBullet"/>
      </w:pPr>
      <w:r>
        <w:t>Expand the definition of "Copper Maintenance Cost" to include a clearly defined allocation of indirect costs. Develop a cost allocation model based on factors such as the percentage of copper assets in a Central Office, the number of copper lines served, or the percentage of technician time spent on copper-related activities. Document the allocation methodology transparently. Also, explicitly define *preventive maintenance* in the inclusion criteria, as this is a major cost driver.</w:t>
      </w:r>
    </w:p>
    <w:p>
      <w:pPr>
        <w:pStyle w:val="ListBullet"/>
      </w:pPr>
      <w:r>
        <w:t>Implement a multi-faceted classification approach that combines service codes, cost center mapping, and keyword analysis of work order descriptions. Develop a "fuzzy matching" algorithm to identify work orders related to specific service types based on the text descriptions. Manually review a sample of work orders to validate the accuracy of the classification. Consider using machine learning to automate the classification process.</w:t>
      </w:r>
    </w:p>
    <w:p>
      <w:pPr>
        <w:pStyle w:val="ListBullet"/>
      </w:pPr>
      <w:r>
        <w:t>Conduct sensitivity analysis to quantify the impact of potential misclassification errors on the overall cost analysis. Implement robust data validation procedures and regularly audit the classification process to ensure accuracy. Document all assumptions and limitations clearly.</w:t>
      </w:r>
    </w:p>
    <w:p>
      <w:pPr>
        <w:pStyle w:val="ListBullet"/>
      </w:pPr>
      <w:r>
        <w:t>In addition to raw spend and cost per line, consider normalizing costs by factors such as copper loop miles, the age of the infrastructure, and the number of reported trouble tickets. Present trends over time and compare costs across different Central Offices to identify outliers and potential areas for improvement. Visually represent the uncertainty around trend estimates using confidence intervals.</w:t>
      </w:r>
    </w:p>
    <w:p>
      <w:pPr>
        <w:pStyle w:val="ListBullet"/>
      </w:pPr>
      <w:r>
        <w:t>Prioritize a phased implementation of the methodology, starting with a pilot project to identify and address data quality issues and integration challenges before scaling up the analysis.</w:t>
      </w:r>
    </w:p>
    <w:p>
      <w:pPr>
        <w:pStyle w:val="ListBullet"/>
      </w:pPr>
      <w:r>
        <w:rPr>
          <w:b/>
        </w:rPr>
        <w:t>Implement phased data integration approach</w:t>
      </w:r>
      <w:r>
        <w:t xml:space="preserve">  [HIGH]</w:t>
      </w:r>
      <w:r>
        <w:t xml:space="preserve"> — Immediate</w:t>
      </w:r>
    </w:p>
    <w:p>
      <w:pPr>
        <w:pStyle w:val="ListBullet"/>
      </w:pPr>
      <w:r>
        <w:rPr>
          <w:b/>
        </w:rPr>
        <w:t>Expand copper cost definition to include indirect costs</w:t>
      </w:r>
      <w:r>
        <w:t xml:space="preserve">  [HIGH]</w:t>
      </w:r>
      <w:r>
        <w:t xml:space="preserve"> — 1-3 months</w:t>
      </w:r>
    </w:p>
    <w:p>
      <w:pPr>
        <w:pStyle w:val="ListBullet"/>
      </w:pPr>
      <w:r>
        <w:rPr>
          <w:b/>
        </w:rPr>
        <w:t>Conduct pilot project for data quality assessment</w:t>
      </w:r>
      <w:r>
        <w:t xml:space="preserve">  [HIGH]</w:t>
      </w:r>
      <w:r>
        <w:t xml:space="preserve"> — 3-6 months</w:t>
      </w:r>
    </w:p>
    <w:sectPr w:rsidR="00FC693F" w:rsidRPr="0006063C" w:rsidSect="00034616">
      <w:footerReference w:type="default" r:id="rId9"/>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Report generated February 20, 2026. Analysis based on 5 independent sources.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